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75" w:beforeAutospacing="0" w:after="75" w:afterAutospacing="0" w:line="540" w:lineRule="atLeast"/>
        <w:ind w:left="0" w:right="0"/>
        <w:jc w:val="center"/>
      </w:pPr>
      <w:r>
        <w:rPr>
          <w:rStyle w:val="5"/>
          <w:rFonts w:ascii="仿宋" w:hAnsi="仿宋" w:eastAsia="仿宋" w:cs="仿宋"/>
          <w:sz w:val="36"/>
          <w:szCs w:val="36"/>
        </w:rPr>
        <w:t>2020</w:t>
      </w:r>
      <w:r>
        <w:rPr>
          <w:rStyle w:val="5"/>
          <w:rFonts w:hint="eastAsia" w:ascii="仿宋" w:hAnsi="仿宋" w:eastAsia="仿宋" w:cs="仿宋"/>
          <w:sz w:val="36"/>
          <w:szCs w:val="36"/>
        </w:rPr>
        <w:t>年河北省高等职业院校光伏电子工程的设计与实施技能大赛规程</w:t>
      </w:r>
    </w:p>
    <w:p>
      <w:pPr>
        <w:pStyle w:val="2"/>
        <w:keepNext w:val="0"/>
        <w:keepLines w:val="0"/>
        <w:widowControl/>
        <w:suppressLineNumbers w:val="0"/>
        <w:spacing w:before="75" w:beforeAutospacing="0" w:after="75" w:afterAutospacing="0" w:line="555" w:lineRule="atLeast"/>
        <w:ind w:left="0" w:right="0"/>
        <w:jc w:val="both"/>
      </w:pPr>
      <w:r>
        <w:rPr>
          <w:rFonts w:ascii="黑体" w:hAnsi="宋体" w:eastAsia="黑体" w:cs="黑体"/>
          <w:sz w:val="28"/>
          <w:szCs w:val="28"/>
        </w:rPr>
        <w:t> </w:t>
      </w:r>
    </w:p>
    <w:p>
      <w:pPr>
        <w:pStyle w:val="2"/>
        <w:keepNext w:val="0"/>
        <w:keepLines w:val="0"/>
        <w:widowControl/>
        <w:suppressLineNumbers w:val="0"/>
        <w:spacing w:before="75" w:beforeAutospacing="0" w:after="75" w:afterAutospacing="0" w:line="555" w:lineRule="atLeast"/>
        <w:ind w:left="0" w:right="0" w:firstLine="555"/>
        <w:jc w:val="both"/>
      </w:pPr>
      <w:r>
        <w:rPr>
          <w:rStyle w:val="5"/>
          <w:rFonts w:hint="eastAsia" w:ascii="仿宋" w:hAnsi="仿宋" w:eastAsia="仿宋" w:cs="仿宋"/>
          <w:sz w:val="28"/>
          <w:szCs w:val="28"/>
        </w:rPr>
        <w:t>一、赛项名称</w:t>
      </w:r>
    </w:p>
    <w:p>
      <w:pPr>
        <w:pStyle w:val="2"/>
        <w:keepNext w:val="0"/>
        <w:keepLines w:val="0"/>
        <w:widowControl/>
        <w:suppressLineNumbers w:val="0"/>
        <w:spacing w:before="75" w:beforeAutospacing="0" w:after="75" w:afterAutospacing="0" w:line="555" w:lineRule="atLeast"/>
        <w:ind w:left="0" w:right="0" w:firstLine="555"/>
        <w:jc w:val="both"/>
      </w:pPr>
      <w:r>
        <w:rPr>
          <w:rFonts w:hint="eastAsia" w:ascii="仿宋" w:hAnsi="仿宋" w:eastAsia="仿宋" w:cs="仿宋"/>
          <w:sz w:val="28"/>
          <w:szCs w:val="28"/>
        </w:rPr>
        <w:t>赛项名称：光伏电子工程的设计与实施</w:t>
      </w:r>
    </w:p>
    <w:p>
      <w:pPr>
        <w:pStyle w:val="2"/>
        <w:keepNext w:val="0"/>
        <w:keepLines w:val="0"/>
        <w:widowControl/>
        <w:suppressLineNumbers w:val="0"/>
        <w:spacing w:before="75" w:beforeAutospacing="0" w:after="75" w:afterAutospacing="0" w:line="555" w:lineRule="atLeast"/>
        <w:ind w:left="0" w:right="0" w:firstLine="555"/>
        <w:jc w:val="both"/>
      </w:pPr>
      <w:r>
        <w:rPr>
          <w:rStyle w:val="5"/>
          <w:rFonts w:hint="eastAsia" w:ascii="仿宋" w:hAnsi="仿宋" w:eastAsia="仿宋" w:cs="仿宋"/>
          <w:sz w:val="28"/>
          <w:szCs w:val="28"/>
        </w:rPr>
        <w:t>二、竞赛目的</w:t>
      </w:r>
    </w:p>
    <w:p>
      <w:pPr>
        <w:pStyle w:val="2"/>
        <w:keepNext w:val="0"/>
        <w:keepLines w:val="0"/>
        <w:widowControl/>
        <w:suppressLineNumbers w:val="0"/>
        <w:spacing w:before="75" w:beforeAutospacing="0" w:after="75" w:afterAutospacing="0" w:line="360" w:lineRule="atLeast"/>
        <w:ind w:left="0" w:right="0" w:firstLine="555"/>
      </w:pPr>
      <w:r>
        <w:rPr>
          <w:rFonts w:hint="eastAsia" w:ascii="仿宋" w:hAnsi="仿宋" w:eastAsia="仿宋" w:cs="仿宋"/>
          <w:sz w:val="28"/>
          <w:szCs w:val="28"/>
        </w:rPr>
        <w:t>“光伏电子工程的设计与实施”赛项利用成熟的智慧新能源系统实训平台，突出电子信息技术在光伏工程技术中的应用，由参赛选手根据任务书中提出的光伏工程系统规划描述，运用新能源电子技术、单片机、</w:t>
      </w:r>
      <w:r>
        <w:rPr>
          <w:rFonts w:hint="default" w:ascii="Times New Roman" w:hAnsi="Times New Roman" w:eastAsia="仿宋" w:cs="Times New Roman"/>
          <w:sz w:val="28"/>
          <w:szCs w:val="28"/>
        </w:rPr>
        <w:t>PLC</w:t>
      </w:r>
      <w:r>
        <w:rPr>
          <w:rFonts w:hint="eastAsia" w:ascii="仿宋" w:hAnsi="仿宋" w:eastAsia="仿宋" w:cs="仿宋"/>
          <w:sz w:val="28"/>
          <w:szCs w:val="28"/>
        </w:rPr>
        <w:t>编程、嵌入式系统开发等专业知识，完成模拟新能源项目从工程规划，到光伏电子工程系统设备安装，光伏电子控制模块开发与调试，管控系统设备安装，光伏电子工程系统运行调试，到区域能源分析规划等任务。</w:t>
      </w:r>
    </w:p>
    <w:p>
      <w:pPr>
        <w:pStyle w:val="2"/>
        <w:keepNext w:val="0"/>
        <w:keepLines w:val="0"/>
        <w:widowControl/>
        <w:suppressLineNumbers w:val="0"/>
        <w:spacing w:before="75" w:beforeAutospacing="0" w:after="75" w:afterAutospacing="0" w:line="360" w:lineRule="atLeast"/>
        <w:ind w:left="0" w:right="0" w:firstLine="555"/>
      </w:pPr>
      <w:r>
        <w:rPr>
          <w:rFonts w:hint="eastAsia" w:ascii="仿宋" w:hAnsi="仿宋" w:eastAsia="仿宋" w:cs="仿宋"/>
          <w:sz w:val="28"/>
          <w:szCs w:val="28"/>
        </w:rPr>
        <w:t>“光伏电子工程的设计与实施”赛项旨在通过赛事的组织与推广，响应新技术革命和产业结构调整的需求，推进光伏工程技术、电子信息技术、智能微电网技术等战略新兴产业新能源领域专业的建设与发展，创造优质的教育供给环境，加快为“中国制造</w:t>
      </w:r>
      <w:r>
        <w:rPr>
          <w:rFonts w:hint="default" w:ascii="Times New Roman" w:hAnsi="Times New Roman" w:eastAsia="仿宋" w:cs="Times New Roman"/>
          <w:sz w:val="28"/>
          <w:szCs w:val="28"/>
        </w:rPr>
        <w:t>2025</w:t>
      </w:r>
      <w:r>
        <w:rPr>
          <w:rFonts w:hint="eastAsia" w:ascii="仿宋" w:hAnsi="仿宋" w:eastAsia="仿宋" w:cs="仿宋"/>
          <w:sz w:val="28"/>
          <w:szCs w:val="28"/>
        </w:rPr>
        <w:t>”新能源产业培养亟需的高层次技术应用型人才。</w:t>
      </w:r>
    </w:p>
    <w:p>
      <w:pPr>
        <w:pStyle w:val="2"/>
        <w:keepNext w:val="0"/>
        <w:keepLines w:val="0"/>
        <w:widowControl/>
        <w:suppressLineNumbers w:val="0"/>
        <w:spacing w:before="75" w:beforeAutospacing="0" w:after="75" w:afterAutospacing="0" w:line="555" w:lineRule="atLeast"/>
        <w:ind w:left="0" w:right="0" w:firstLine="555"/>
        <w:jc w:val="both"/>
      </w:pPr>
      <w:r>
        <w:rPr>
          <w:rStyle w:val="5"/>
          <w:rFonts w:hint="eastAsia" w:ascii="仿宋" w:hAnsi="仿宋" w:eastAsia="仿宋" w:cs="仿宋"/>
          <w:sz w:val="28"/>
          <w:szCs w:val="28"/>
        </w:rPr>
        <w:t>三、竞赛内容</w:t>
      </w:r>
    </w:p>
    <w:p>
      <w:pPr>
        <w:pStyle w:val="2"/>
        <w:keepNext w:val="0"/>
        <w:keepLines w:val="0"/>
        <w:widowControl/>
        <w:suppressLineNumbers w:val="0"/>
        <w:spacing w:before="75" w:beforeAutospacing="0" w:after="75" w:afterAutospacing="0" w:line="360" w:lineRule="atLeast"/>
        <w:ind w:left="0" w:right="0" w:firstLine="570"/>
      </w:pPr>
      <w:r>
        <w:rPr>
          <w:rFonts w:hint="eastAsia" w:ascii="仿宋" w:hAnsi="仿宋" w:eastAsia="仿宋" w:cs="仿宋"/>
          <w:sz w:val="28"/>
          <w:szCs w:val="28"/>
        </w:rPr>
        <w:t>赛项为团队竞技，赛事时长为2小时。参赛选手将在智慧新能源实训系统上完成某经济、工业园区或岛屿的光伏工程项目具有经济效益的可实现性规划，设计；对设计后的光伏电子工程项目中供能装置、储能装置、智能控制装置、负载装置等各组成部分，实现设备选型、安装部署、光伏电子控制模块的开发、光伏电子工程系统调试检测、及能源系统运行维护。以及能够在实训系统的辅助下，有效采集获取能源数据、并控制器能源系统的运行，创新性的完成项目任务。</w:t>
      </w:r>
    </w:p>
    <w:p>
      <w:pPr>
        <w:pStyle w:val="2"/>
        <w:keepNext w:val="0"/>
        <w:keepLines w:val="0"/>
        <w:widowControl/>
        <w:suppressLineNumbers w:val="0"/>
        <w:spacing w:before="75" w:beforeAutospacing="0" w:after="75" w:afterAutospacing="0" w:line="555" w:lineRule="atLeast"/>
        <w:ind w:left="0" w:right="0" w:firstLine="555"/>
        <w:jc w:val="both"/>
      </w:pPr>
      <w:r>
        <w:rPr>
          <w:rStyle w:val="5"/>
          <w:rFonts w:hint="eastAsia" w:ascii="仿宋" w:hAnsi="仿宋" w:eastAsia="仿宋" w:cs="仿宋"/>
          <w:sz w:val="28"/>
          <w:szCs w:val="28"/>
        </w:rPr>
        <w:t>四、竞赛流程</w:t>
      </w:r>
    </w:p>
    <w:p>
      <w:pPr>
        <w:pStyle w:val="2"/>
        <w:keepNext w:val="0"/>
        <w:keepLines w:val="0"/>
        <w:widowControl/>
        <w:suppressLineNumbers w:val="0"/>
        <w:spacing w:before="75" w:beforeAutospacing="0" w:after="75" w:afterAutospacing="0"/>
        <w:ind w:left="0" w:right="0"/>
      </w:pPr>
      <w:r>
        <w:rPr>
          <w:rStyle w:val="5"/>
          <w:rFonts w:hint="eastAsia" w:ascii="仿宋" w:hAnsi="仿宋" w:eastAsia="仿宋" w:cs="仿宋"/>
          <w:sz w:val="28"/>
          <w:szCs w:val="28"/>
        </w:rPr>
        <w:t>                 </w:t>
      </w:r>
      <w:r>
        <w:rPr>
          <w:rStyle w:val="5"/>
          <w:rFonts w:hint="eastAsia" w:ascii="仿宋" w:hAnsi="仿宋" w:eastAsia="仿宋" w:cs="仿宋"/>
          <w:sz w:val="24"/>
          <w:szCs w:val="24"/>
        </w:rPr>
        <w:t>       表1  竞赛流程</w:t>
      </w:r>
    </w:p>
    <w:tbl>
      <w:tblPr>
        <w:tblW w:w="826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1275"/>
        <w:gridCol w:w="4920"/>
        <w:gridCol w:w="20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65" w:hRule="atLeast"/>
        </w:trPr>
        <w:tc>
          <w:tcPr>
            <w:tcW w:w="1275"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eastAsia" w:ascii="仿宋" w:hAnsi="仿宋" w:eastAsia="仿宋" w:cs="仿宋"/>
                <w:sz w:val="24"/>
                <w:szCs w:val="24"/>
                <w:bdr w:val="none" w:color="auto" w:sz="0" w:space="0"/>
              </w:rPr>
              <w:t>日期</w:t>
            </w:r>
          </w:p>
        </w:tc>
        <w:tc>
          <w:tcPr>
            <w:tcW w:w="4920" w:type="dxa"/>
            <w:tcBorders>
              <w:top w:val="single" w:color="000000" w:sz="6" w:space="0"/>
              <w:left w:val="nil"/>
              <w:bottom w:val="single" w:color="000000" w:sz="6" w:space="0"/>
              <w:right w:val="single" w:color="00000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eastAsia" w:ascii="仿宋" w:hAnsi="仿宋" w:eastAsia="仿宋" w:cs="仿宋"/>
                <w:sz w:val="24"/>
                <w:szCs w:val="24"/>
                <w:bdr w:val="none" w:color="auto" w:sz="0" w:space="0"/>
              </w:rPr>
              <w:t>事项安排</w:t>
            </w:r>
          </w:p>
        </w:tc>
        <w:tc>
          <w:tcPr>
            <w:tcW w:w="2070" w:type="dxa"/>
            <w:tcBorders>
              <w:top w:val="single" w:color="000000" w:sz="6" w:space="0"/>
              <w:left w:val="nil"/>
              <w:bottom w:val="single" w:color="000000" w:sz="6" w:space="0"/>
              <w:right w:val="single" w:color="000000" w:sz="6" w:space="0"/>
            </w:tcBorders>
            <w:shd w:val="clear"/>
            <w:tcMar>
              <w:top w:w="75" w:type="dxa"/>
              <w:left w:w="75" w:type="dxa"/>
              <w:bottom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eastAsia" w:ascii="仿宋" w:hAnsi="仿宋" w:eastAsia="仿宋" w:cs="仿宋"/>
                <w:sz w:val="24"/>
                <w:szCs w:val="24"/>
                <w:bdr w:val="none" w:color="auto" w:sz="0" w:space="0"/>
              </w:rPr>
              <w:t>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65" w:hRule="atLeast"/>
        </w:trPr>
        <w:tc>
          <w:tcPr>
            <w:tcW w:w="1275" w:type="dxa"/>
            <w:vMerge w:val="restart"/>
            <w:tcBorders>
              <w:top w:val="nil"/>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eastAsia" w:ascii="仿宋" w:hAnsi="仿宋" w:eastAsia="仿宋" w:cs="仿宋"/>
                <w:sz w:val="24"/>
                <w:szCs w:val="24"/>
                <w:bdr w:val="none" w:color="auto" w:sz="0" w:space="0"/>
              </w:rPr>
              <w:t>第一天</w:t>
            </w:r>
          </w:p>
        </w:tc>
        <w:tc>
          <w:tcPr>
            <w:tcW w:w="492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24"/>
                <w:szCs w:val="24"/>
                <w:bdr w:val="none" w:color="auto" w:sz="0" w:space="0"/>
              </w:rPr>
              <w:t>参赛队报到注册</w:t>
            </w:r>
          </w:p>
        </w:tc>
        <w:tc>
          <w:tcPr>
            <w:tcW w:w="2070" w:type="dxa"/>
            <w:tcBorders>
              <w:top w:val="nil"/>
              <w:left w:val="nil"/>
              <w:bottom w:val="single" w:color="000000" w:sz="6" w:space="0"/>
              <w:right w:val="single" w:color="000000" w:sz="6" w:space="0"/>
            </w:tcBorders>
            <w:shd w:val="clear"/>
            <w:tcMar>
              <w:top w:w="75" w:type="dxa"/>
              <w:left w:w="75" w:type="dxa"/>
              <w:bottom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color w:val="0C0C0C"/>
                <w:sz w:val="24"/>
                <w:szCs w:val="24"/>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65" w:hRule="atLeast"/>
        </w:trPr>
        <w:tc>
          <w:tcPr>
            <w:tcW w:w="1275" w:type="dxa"/>
            <w:vMerge w:val="continue"/>
            <w:tcBorders>
              <w:top w:val="nil"/>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rPr>
                <w:rFonts w:hint="eastAsia" w:ascii="宋体"/>
                <w:sz w:val="24"/>
                <w:szCs w:val="24"/>
              </w:rPr>
            </w:pPr>
          </w:p>
        </w:tc>
        <w:tc>
          <w:tcPr>
            <w:tcW w:w="492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24"/>
                <w:szCs w:val="24"/>
                <w:bdr w:val="none" w:color="auto" w:sz="0" w:space="0"/>
              </w:rPr>
              <w:t>选手说明会、熟悉赛场</w:t>
            </w:r>
          </w:p>
        </w:tc>
        <w:tc>
          <w:tcPr>
            <w:tcW w:w="2070" w:type="dxa"/>
            <w:tcBorders>
              <w:top w:val="nil"/>
              <w:left w:val="nil"/>
              <w:bottom w:val="single" w:color="000000" w:sz="6" w:space="0"/>
              <w:right w:val="single" w:color="000000" w:sz="6" w:space="0"/>
            </w:tcBorders>
            <w:shd w:val="clear"/>
            <w:tcMar>
              <w:top w:w="75" w:type="dxa"/>
              <w:left w:w="75" w:type="dxa"/>
              <w:bottom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color w:val="0C0C0C"/>
                <w:sz w:val="24"/>
                <w:szCs w:val="24"/>
                <w:bdr w:val="none" w:color="auto" w:sz="0" w:space="0"/>
              </w:rPr>
              <w:t>1</w:t>
            </w:r>
            <w:r>
              <w:rPr>
                <w:rFonts w:hint="default" w:ascii="Times New Roman" w:hAnsi="Times New Roman" w:cs="Times New Roman"/>
                <w:color w:val="0C0C0C"/>
                <w:sz w:val="24"/>
                <w:szCs w:val="24"/>
                <w:bdr w:val="none" w:color="auto" w:sz="0" w:space="0"/>
              </w:rPr>
              <w:t>6</w:t>
            </w:r>
            <w:r>
              <w:rPr>
                <w:rFonts w:hint="eastAsia" w:ascii="仿宋" w:hAnsi="仿宋" w:eastAsia="仿宋" w:cs="仿宋"/>
                <w:color w:val="0C0C0C"/>
                <w:sz w:val="24"/>
                <w:szCs w:val="24"/>
                <w:bdr w:val="none" w:color="auto" w:sz="0" w:space="0"/>
              </w:rPr>
              <w:t>:</w:t>
            </w:r>
            <w:r>
              <w:rPr>
                <w:rFonts w:hint="default" w:ascii="Times New Roman" w:hAnsi="Times New Roman" w:cs="Times New Roman"/>
                <w:color w:val="0C0C0C"/>
                <w:sz w:val="24"/>
                <w:szCs w:val="24"/>
                <w:bdr w:val="none" w:color="auto" w:sz="0" w:space="0"/>
              </w:rPr>
              <w:t>45</w:t>
            </w:r>
            <w:r>
              <w:rPr>
                <w:rFonts w:hint="eastAsia" w:ascii="仿宋" w:hAnsi="仿宋" w:eastAsia="仿宋" w:cs="仿宋"/>
                <w:color w:val="0C0C0C"/>
                <w:sz w:val="24"/>
                <w:szCs w:val="24"/>
                <w:bdr w:val="none" w:color="auto" w:sz="0" w:space="0"/>
              </w:rPr>
              <w:t>-1</w:t>
            </w:r>
            <w:r>
              <w:rPr>
                <w:rFonts w:hint="default" w:ascii="Times New Roman" w:hAnsi="Times New Roman" w:cs="Times New Roman"/>
                <w:color w:val="0C0C0C"/>
                <w:sz w:val="24"/>
                <w:szCs w:val="24"/>
                <w:bdr w:val="none" w:color="auto" w:sz="0" w:space="0"/>
              </w:rPr>
              <w:t>7</w:t>
            </w:r>
            <w:r>
              <w:rPr>
                <w:rFonts w:hint="eastAsia" w:ascii="仿宋" w:hAnsi="仿宋" w:eastAsia="仿宋" w:cs="仿宋"/>
                <w:color w:val="0C0C0C"/>
                <w:sz w:val="24"/>
                <w:szCs w:val="24"/>
                <w:bdr w:val="none" w:color="auto" w:sz="0" w:space="0"/>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65" w:hRule="atLeast"/>
        </w:trPr>
        <w:tc>
          <w:tcPr>
            <w:tcW w:w="1275" w:type="dxa"/>
            <w:vMerge w:val="restart"/>
            <w:tcBorders>
              <w:top w:val="nil"/>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rFonts w:hint="eastAsia" w:ascii="仿宋" w:hAnsi="仿宋" w:eastAsia="仿宋" w:cs="仿宋"/>
                <w:sz w:val="24"/>
                <w:szCs w:val="24"/>
                <w:bdr w:val="none" w:color="auto" w:sz="0" w:space="0"/>
              </w:rPr>
              <w:t>第二天</w:t>
            </w:r>
          </w:p>
        </w:tc>
        <w:tc>
          <w:tcPr>
            <w:tcW w:w="492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24"/>
                <w:szCs w:val="24"/>
                <w:bdr w:val="none" w:color="auto" w:sz="0" w:space="0"/>
              </w:rPr>
              <w:t>第一场参赛队由工作人员带领前往赛场检录、二次加密、抽取工位号及入场</w:t>
            </w:r>
          </w:p>
        </w:tc>
        <w:tc>
          <w:tcPr>
            <w:tcW w:w="2070" w:type="dxa"/>
            <w:tcBorders>
              <w:top w:val="nil"/>
              <w:left w:val="nil"/>
              <w:bottom w:val="single" w:color="000000" w:sz="6" w:space="0"/>
              <w:right w:val="single" w:color="000000" w:sz="6" w:space="0"/>
            </w:tcBorders>
            <w:shd w:val="clear"/>
            <w:tcMar>
              <w:top w:w="75" w:type="dxa"/>
              <w:left w:w="75" w:type="dxa"/>
              <w:bottom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color w:val="0C0C0C"/>
                <w:sz w:val="24"/>
                <w:szCs w:val="24"/>
                <w:bdr w:val="none" w:color="auto" w:sz="0" w:space="0"/>
              </w:rPr>
              <w:t>7:20-7:30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65" w:hRule="atLeast"/>
        </w:trPr>
        <w:tc>
          <w:tcPr>
            <w:tcW w:w="1275" w:type="dxa"/>
            <w:vMerge w:val="continue"/>
            <w:tcBorders>
              <w:top w:val="nil"/>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rPr>
                <w:rFonts w:hint="eastAsia" w:ascii="宋体"/>
                <w:sz w:val="24"/>
                <w:szCs w:val="24"/>
              </w:rPr>
            </w:pPr>
          </w:p>
        </w:tc>
        <w:tc>
          <w:tcPr>
            <w:tcW w:w="492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24"/>
                <w:szCs w:val="24"/>
                <w:bdr w:val="none" w:color="auto" w:sz="0" w:space="0"/>
              </w:rPr>
              <w:t>第一场比赛时间</w:t>
            </w:r>
          </w:p>
        </w:tc>
        <w:tc>
          <w:tcPr>
            <w:tcW w:w="2070" w:type="dxa"/>
            <w:tcBorders>
              <w:top w:val="nil"/>
              <w:left w:val="nil"/>
              <w:bottom w:val="single" w:color="000000" w:sz="6" w:space="0"/>
              <w:right w:val="single" w:color="000000" w:sz="6" w:space="0"/>
            </w:tcBorders>
            <w:shd w:val="clear"/>
            <w:tcMar>
              <w:top w:w="75" w:type="dxa"/>
              <w:left w:w="75" w:type="dxa"/>
              <w:bottom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color w:val="0C0C0C"/>
                <w:sz w:val="24"/>
                <w:szCs w:val="24"/>
                <w:bdr w:val="none" w:color="auto" w:sz="0" w:space="0"/>
              </w:rPr>
              <w:t>7:30-9:30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65" w:hRule="atLeast"/>
        </w:trPr>
        <w:tc>
          <w:tcPr>
            <w:tcW w:w="1275" w:type="dxa"/>
            <w:vMerge w:val="continue"/>
            <w:tcBorders>
              <w:top w:val="nil"/>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rPr>
                <w:rFonts w:hint="eastAsia" w:ascii="宋体"/>
                <w:sz w:val="24"/>
                <w:szCs w:val="24"/>
              </w:rPr>
            </w:pPr>
          </w:p>
        </w:tc>
        <w:tc>
          <w:tcPr>
            <w:tcW w:w="492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24"/>
                <w:szCs w:val="24"/>
                <w:bdr w:val="none" w:color="auto" w:sz="0" w:space="0"/>
              </w:rPr>
              <w:t>第一场裁判组评分，恢复比赛设备</w:t>
            </w:r>
          </w:p>
        </w:tc>
        <w:tc>
          <w:tcPr>
            <w:tcW w:w="2070" w:type="dxa"/>
            <w:tcBorders>
              <w:top w:val="nil"/>
              <w:left w:val="nil"/>
              <w:bottom w:val="single" w:color="000000" w:sz="6" w:space="0"/>
              <w:right w:val="single" w:color="000000" w:sz="6" w:space="0"/>
            </w:tcBorders>
            <w:shd w:val="clear"/>
            <w:tcMar>
              <w:top w:w="75" w:type="dxa"/>
              <w:left w:w="75" w:type="dxa"/>
              <w:bottom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color w:val="0C0C0C"/>
                <w:sz w:val="24"/>
                <w:szCs w:val="24"/>
                <w:bdr w:val="none" w:color="auto" w:sz="0" w:space="0"/>
              </w:rPr>
              <w:t>9:30-11:00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65" w:hRule="atLeast"/>
        </w:trPr>
        <w:tc>
          <w:tcPr>
            <w:tcW w:w="1275" w:type="dxa"/>
            <w:vMerge w:val="continue"/>
            <w:tcBorders>
              <w:top w:val="nil"/>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rPr>
                <w:rFonts w:hint="eastAsia" w:ascii="宋体"/>
                <w:sz w:val="24"/>
                <w:szCs w:val="24"/>
              </w:rPr>
            </w:pPr>
          </w:p>
        </w:tc>
        <w:tc>
          <w:tcPr>
            <w:tcW w:w="492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24"/>
                <w:szCs w:val="24"/>
                <w:bdr w:val="none" w:color="auto" w:sz="0" w:space="0"/>
              </w:rPr>
              <w:t>第二场参赛队由工作人员带领前往赛场检录、二次加密、抽取工位号及入场</w:t>
            </w:r>
          </w:p>
        </w:tc>
        <w:tc>
          <w:tcPr>
            <w:tcW w:w="2070" w:type="dxa"/>
            <w:tcBorders>
              <w:top w:val="nil"/>
              <w:left w:val="nil"/>
              <w:bottom w:val="single" w:color="000000" w:sz="6" w:space="0"/>
              <w:right w:val="single" w:color="000000" w:sz="6" w:space="0"/>
            </w:tcBorders>
            <w:shd w:val="clear"/>
            <w:tcMar>
              <w:top w:w="75" w:type="dxa"/>
              <w:left w:w="75" w:type="dxa"/>
              <w:bottom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color w:val="0C0C0C"/>
                <w:sz w:val="24"/>
                <w:szCs w:val="24"/>
                <w:bdr w:val="none" w:color="auto" w:sz="0" w:space="0"/>
              </w:rPr>
              <w:t>11:00-11:10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65" w:hRule="atLeast"/>
        </w:trPr>
        <w:tc>
          <w:tcPr>
            <w:tcW w:w="1275" w:type="dxa"/>
            <w:vMerge w:val="continue"/>
            <w:tcBorders>
              <w:top w:val="nil"/>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rPr>
                <w:rFonts w:hint="eastAsia" w:ascii="宋体"/>
                <w:sz w:val="24"/>
                <w:szCs w:val="24"/>
              </w:rPr>
            </w:pPr>
          </w:p>
        </w:tc>
        <w:tc>
          <w:tcPr>
            <w:tcW w:w="492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24"/>
                <w:szCs w:val="24"/>
                <w:bdr w:val="none" w:color="auto" w:sz="0" w:space="0"/>
              </w:rPr>
              <w:t>第二场比赛时间</w:t>
            </w:r>
          </w:p>
        </w:tc>
        <w:tc>
          <w:tcPr>
            <w:tcW w:w="2070" w:type="dxa"/>
            <w:tcBorders>
              <w:top w:val="nil"/>
              <w:left w:val="nil"/>
              <w:bottom w:val="single" w:color="000000" w:sz="6" w:space="0"/>
              <w:right w:val="single" w:color="000000" w:sz="6" w:space="0"/>
            </w:tcBorders>
            <w:shd w:val="clear"/>
            <w:tcMar>
              <w:top w:w="75" w:type="dxa"/>
              <w:left w:w="75" w:type="dxa"/>
              <w:bottom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color w:val="0C0C0C"/>
                <w:sz w:val="24"/>
                <w:szCs w:val="24"/>
                <w:bdr w:val="none" w:color="auto" w:sz="0" w:space="0"/>
              </w:rPr>
              <w:t>11:10-13:10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25" w:hRule="atLeast"/>
        </w:trPr>
        <w:tc>
          <w:tcPr>
            <w:tcW w:w="1275" w:type="dxa"/>
            <w:vMerge w:val="continue"/>
            <w:tcBorders>
              <w:top w:val="nil"/>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rPr>
                <w:rFonts w:hint="eastAsia" w:ascii="宋体"/>
                <w:sz w:val="24"/>
                <w:szCs w:val="24"/>
              </w:rPr>
            </w:pPr>
          </w:p>
        </w:tc>
        <w:tc>
          <w:tcPr>
            <w:tcW w:w="492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24"/>
                <w:szCs w:val="24"/>
                <w:bdr w:val="none" w:color="auto" w:sz="0" w:space="0"/>
              </w:rPr>
              <w:t>第二场裁判组评分，恢复比赛设备</w:t>
            </w:r>
          </w:p>
        </w:tc>
        <w:tc>
          <w:tcPr>
            <w:tcW w:w="2070" w:type="dxa"/>
            <w:tcBorders>
              <w:top w:val="nil"/>
              <w:left w:val="nil"/>
              <w:bottom w:val="single" w:color="000000" w:sz="6" w:space="0"/>
              <w:right w:val="single" w:color="000000" w:sz="6" w:space="0"/>
            </w:tcBorders>
            <w:shd w:val="clear"/>
            <w:tcMar>
              <w:top w:w="75" w:type="dxa"/>
              <w:left w:w="75" w:type="dxa"/>
              <w:bottom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color w:val="0C0C0C"/>
                <w:sz w:val="24"/>
                <w:szCs w:val="24"/>
                <w:bdr w:val="none" w:color="auto" w:sz="0" w:space="0"/>
              </w:rPr>
              <w:t>13:10-14:40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65" w:hRule="atLeast"/>
        </w:trPr>
        <w:tc>
          <w:tcPr>
            <w:tcW w:w="1275" w:type="dxa"/>
            <w:vMerge w:val="continue"/>
            <w:tcBorders>
              <w:top w:val="nil"/>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rPr>
                <w:rFonts w:hint="eastAsia" w:ascii="宋体"/>
                <w:sz w:val="24"/>
                <w:szCs w:val="24"/>
              </w:rPr>
            </w:pPr>
          </w:p>
        </w:tc>
        <w:tc>
          <w:tcPr>
            <w:tcW w:w="492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24"/>
                <w:szCs w:val="24"/>
                <w:bdr w:val="none" w:color="auto" w:sz="0" w:space="0"/>
              </w:rPr>
              <w:t>第三场参赛队由工作人员带领前往赛场检录、二次加密、抽取工位号及入场</w:t>
            </w:r>
          </w:p>
        </w:tc>
        <w:tc>
          <w:tcPr>
            <w:tcW w:w="2070" w:type="dxa"/>
            <w:tcBorders>
              <w:top w:val="nil"/>
              <w:left w:val="nil"/>
              <w:bottom w:val="single" w:color="000000" w:sz="6" w:space="0"/>
              <w:right w:val="single" w:color="000000" w:sz="6" w:space="0"/>
            </w:tcBorders>
            <w:shd w:val="clear"/>
            <w:tcMar>
              <w:top w:w="75" w:type="dxa"/>
              <w:left w:w="75" w:type="dxa"/>
              <w:bottom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color w:val="0C0C0C"/>
                <w:sz w:val="24"/>
                <w:szCs w:val="24"/>
                <w:bdr w:val="none" w:color="auto" w:sz="0" w:space="0"/>
              </w:rPr>
              <w:t>14:40-14:50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65" w:hRule="atLeast"/>
        </w:trPr>
        <w:tc>
          <w:tcPr>
            <w:tcW w:w="1275" w:type="dxa"/>
            <w:vMerge w:val="continue"/>
            <w:tcBorders>
              <w:top w:val="nil"/>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rPr>
                <w:rFonts w:hint="eastAsia" w:ascii="宋体"/>
                <w:sz w:val="24"/>
                <w:szCs w:val="24"/>
              </w:rPr>
            </w:pPr>
          </w:p>
        </w:tc>
        <w:tc>
          <w:tcPr>
            <w:tcW w:w="492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24"/>
                <w:szCs w:val="24"/>
                <w:bdr w:val="none" w:color="auto" w:sz="0" w:space="0"/>
              </w:rPr>
              <w:t>第三场比赛时间</w:t>
            </w:r>
          </w:p>
        </w:tc>
        <w:tc>
          <w:tcPr>
            <w:tcW w:w="2070" w:type="dxa"/>
            <w:tcBorders>
              <w:top w:val="nil"/>
              <w:left w:val="nil"/>
              <w:bottom w:val="single" w:color="000000" w:sz="6" w:space="0"/>
              <w:right w:val="single" w:color="000000" w:sz="6" w:space="0"/>
            </w:tcBorders>
            <w:shd w:val="clear"/>
            <w:tcMar>
              <w:top w:w="75" w:type="dxa"/>
              <w:left w:w="75" w:type="dxa"/>
              <w:bottom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color w:val="0C0C0C"/>
                <w:sz w:val="24"/>
                <w:szCs w:val="24"/>
                <w:bdr w:val="none" w:color="auto" w:sz="0" w:space="0"/>
              </w:rPr>
              <w:t>14:50-16:50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65" w:hRule="atLeast"/>
        </w:trPr>
        <w:tc>
          <w:tcPr>
            <w:tcW w:w="1275" w:type="dxa"/>
            <w:vMerge w:val="continue"/>
            <w:tcBorders>
              <w:top w:val="nil"/>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rPr>
                <w:rFonts w:hint="eastAsia" w:ascii="宋体"/>
                <w:sz w:val="24"/>
                <w:szCs w:val="24"/>
              </w:rPr>
            </w:pPr>
          </w:p>
        </w:tc>
        <w:tc>
          <w:tcPr>
            <w:tcW w:w="492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24"/>
                <w:szCs w:val="24"/>
                <w:bdr w:val="none" w:color="auto" w:sz="0" w:space="0"/>
              </w:rPr>
              <w:t>第三场裁判组评分，恢复比赛设备</w:t>
            </w:r>
          </w:p>
        </w:tc>
        <w:tc>
          <w:tcPr>
            <w:tcW w:w="2070" w:type="dxa"/>
            <w:tcBorders>
              <w:top w:val="nil"/>
              <w:left w:val="nil"/>
              <w:bottom w:val="single" w:color="000000" w:sz="6" w:space="0"/>
              <w:right w:val="single" w:color="000000" w:sz="6" w:space="0"/>
            </w:tcBorders>
            <w:shd w:val="clear"/>
            <w:tcMar>
              <w:top w:w="75" w:type="dxa"/>
              <w:left w:w="75" w:type="dxa"/>
              <w:bottom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color w:val="0C0C0C"/>
                <w:sz w:val="24"/>
                <w:szCs w:val="24"/>
                <w:bdr w:val="none" w:color="auto" w:sz="0" w:space="0"/>
              </w:rPr>
              <w:t>16:50-18:20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65" w:hRule="atLeast"/>
        </w:trPr>
        <w:tc>
          <w:tcPr>
            <w:tcW w:w="1275" w:type="dxa"/>
            <w:vMerge w:val="continue"/>
            <w:tcBorders>
              <w:top w:val="nil"/>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rPr>
                <w:rFonts w:hint="eastAsia" w:ascii="宋体"/>
                <w:sz w:val="24"/>
                <w:szCs w:val="24"/>
              </w:rPr>
            </w:pPr>
          </w:p>
        </w:tc>
        <w:tc>
          <w:tcPr>
            <w:tcW w:w="492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24"/>
                <w:szCs w:val="24"/>
                <w:bdr w:val="none" w:color="auto" w:sz="0" w:space="0"/>
              </w:rPr>
              <w:t>第四场参赛队由工作人员带领前往赛场检录、二次加密、抽取工位号及入场</w:t>
            </w:r>
          </w:p>
        </w:tc>
        <w:tc>
          <w:tcPr>
            <w:tcW w:w="2070" w:type="dxa"/>
            <w:tcBorders>
              <w:top w:val="nil"/>
              <w:left w:val="nil"/>
              <w:bottom w:val="single" w:color="000000" w:sz="6" w:space="0"/>
              <w:right w:val="single" w:color="000000" w:sz="6" w:space="0"/>
            </w:tcBorders>
            <w:shd w:val="clear"/>
            <w:tcMar>
              <w:top w:w="75" w:type="dxa"/>
              <w:left w:w="75" w:type="dxa"/>
              <w:bottom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color w:val="0C0C0C"/>
                <w:sz w:val="24"/>
                <w:szCs w:val="24"/>
                <w:bdr w:val="none" w:color="auto" w:sz="0" w:space="0"/>
              </w:rPr>
              <w:t>18:20-18:30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65" w:hRule="atLeast"/>
        </w:trPr>
        <w:tc>
          <w:tcPr>
            <w:tcW w:w="1275" w:type="dxa"/>
            <w:vMerge w:val="continue"/>
            <w:tcBorders>
              <w:top w:val="nil"/>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rPr>
                <w:rFonts w:hint="eastAsia" w:ascii="宋体"/>
                <w:sz w:val="24"/>
                <w:szCs w:val="24"/>
              </w:rPr>
            </w:pPr>
          </w:p>
        </w:tc>
        <w:tc>
          <w:tcPr>
            <w:tcW w:w="492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24"/>
                <w:szCs w:val="24"/>
                <w:bdr w:val="none" w:color="auto" w:sz="0" w:space="0"/>
              </w:rPr>
              <w:t>第四场比赛时间</w:t>
            </w:r>
          </w:p>
        </w:tc>
        <w:tc>
          <w:tcPr>
            <w:tcW w:w="2070" w:type="dxa"/>
            <w:tcBorders>
              <w:top w:val="nil"/>
              <w:left w:val="nil"/>
              <w:bottom w:val="single" w:color="000000" w:sz="6" w:space="0"/>
              <w:right w:val="single" w:color="000000" w:sz="6" w:space="0"/>
            </w:tcBorders>
            <w:shd w:val="clear"/>
            <w:tcMar>
              <w:top w:w="75" w:type="dxa"/>
              <w:left w:w="75" w:type="dxa"/>
              <w:bottom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color w:val="0C0C0C"/>
                <w:sz w:val="24"/>
                <w:szCs w:val="24"/>
                <w:bdr w:val="none" w:color="auto" w:sz="0" w:space="0"/>
              </w:rPr>
              <w:t>18:30-20:30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65" w:hRule="atLeast"/>
        </w:trPr>
        <w:tc>
          <w:tcPr>
            <w:tcW w:w="1275" w:type="dxa"/>
            <w:vMerge w:val="continue"/>
            <w:tcBorders>
              <w:top w:val="nil"/>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rPr>
                <w:rFonts w:hint="eastAsia" w:ascii="宋体"/>
                <w:sz w:val="24"/>
                <w:szCs w:val="24"/>
              </w:rPr>
            </w:pPr>
          </w:p>
        </w:tc>
        <w:tc>
          <w:tcPr>
            <w:tcW w:w="492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24"/>
                <w:szCs w:val="24"/>
                <w:bdr w:val="none" w:color="auto" w:sz="0" w:space="0"/>
              </w:rPr>
              <w:t>第四场裁判组评分</w:t>
            </w:r>
          </w:p>
        </w:tc>
        <w:tc>
          <w:tcPr>
            <w:tcW w:w="2070" w:type="dxa"/>
            <w:tcBorders>
              <w:top w:val="nil"/>
              <w:left w:val="nil"/>
              <w:bottom w:val="single" w:color="000000" w:sz="6" w:space="0"/>
              <w:right w:val="single" w:color="000000" w:sz="6" w:space="0"/>
            </w:tcBorders>
            <w:shd w:val="clear"/>
            <w:tcMar>
              <w:top w:w="75" w:type="dxa"/>
              <w:left w:w="75" w:type="dxa"/>
              <w:bottom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color w:val="0C0C0C"/>
                <w:sz w:val="24"/>
                <w:szCs w:val="24"/>
                <w:bdr w:val="none" w:color="auto" w:sz="0" w:space="0"/>
              </w:rPr>
              <w:t>20:30-21:30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65" w:hRule="atLeast"/>
        </w:trPr>
        <w:tc>
          <w:tcPr>
            <w:tcW w:w="1275" w:type="dxa"/>
            <w:vMerge w:val="continue"/>
            <w:tcBorders>
              <w:top w:val="nil"/>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rPr>
                <w:rFonts w:hint="eastAsia" w:ascii="宋体"/>
                <w:sz w:val="24"/>
                <w:szCs w:val="24"/>
              </w:rPr>
            </w:pPr>
          </w:p>
        </w:tc>
        <w:tc>
          <w:tcPr>
            <w:tcW w:w="492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24"/>
                <w:szCs w:val="24"/>
                <w:bdr w:val="none" w:color="auto" w:sz="0" w:space="0"/>
              </w:rPr>
              <w:t>赛项申诉与仲裁，成绩复核确认  录入上报</w:t>
            </w:r>
          </w:p>
        </w:tc>
        <w:tc>
          <w:tcPr>
            <w:tcW w:w="2070" w:type="dxa"/>
            <w:tcBorders>
              <w:top w:val="nil"/>
              <w:left w:val="nil"/>
              <w:bottom w:val="single" w:color="000000" w:sz="6" w:space="0"/>
              <w:right w:val="single" w:color="000000" w:sz="6" w:space="0"/>
            </w:tcBorders>
            <w:shd w:val="clear"/>
            <w:tcMar>
              <w:top w:w="75" w:type="dxa"/>
              <w:left w:w="75" w:type="dxa"/>
              <w:bottom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color w:val="0C0C0C"/>
                <w:sz w:val="24"/>
                <w:szCs w:val="24"/>
                <w:bdr w:val="none" w:color="auto" w:sz="0" w:space="0"/>
              </w:rPr>
              <w:t>21:30-23:30</w:t>
            </w:r>
          </w:p>
        </w:tc>
      </w:tr>
    </w:tbl>
    <w:p>
      <w:pPr>
        <w:pStyle w:val="2"/>
        <w:keepNext w:val="0"/>
        <w:keepLines w:val="0"/>
        <w:widowControl/>
        <w:suppressLineNumbers w:val="0"/>
        <w:spacing w:before="75" w:beforeAutospacing="0" w:after="75" w:afterAutospacing="0" w:line="555" w:lineRule="atLeast"/>
        <w:ind w:left="0" w:right="0" w:firstLine="555"/>
        <w:jc w:val="both"/>
      </w:pPr>
      <w:r>
        <w:rPr>
          <w:rStyle w:val="5"/>
          <w:rFonts w:hint="eastAsia" w:ascii="仿宋" w:hAnsi="仿宋" w:eastAsia="仿宋" w:cs="仿宋"/>
          <w:sz w:val="28"/>
          <w:szCs w:val="28"/>
        </w:rPr>
        <w:t>五、竞赛试题</w:t>
      </w:r>
    </w:p>
    <w:p>
      <w:pPr>
        <w:pStyle w:val="2"/>
        <w:keepNext w:val="0"/>
        <w:keepLines w:val="0"/>
        <w:widowControl/>
        <w:suppressLineNumbers w:val="0"/>
        <w:spacing w:before="75" w:beforeAutospacing="0" w:after="75" w:afterAutospacing="0" w:line="555" w:lineRule="atLeast"/>
        <w:ind w:left="0" w:right="0" w:firstLine="555"/>
        <w:jc w:val="both"/>
      </w:pPr>
      <w:r>
        <w:rPr>
          <w:rFonts w:hint="eastAsia" w:ascii="仿宋" w:hAnsi="仿宋" w:eastAsia="仿宋" w:cs="仿宋"/>
          <w:sz w:val="28"/>
          <w:szCs w:val="28"/>
        </w:rPr>
        <w:t>比赛前，在监督组的监督下，由裁判长指定相关人员开启正式赛卷。</w:t>
      </w:r>
    </w:p>
    <w:p>
      <w:pPr>
        <w:pStyle w:val="2"/>
        <w:keepNext w:val="0"/>
        <w:keepLines w:val="0"/>
        <w:widowControl/>
        <w:suppressLineNumbers w:val="0"/>
        <w:spacing w:before="75" w:beforeAutospacing="0" w:after="75" w:afterAutospacing="0" w:line="555" w:lineRule="atLeast"/>
        <w:ind w:left="0" w:right="0" w:firstLine="555"/>
        <w:jc w:val="both"/>
      </w:pPr>
      <w:r>
        <w:rPr>
          <w:rFonts w:hint="eastAsia" w:ascii="仿宋" w:hAnsi="仿宋" w:eastAsia="仿宋" w:cs="仿宋"/>
          <w:sz w:val="28"/>
          <w:szCs w:val="28"/>
        </w:rPr>
        <w:t>专家及相关人员，与赛项执委会签署保密协议，在赛项监督人员的监督下开展工作，赛项监督人员不参与涉及到大赛内容的具体事务。</w:t>
      </w:r>
    </w:p>
    <w:p>
      <w:pPr>
        <w:pStyle w:val="2"/>
        <w:keepNext w:val="0"/>
        <w:keepLines w:val="0"/>
        <w:widowControl/>
        <w:suppressLineNumbers w:val="0"/>
        <w:spacing w:before="75" w:beforeAutospacing="0" w:after="75" w:afterAutospacing="0" w:line="555" w:lineRule="atLeast"/>
        <w:ind w:left="0" w:right="0" w:firstLine="555"/>
        <w:jc w:val="both"/>
      </w:pPr>
      <w:r>
        <w:rPr>
          <w:rStyle w:val="5"/>
          <w:rFonts w:hint="eastAsia" w:ascii="仿宋" w:hAnsi="仿宋" w:eastAsia="仿宋" w:cs="仿宋"/>
          <w:sz w:val="28"/>
          <w:szCs w:val="28"/>
        </w:rPr>
        <w:t>六、竞赛规则</w:t>
      </w:r>
    </w:p>
    <w:p>
      <w:pPr>
        <w:pStyle w:val="2"/>
        <w:keepNext w:val="0"/>
        <w:keepLines w:val="0"/>
        <w:widowControl/>
        <w:suppressLineNumbers w:val="0"/>
        <w:spacing w:before="75" w:beforeAutospacing="0" w:after="75" w:afterAutospacing="0" w:line="555" w:lineRule="atLeast"/>
        <w:ind w:left="0" w:right="0" w:firstLine="555"/>
      </w:pPr>
      <w:r>
        <w:rPr>
          <w:rFonts w:hint="eastAsia" w:ascii="仿宋" w:hAnsi="仿宋" w:eastAsia="仿宋" w:cs="仿宋"/>
          <w:sz w:val="28"/>
          <w:szCs w:val="28"/>
        </w:rPr>
        <w:t>1. 每个参赛队由</w:t>
      </w:r>
      <w:r>
        <w:rPr>
          <w:rFonts w:hint="default" w:ascii="Times New Roman" w:hAnsi="Times New Roman" w:eastAsia="仿宋" w:cs="Times New Roman"/>
          <w:sz w:val="28"/>
          <w:szCs w:val="28"/>
        </w:rPr>
        <w:t>3</w:t>
      </w:r>
      <w:r>
        <w:rPr>
          <w:rFonts w:hint="eastAsia" w:ascii="仿宋" w:hAnsi="仿宋" w:eastAsia="仿宋" w:cs="仿宋"/>
          <w:sz w:val="28"/>
          <w:szCs w:val="28"/>
        </w:rPr>
        <w:t>名选手（设场上队长</w:t>
      </w:r>
      <w:r>
        <w:rPr>
          <w:rFonts w:hint="default" w:ascii="Times New Roman" w:hAnsi="Times New Roman" w:eastAsia="仿宋" w:cs="Times New Roman"/>
          <w:sz w:val="28"/>
          <w:szCs w:val="28"/>
        </w:rPr>
        <w:t>1</w:t>
      </w:r>
      <w:r>
        <w:rPr>
          <w:rFonts w:hint="eastAsia" w:ascii="仿宋" w:hAnsi="仿宋" w:eastAsia="仿宋" w:cs="仿宋"/>
          <w:sz w:val="28"/>
          <w:szCs w:val="28"/>
        </w:rPr>
        <w:t>名）和</w:t>
      </w:r>
      <w:r>
        <w:rPr>
          <w:rFonts w:hint="default" w:ascii="Times New Roman" w:hAnsi="Times New Roman" w:eastAsia="仿宋" w:cs="Times New Roman"/>
          <w:sz w:val="28"/>
          <w:szCs w:val="28"/>
        </w:rPr>
        <w:t>1-2</w:t>
      </w:r>
      <w:r>
        <w:rPr>
          <w:rFonts w:hint="eastAsia" w:ascii="仿宋" w:hAnsi="仿宋" w:eastAsia="仿宋" w:cs="仿宋"/>
          <w:sz w:val="28"/>
          <w:szCs w:val="28"/>
        </w:rPr>
        <w:t>名指导教师组成。</w:t>
      </w:r>
    </w:p>
    <w:p>
      <w:pPr>
        <w:pStyle w:val="2"/>
        <w:keepNext w:val="0"/>
        <w:keepLines w:val="0"/>
        <w:widowControl/>
        <w:suppressLineNumbers w:val="0"/>
        <w:spacing w:before="75" w:beforeAutospacing="0" w:after="75" w:afterAutospacing="0" w:line="555" w:lineRule="atLeast"/>
        <w:ind w:left="0" w:right="0" w:firstLine="555"/>
      </w:pPr>
      <w:r>
        <w:rPr>
          <w:rFonts w:hint="eastAsia" w:ascii="仿宋" w:hAnsi="仿宋" w:eastAsia="仿宋" w:cs="仿宋"/>
          <w:sz w:val="28"/>
          <w:szCs w:val="28"/>
        </w:rPr>
        <w:t>2. 每支参赛队最多配备</w:t>
      </w:r>
      <w:r>
        <w:rPr>
          <w:rFonts w:hint="default" w:ascii="Times New Roman" w:hAnsi="Times New Roman" w:eastAsia="仿宋" w:cs="Times New Roman"/>
          <w:sz w:val="28"/>
          <w:szCs w:val="28"/>
        </w:rPr>
        <w:t>2</w:t>
      </w:r>
      <w:r>
        <w:rPr>
          <w:rFonts w:hint="eastAsia" w:ascii="仿宋" w:hAnsi="仿宋" w:eastAsia="仿宋" w:cs="仿宋"/>
          <w:sz w:val="28"/>
          <w:szCs w:val="28"/>
        </w:rPr>
        <w:t>名指导教师</w:t>
      </w:r>
      <w:r>
        <w:rPr>
          <w:rFonts w:hint="default" w:ascii="Times New Roman" w:hAnsi="Times New Roman" w:eastAsia="仿宋" w:cs="Times New Roman"/>
          <w:sz w:val="28"/>
          <w:szCs w:val="28"/>
        </w:rPr>
        <w:t>,</w:t>
      </w:r>
      <w:r>
        <w:rPr>
          <w:rFonts w:hint="eastAsia" w:ascii="仿宋" w:hAnsi="仿宋" w:eastAsia="仿宋" w:cs="仿宋"/>
          <w:sz w:val="28"/>
          <w:szCs w:val="28"/>
        </w:rPr>
        <w:t>指导教师须为本校专兼职教师。</w:t>
      </w:r>
    </w:p>
    <w:p>
      <w:pPr>
        <w:pStyle w:val="2"/>
        <w:keepNext w:val="0"/>
        <w:keepLines w:val="0"/>
        <w:widowControl/>
        <w:suppressLineNumbers w:val="0"/>
        <w:spacing w:before="75" w:beforeAutospacing="0" w:after="75" w:afterAutospacing="0" w:line="555" w:lineRule="atLeast"/>
        <w:ind w:left="0" w:right="0" w:firstLine="555"/>
      </w:pPr>
      <w:r>
        <w:rPr>
          <w:rFonts w:hint="eastAsia" w:ascii="仿宋" w:hAnsi="仿宋" w:eastAsia="仿宋" w:cs="仿宋"/>
          <w:sz w:val="28"/>
          <w:szCs w:val="28"/>
        </w:rPr>
        <w:t>3. 参赛选手凭大赛组委会颁发的参赛凭证和有效身份证件（身份证、学生证）参加竞赛及相关活动，在赛场内操作期间应当始终佩带参赛凭证以备检查。</w:t>
      </w:r>
    </w:p>
    <w:p>
      <w:pPr>
        <w:pStyle w:val="2"/>
        <w:keepNext w:val="0"/>
        <w:keepLines w:val="0"/>
        <w:widowControl/>
        <w:suppressLineNumbers w:val="0"/>
        <w:spacing w:before="75" w:beforeAutospacing="0" w:after="75" w:afterAutospacing="0" w:line="555" w:lineRule="atLeast"/>
        <w:ind w:left="0" w:right="0" w:firstLine="555"/>
      </w:pPr>
      <w:r>
        <w:rPr>
          <w:rFonts w:hint="eastAsia" w:ascii="仿宋" w:hAnsi="仿宋" w:eastAsia="仿宋" w:cs="仿宋"/>
          <w:sz w:val="28"/>
          <w:szCs w:val="28"/>
        </w:rPr>
        <w:t>4. 参赛选手应严格遵守赛场纪律，服从指挥，着装整洁，仪表端庄，讲文明礼貌。各地代表队之间应团结、友好、协作，避免各种矛盾发生。</w:t>
      </w:r>
    </w:p>
    <w:p>
      <w:pPr>
        <w:pStyle w:val="2"/>
        <w:keepNext w:val="0"/>
        <w:keepLines w:val="0"/>
        <w:widowControl/>
        <w:suppressLineNumbers w:val="0"/>
        <w:spacing w:before="75" w:beforeAutospacing="0" w:after="75" w:afterAutospacing="0" w:line="555" w:lineRule="atLeast"/>
        <w:ind w:left="0" w:right="0" w:firstLine="555"/>
      </w:pPr>
      <w:r>
        <w:rPr>
          <w:rFonts w:hint="eastAsia" w:ascii="仿宋" w:hAnsi="仿宋" w:eastAsia="仿宋" w:cs="仿宋"/>
          <w:sz w:val="28"/>
          <w:szCs w:val="28"/>
        </w:rPr>
        <w:t>5. 参赛选手须</w:t>
      </w:r>
      <w:r>
        <w:rPr>
          <w:rFonts w:hint="eastAsia" w:ascii="仿宋" w:hAnsi="仿宋" w:eastAsia="仿宋" w:cs="仿宋"/>
          <w:color w:val="0C0C0C"/>
          <w:sz w:val="28"/>
          <w:szCs w:val="28"/>
        </w:rPr>
        <w:t>提前10分钟入场，</w:t>
      </w:r>
      <w:r>
        <w:rPr>
          <w:rFonts w:hint="eastAsia" w:ascii="仿宋" w:hAnsi="仿宋" w:eastAsia="仿宋" w:cs="仿宋"/>
          <w:sz w:val="28"/>
          <w:szCs w:val="28"/>
        </w:rPr>
        <w:t>入场必须佩戴参赛证并出示身份证和学生证。不得私自携带任何软硬件工具（各种便携式电脑、各种移动存储设备等）、技术资源、通信工具。按工位号入座，检查比赛所需竞赛设备齐全后，由参赛选手签字确认方可开始比赛。选手在比赛中应注意随时存盘。迟到超过10分钟不得入场。竞赛期间不准出场，竞赛结束后方开离场。</w:t>
      </w:r>
    </w:p>
    <w:p>
      <w:pPr>
        <w:pStyle w:val="2"/>
        <w:keepNext w:val="0"/>
        <w:keepLines w:val="0"/>
        <w:widowControl/>
        <w:suppressLineNumbers w:val="0"/>
        <w:spacing w:before="75" w:beforeAutospacing="0" w:after="75" w:afterAutospacing="0" w:line="555" w:lineRule="atLeast"/>
        <w:ind w:left="0" w:right="0" w:firstLine="555"/>
      </w:pPr>
      <w:r>
        <w:rPr>
          <w:rFonts w:hint="eastAsia" w:ascii="仿宋" w:hAnsi="仿宋" w:eastAsia="仿宋" w:cs="仿宋"/>
          <w:sz w:val="28"/>
          <w:szCs w:val="28"/>
        </w:rPr>
        <w:t>6. 竞赛过程中，每个参赛队内部成员之间可以互相沟通，不得向本队之外的任何人员讨论问题，也不得向裁判、巡视和其他必须进入考场的工作人员询问与竞赛项目的操作流程和操作方法有关的问题，如有竞赛题目文字不清、软硬件环境故障的问题时，可向裁判员询问，成员间的沟通谈话不得影响到其他竞赛队伍。</w:t>
      </w:r>
    </w:p>
    <w:p>
      <w:pPr>
        <w:pStyle w:val="2"/>
        <w:keepNext w:val="0"/>
        <w:keepLines w:val="0"/>
        <w:widowControl/>
        <w:suppressLineNumbers w:val="0"/>
        <w:spacing w:before="75" w:beforeAutospacing="0" w:after="75" w:afterAutospacing="0" w:line="555" w:lineRule="atLeast"/>
        <w:ind w:left="0" w:right="0" w:firstLine="555"/>
      </w:pPr>
      <w:r>
        <w:rPr>
          <w:rFonts w:hint="eastAsia" w:ascii="仿宋" w:hAnsi="仿宋" w:eastAsia="仿宋" w:cs="仿宋"/>
          <w:sz w:val="28"/>
          <w:szCs w:val="28"/>
        </w:rPr>
        <w:t>7.参赛选队在竞赛中完成接线和查线后，具备上电准备时，可由队长向裁判提出上电申请，由现场技术支持人员检查确认后给予上电，参赛选手禁止自己合闸上电。</w:t>
      </w:r>
    </w:p>
    <w:p>
      <w:pPr>
        <w:pStyle w:val="2"/>
        <w:keepNext w:val="0"/>
        <w:keepLines w:val="0"/>
        <w:widowControl/>
        <w:suppressLineNumbers w:val="0"/>
        <w:spacing w:before="75" w:beforeAutospacing="0" w:after="75" w:afterAutospacing="0" w:line="555" w:lineRule="atLeast"/>
        <w:ind w:left="0" w:right="0" w:firstLine="555"/>
      </w:pPr>
      <w:r>
        <w:rPr>
          <w:rFonts w:hint="eastAsia" w:ascii="仿宋" w:hAnsi="仿宋" w:eastAsia="仿宋" w:cs="仿宋"/>
          <w:sz w:val="28"/>
          <w:szCs w:val="28"/>
        </w:rPr>
        <w:t>8. 竞赛过程中除裁判和其他必须进入考场的工作人员外，任何其它非竞赛选手不得进入竞赛场地。</w:t>
      </w:r>
    </w:p>
    <w:p>
      <w:pPr>
        <w:pStyle w:val="2"/>
        <w:keepNext w:val="0"/>
        <w:keepLines w:val="0"/>
        <w:widowControl/>
        <w:suppressLineNumbers w:val="0"/>
        <w:spacing w:before="75" w:beforeAutospacing="0" w:after="75" w:afterAutospacing="0" w:line="555" w:lineRule="atLeast"/>
        <w:ind w:left="0" w:right="0" w:firstLine="555"/>
      </w:pPr>
      <w:r>
        <w:rPr>
          <w:rFonts w:hint="eastAsia" w:ascii="仿宋" w:hAnsi="仿宋" w:eastAsia="仿宋" w:cs="仿宋"/>
          <w:sz w:val="28"/>
          <w:szCs w:val="28"/>
        </w:rPr>
        <w:t>9. 竞赛结束（或提前完成）后，参赛队要确认成功提交竞赛要求的文件，裁判员与参赛队队长一起签字确认，参赛队在确认后不得再进行任何操作。</w:t>
      </w:r>
    </w:p>
    <w:p>
      <w:pPr>
        <w:pStyle w:val="2"/>
        <w:keepNext w:val="0"/>
        <w:keepLines w:val="0"/>
        <w:widowControl/>
        <w:suppressLineNumbers w:val="0"/>
        <w:spacing w:before="75" w:beforeAutospacing="0" w:after="75" w:afterAutospacing="0" w:line="555" w:lineRule="atLeast"/>
        <w:ind w:left="0" w:right="0" w:firstLine="555"/>
      </w:pPr>
      <w:r>
        <w:rPr>
          <w:rFonts w:hint="eastAsia" w:ascii="仿宋" w:hAnsi="仿宋" w:eastAsia="仿宋" w:cs="仿宋"/>
          <w:sz w:val="28"/>
          <w:szCs w:val="28"/>
        </w:rPr>
        <w:t>10. 其它未尽事宜，将在竞赛指南或赛前说明会向各领队做详细说明。</w:t>
      </w:r>
    </w:p>
    <w:p>
      <w:pPr>
        <w:pStyle w:val="2"/>
        <w:keepNext w:val="0"/>
        <w:keepLines w:val="0"/>
        <w:widowControl/>
        <w:suppressLineNumbers w:val="0"/>
        <w:spacing w:before="75" w:beforeAutospacing="0" w:after="75" w:afterAutospacing="0" w:line="555" w:lineRule="atLeast"/>
        <w:ind w:left="0" w:right="0" w:firstLine="555"/>
      </w:pPr>
      <w:r>
        <w:rPr>
          <w:rStyle w:val="5"/>
          <w:rFonts w:hint="eastAsia" w:ascii="仿宋" w:hAnsi="仿宋" w:eastAsia="仿宋" w:cs="仿宋"/>
          <w:sz w:val="28"/>
          <w:szCs w:val="28"/>
        </w:rPr>
        <w:t>七、竞赛环境</w:t>
      </w:r>
    </w:p>
    <w:p>
      <w:pPr>
        <w:pStyle w:val="2"/>
        <w:keepNext w:val="0"/>
        <w:keepLines w:val="0"/>
        <w:widowControl/>
        <w:suppressLineNumbers w:val="0"/>
        <w:spacing w:before="75" w:beforeAutospacing="0" w:after="75" w:afterAutospacing="0" w:line="555" w:lineRule="atLeast"/>
        <w:ind w:left="0" w:right="0"/>
      </w:pPr>
      <w:r>
        <w:rPr>
          <w:rFonts w:hint="eastAsia" w:ascii="仿宋" w:hAnsi="仿宋" w:eastAsia="仿宋" w:cs="仿宋"/>
          <w:sz w:val="28"/>
          <w:szCs w:val="28"/>
        </w:rPr>
        <w:t>                      </w:t>
      </w:r>
      <w:r>
        <w:rPr>
          <w:rStyle w:val="5"/>
          <w:rFonts w:hint="eastAsia" w:ascii="仿宋" w:hAnsi="仿宋" w:eastAsia="仿宋" w:cs="仿宋"/>
          <w:sz w:val="24"/>
          <w:szCs w:val="24"/>
        </w:rPr>
        <w:t>表2  硬件环境</w:t>
      </w:r>
    </w:p>
    <w:tbl>
      <w:tblPr>
        <w:tblW w:w="874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870"/>
        <w:gridCol w:w="3030"/>
        <w:gridCol w:w="3285"/>
        <w:gridCol w:w="15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40" w:hRule="atLeast"/>
        </w:trPr>
        <w:tc>
          <w:tcPr>
            <w:tcW w:w="87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5" w:afterAutospacing="0" w:line="555" w:lineRule="atLeast"/>
              <w:ind w:left="0" w:right="0"/>
              <w:jc w:val="center"/>
            </w:pPr>
            <w:r>
              <w:rPr>
                <w:rStyle w:val="5"/>
                <w:rFonts w:hint="eastAsia" w:ascii="仿宋" w:hAnsi="仿宋" w:eastAsia="仿宋" w:cs="仿宋"/>
                <w:sz w:val="24"/>
                <w:szCs w:val="24"/>
                <w:bdr w:val="none" w:color="auto" w:sz="0" w:space="0"/>
              </w:rPr>
              <w:t>序号</w:t>
            </w:r>
          </w:p>
        </w:tc>
        <w:tc>
          <w:tcPr>
            <w:tcW w:w="303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5" w:afterAutospacing="0" w:line="555" w:lineRule="atLeast"/>
              <w:ind w:left="0" w:right="0"/>
              <w:jc w:val="center"/>
            </w:pPr>
            <w:r>
              <w:rPr>
                <w:rStyle w:val="5"/>
                <w:rFonts w:hint="eastAsia" w:ascii="仿宋" w:hAnsi="仿宋" w:eastAsia="仿宋" w:cs="仿宋"/>
                <w:sz w:val="24"/>
                <w:szCs w:val="24"/>
                <w:bdr w:val="none" w:color="auto" w:sz="0" w:space="0"/>
              </w:rPr>
              <w:t>设备名称</w:t>
            </w:r>
          </w:p>
        </w:tc>
        <w:tc>
          <w:tcPr>
            <w:tcW w:w="328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5" w:afterAutospacing="0" w:line="555" w:lineRule="atLeast"/>
              <w:ind w:left="0" w:right="0"/>
              <w:jc w:val="center"/>
            </w:pPr>
            <w:r>
              <w:rPr>
                <w:rStyle w:val="5"/>
                <w:rFonts w:hint="eastAsia" w:ascii="仿宋" w:hAnsi="仿宋" w:eastAsia="仿宋" w:cs="仿宋"/>
                <w:sz w:val="24"/>
                <w:szCs w:val="24"/>
                <w:bdr w:val="none" w:color="auto" w:sz="0" w:space="0"/>
              </w:rPr>
              <w:t>型号</w:t>
            </w:r>
          </w:p>
        </w:tc>
        <w:tc>
          <w:tcPr>
            <w:tcW w:w="156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5" w:afterAutospacing="0" w:line="555" w:lineRule="atLeast"/>
              <w:ind w:left="0" w:right="0"/>
              <w:jc w:val="center"/>
            </w:pPr>
            <w:r>
              <w:rPr>
                <w:rStyle w:val="5"/>
                <w:rFonts w:hint="eastAsia" w:ascii="仿宋" w:hAnsi="仿宋" w:eastAsia="仿宋" w:cs="仿宋"/>
                <w:sz w:val="24"/>
                <w:szCs w:val="24"/>
                <w:bdr w:val="none" w:color="auto" w:sz="0" w:space="0"/>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25" w:hRule="atLeast"/>
        </w:trPr>
        <w:tc>
          <w:tcPr>
            <w:tcW w:w="87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仿宋" w:hAnsi="仿宋" w:eastAsia="仿宋" w:cs="仿宋"/>
                <w:sz w:val="24"/>
                <w:szCs w:val="24"/>
                <w:bdr w:val="none" w:color="auto" w:sz="0" w:space="0"/>
              </w:rPr>
              <w:t>1</w:t>
            </w:r>
          </w:p>
        </w:tc>
        <w:tc>
          <w:tcPr>
            <w:tcW w:w="303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仿宋" w:hAnsi="仿宋" w:eastAsia="仿宋" w:cs="仿宋"/>
                <w:sz w:val="24"/>
                <w:szCs w:val="24"/>
                <w:bdr w:val="none" w:color="auto" w:sz="0" w:space="0"/>
              </w:rPr>
              <w:t>智慧新能源实训系统</w:t>
            </w:r>
          </w:p>
        </w:tc>
        <w:tc>
          <w:tcPr>
            <w:tcW w:w="328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仿宋" w:hAnsi="仿宋" w:eastAsia="仿宋" w:cs="仿宋"/>
                <w:sz w:val="24"/>
                <w:szCs w:val="24"/>
                <w:bdr w:val="none" w:color="auto" w:sz="0" w:space="0"/>
              </w:rPr>
              <w:t>Demeter131A</w:t>
            </w:r>
          </w:p>
        </w:tc>
        <w:tc>
          <w:tcPr>
            <w:tcW w:w="156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仿宋" w:hAnsi="仿宋" w:eastAsia="仿宋" w:cs="仿宋"/>
                <w:sz w:val="24"/>
                <w:szCs w:val="24"/>
                <w:bdr w:val="none" w:color="auto" w:sz="0" w:space="0"/>
              </w:rPr>
              <w:t>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770" w:hRule="atLeast"/>
        </w:trPr>
        <w:tc>
          <w:tcPr>
            <w:tcW w:w="87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仿宋" w:hAnsi="仿宋" w:eastAsia="仿宋" w:cs="仿宋"/>
                <w:sz w:val="24"/>
                <w:szCs w:val="24"/>
                <w:bdr w:val="none" w:color="auto" w:sz="0" w:space="0"/>
              </w:rPr>
              <w:t>2</w:t>
            </w:r>
          </w:p>
        </w:tc>
        <w:tc>
          <w:tcPr>
            <w:tcW w:w="303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仿宋" w:hAnsi="仿宋" w:eastAsia="仿宋" w:cs="仿宋"/>
                <w:sz w:val="24"/>
                <w:szCs w:val="24"/>
                <w:bdr w:val="none" w:color="auto" w:sz="0" w:space="0"/>
              </w:rPr>
              <w:t>工作站（台式</w:t>
            </w:r>
            <w:r>
              <w:rPr>
                <w:rFonts w:hint="default" w:ascii="Times New Roman" w:hAnsi="Times New Roman" w:eastAsia="仿宋" w:cs="Times New Roman"/>
                <w:sz w:val="24"/>
                <w:szCs w:val="24"/>
                <w:bdr w:val="none" w:color="auto" w:sz="0" w:space="0"/>
              </w:rPr>
              <w:t>PC</w:t>
            </w:r>
            <w:r>
              <w:rPr>
                <w:rFonts w:hint="eastAsia" w:ascii="仿宋" w:hAnsi="仿宋" w:eastAsia="仿宋" w:cs="仿宋"/>
                <w:sz w:val="24"/>
                <w:szCs w:val="24"/>
                <w:bdr w:val="none" w:color="auto" w:sz="0" w:space="0"/>
              </w:rPr>
              <w:t>）</w:t>
            </w:r>
          </w:p>
        </w:tc>
        <w:tc>
          <w:tcPr>
            <w:tcW w:w="328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仿宋" w:hAnsi="仿宋" w:eastAsia="仿宋" w:cs="仿宋"/>
                <w:sz w:val="24"/>
                <w:szCs w:val="24"/>
                <w:bdr w:val="none" w:color="auto" w:sz="0" w:space="0"/>
              </w:rPr>
              <w:t>CPU 主频</w:t>
            </w:r>
            <w:r>
              <w:rPr>
                <w:rFonts w:hint="default" w:ascii="Times New Roman" w:hAnsi="Times New Roman" w:eastAsia="仿宋" w:cs="Times New Roman"/>
                <w:sz w:val="24"/>
                <w:szCs w:val="24"/>
                <w:bdr w:val="none" w:color="auto" w:sz="0" w:space="0"/>
              </w:rPr>
              <w:t>&gt;=3.5GHZ,&gt;=</w:t>
            </w:r>
            <w:r>
              <w:rPr>
                <w:rFonts w:hint="eastAsia" w:ascii="仿宋" w:hAnsi="仿宋" w:eastAsia="仿宋" w:cs="仿宋"/>
                <w:sz w:val="24"/>
                <w:szCs w:val="24"/>
                <w:bdr w:val="none" w:color="auto" w:sz="0" w:space="0"/>
              </w:rPr>
              <w:t>四核心 八线程；内存</w:t>
            </w:r>
            <w:r>
              <w:rPr>
                <w:rFonts w:hint="default" w:ascii="Times New Roman" w:hAnsi="Times New Roman" w:eastAsia="仿宋" w:cs="Times New Roman"/>
                <w:sz w:val="24"/>
                <w:szCs w:val="24"/>
                <w:bdr w:val="none" w:color="auto" w:sz="0" w:space="0"/>
              </w:rPr>
              <w:t>&gt;=8G</w:t>
            </w:r>
            <w:r>
              <w:rPr>
                <w:rFonts w:hint="eastAsia" w:ascii="仿宋" w:hAnsi="仿宋" w:eastAsia="仿宋" w:cs="仿宋"/>
                <w:sz w:val="24"/>
                <w:szCs w:val="24"/>
                <w:bdr w:val="none" w:color="auto" w:sz="0" w:space="0"/>
              </w:rPr>
              <w:t>；硬盘</w:t>
            </w:r>
            <w:r>
              <w:rPr>
                <w:rFonts w:hint="default" w:ascii="Times New Roman" w:hAnsi="Times New Roman" w:eastAsia="仿宋" w:cs="Times New Roman"/>
                <w:sz w:val="24"/>
                <w:szCs w:val="24"/>
                <w:bdr w:val="none" w:color="auto" w:sz="0" w:space="0"/>
              </w:rPr>
              <w:t>&gt;=1T</w:t>
            </w:r>
            <w:r>
              <w:rPr>
                <w:rFonts w:hint="eastAsia" w:ascii="仿宋" w:hAnsi="仿宋" w:eastAsia="仿宋" w:cs="仿宋"/>
                <w:sz w:val="24"/>
                <w:szCs w:val="24"/>
                <w:bdr w:val="none" w:color="auto" w:sz="0" w:space="0"/>
              </w:rPr>
              <w:t>；支持硬件虚拟化；具有串口或者提供</w:t>
            </w:r>
            <w:r>
              <w:rPr>
                <w:rFonts w:hint="default" w:ascii="Times New Roman" w:hAnsi="Times New Roman" w:eastAsia="仿宋" w:cs="Times New Roman"/>
                <w:sz w:val="24"/>
                <w:szCs w:val="24"/>
                <w:bdr w:val="none" w:color="auto" w:sz="0" w:space="0"/>
              </w:rPr>
              <w:t>USB</w:t>
            </w:r>
            <w:r>
              <w:rPr>
                <w:rFonts w:hint="eastAsia" w:ascii="仿宋" w:hAnsi="仿宋" w:eastAsia="仿宋" w:cs="仿宋"/>
                <w:sz w:val="24"/>
                <w:szCs w:val="24"/>
                <w:bdr w:val="none" w:color="auto" w:sz="0" w:space="0"/>
              </w:rPr>
              <w:t>转串口配置线缆；含</w:t>
            </w:r>
            <w:r>
              <w:rPr>
                <w:rFonts w:hint="default" w:ascii="Times New Roman" w:hAnsi="Times New Roman" w:eastAsia="仿宋" w:cs="Times New Roman"/>
                <w:sz w:val="24"/>
                <w:szCs w:val="24"/>
                <w:bdr w:val="none" w:color="auto" w:sz="0" w:space="0"/>
              </w:rPr>
              <w:t>win7</w:t>
            </w:r>
            <w:r>
              <w:rPr>
                <w:rFonts w:hint="eastAsia" w:ascii="仿宋" w:hAnsi="仿宋" w:eastAsia="仿宋" w:cs="仿宋"/>
                <w:sz w:val="24"/>
                <w:szCs w:val="24"/>
                <w:bdr w:val="none" w:color="auto" w:sz="0" w:space="0"/>
              </w:rPr>
              <w:t>操作系统并预装竞赛用软件</w:t>
            </w:r>
          </w:p>
        </w:tc>
        <w:tc>
          <w:tcPr>
            <w:tcW w:w="156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仿宋" w:hAnsi="仿宋" w:eastAsia="仿宋" w:cs="仿宋"/>
                <w:sz w:val="24"/>
                <w:szCs w:val="24"/>
                <w:bdr w:val="none" w:color="auto" w:sz="0" w:space="0"/>
              </w:rPr>
              <w:t>2台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5" w:hRule="atLeast"/>
        </w:trPr>
        <w:tc>
          <w:tcPr>
            <w:tcW w:w="87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仿宋" w:hAnsi="仿宋" w:eastAsia="仿宋" w:cs="仿宋"/>
                <w:sz w:val="24"/>
                <w:szCs w:val="24"/>
                <w:bdr w:val="none" w:color="auto" w:sz="0" w:space="0"/>
              </w:rPr>
              <w:t>3</w:t>
            </w:r>
          </w:p>
        </w:tc>
        <w:tc>
          <w:tcPr>
            <w:tcW w:w="303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60"/>
            </w:pPr>
            <w:r>
              <w:rPr>
                <w:rFonts w:hint="eastAsia" w:ascii="仿宋" w:hAnsi="仿宋" w:eastAsia="仿宋" w:cs="仿宋"/>
                <w:sz w:val="24"/>
                <w:szCs w:val="24"/>
                <w:bdr w:val="none" w:color="auto" w:sz="0" w:space="0"/>
              </w:rPr>
              <w:t>竞赛工作台</w:t>
            </w:r>
          </w:p>
        </w:tc>
        <w:tc>
          <w:tcPr>
            <w:tcW w:w="328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仿宋" w:hAnsi="仿宋" w:eastAsia="仿宋" w:cs="仿宋"/>
                <w:sz w:val="24"/>
                <w:szCs w:val="24"/>
                <w:bdr w:val="none" w:color="auto" w:sz="0" w:space="0"/>
              </w:rPr>
              <w:t>1.4m*0.7m工作桌</w:t>
            </w:r>
            <w:r>
              <w:rPr>
                <w:rFonts w:hint="default" w:ascii="Times New Roman" w:hAnsi="Times New Roman" w:eastAsia="仿宋" w:cs="Times New Roman"/>
                <w:sz w:val="24"/>
                <w:szCs w:val="24"/>
                <w:bdr w:val="none" w:color="auto" w:sz="0" w:space="0"/>
              </w:rPr>
              <w:t>2</w:t>
            </w:r>
            <w:r>
              <w:rPr>
                <w:rFonts w:hint="eastAsia" w:ascii="仿宋" w:hAnsi="仿宋" w:eastAsia="仿宋" w:cs="仿宋"/>
                <w:sz w:val="24"/>
                <w:szCs w:val="24"/>
                <w:bdr w:val="none" w:color="auto" w:sz="0" w:space="0"/>
              </w:rPr>
              <w:t>张；座椅</w:t>
            </w:r>
            <w:r>
              <w:rPr>
                <w:rFonts w:hint="default" w:ascii="Times New Roman" w:hAnsi="Times New Roman" w:eastAsia="仿宋" w:cs="Times New Roman"/>
                <w:sz w:val="24"/>
                <w:szCs w:val="24"/>
                <w:bdr w:val="none" w:color="auto" w:sz="0" w:space="0"/>
              </w:rPr>
              <w:t>3</w:t>
            </w:r>
            <w:r>
              <w:rPr>
                <w:rFonts w:hint="eastAsia" w:ascii="仿宋" w:hAnsi="仿宋" w:eastAsia="仿宋" w:cs="仿宋"/>
                <w:sz w:val="24"/>
                <w:szCs w:val="24"/>
                <w:bdr w:val="none" w:color="auto" w:sz="0" w:space="0"/>
              </w:rPr>
              <w:t>把</w:t>
            </w:r>
          </w:p>
        </w:tc>
        <w:tc>
          <w:tcPr>
            <w:tcW w:w="156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仿宋" w:hAnsi="仿宋" w:eastAsia="仿宋" w:cs="仿宋"/>
                <w:sz w:val="24"/>
                <w:szCs w:val="24"/>
                <w:bdr w:val="none" w:color="auto" w:sz="0" w:space="0"/>
              </w:rPr>
              <w:t>1套</w:t>
            </w:r>
          </w:p>
        </w:tc>
      </w:tr>
    </w:tbl>
    <w:p>
      <w:pPr>
        <w:pStyle w:val="2"/>
        <w:keepNext w:val="0"/>
        <w:keepLines w:val="0"/>
        <w:widowControl/>
        <w:suppressLineNumbers w:val="0"/>
        <w:spacing w:before="75" w:beforeAutospacing="0" w:after="75" w:afterAutospacing="0" w:line="555" w:lineRule="atLeast"/>
        <w:ind w:left="0" w:right="0" w:firstLine="3375"/>
      </w:pPr>
      <w:r>
        <w:rPr>
          <w:rStyle w:val="5"/>
          <w:rFonts w:hint="default" w:ascii="Times New Roman" w:hAnsi="Times New Roman" w:cs="Times New Roman"/>
          <w:sz w:val="24"/>
          <w:szCs w:val="24"/>
        </w:rPr>
        <w:t> </w:t>
      </w:r>
    </w:p>
    <w:p>
      <w:pPr>
        <w:pStyle w:val="2"/>
        <w:keepNext w:val="0"/>
        <w:keepLines w:val="0"/>
        <w:widowControl/>
        <w:suppressLineNumbers w:val="0"/>
        <w:spacing w:before="75" w:beforeAutospacing="0" w:after="75" w:afterAutospacing="0" w:line="555" w:lineRule="atLeast"/>
        <w:ind w:left="0" w:right="0" w:firstLine="3375"/>
      </w:pPr>
      <w:r>
        <w:rPr>
          <w:rStyle w:val="5"/>
          <w:rFonts w:hint="eastAsia" w:ascii="仿宋" w:hAnsi="仿宋" w:eastAsia="仿宋" w:cs="仿宋"/>
          <w:sz w:val="24"/>
          <w:szCs w:val="24"/>
        </w:rPr>
        <w:t>表3  其它</w:t>
      </w:r>
    </w:p>
    <w:tbl>
      <w:tblPr>
        <w:tblW w:w="877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1112"/>
        <w:gridCol w:w="6100"/>
        <w:gridCol w:w="15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55" w:hRule="atLeast"/>
        </w:trPr>
        <w:tc>
          <w:tcPr>
            <w:tcW w:w="1110" w:type="dxa"/>
            <w:tcBorders>
              <w:top w:val="single" w:color="auto" w:sz="6" w:space="0"/>
              <w:left w:val="single" w:color="auto" w:sz="6" w:space="0"/>
              <w:bottom w:val="single" w:color="auto" w:sz="6" w:space="0"/>
              <w:right w:val="single" w:color="auto"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Style w:val="5"/>
                <w:rFonts w:hint="eastAsia" w:ascii="仿宋" w:hAnsi="仿宋" w:eastAsia="仿宋" w:cs="仿宋"/>
                <w:sz w:val="24"/>
                <w:szCs w:val="24"/>
                <w:bdr w:val="none" w:color="auto" w:sz="0" w:space="0"/>
              </w:rPr>
              <w:t>序号</w:t>
            </w:r>
          </w:p>
        </w:tc>
        <w:tc>
          <w:tcPr>
            <w:tcW w:w="6090" w:type="dxa"/>
            <w:tcBorders>
              <w:top w:val="single" w:color="auto" w:sz="6" w:space="0"/>
              <w:left w:val="nil"/>
              <w:bottom w:val="single" w:color="auto" w:sz="6" w:space="0"/>
              <w:right w:val="single" w:color="auto"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Style w:val="5"/>
                <w:rFonts w:hint="eastAsia" w:ascii="仿宋" w:hAnsi="仿宋" w:eastAsia="仿宋" w:cs="仿宋"/>
                <w:sz w:val="24"/>
                <w:szCs w:val="24"/>
                <w:bdr w:val="none" w:color="auto" w:sz="0" w:space="0"/>
              </w:rPr>
              <w:t>名称</w:t>
            </w:r>
          </w:p>
        </w:tc>
        <w:tc>
          <w:tcPr>
            <w:tcW w:w="1560" w:type="dxa"/>
            <w:tcBorders>
              <w:top w:val="single" w:color="auto" w:sz="6" w:space="0"/>
              <w:left w:val="nil"/>
              <w:bottom w:val="single" w:color="auto" w:sz="6" w:space="0"/>
              <w:right w:val="single" w:color="auto"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Style w:val="5"/>
                <w:rFonts w:hint="eastAsia" w:ascii="仿宋" w:hAnsi="仿宋" w:eastAsia="仿宋" w:cs="仿宋"/>
                <w:sz w:val="24"/>
                <w:szCs w:val="24"/>
                <w:bdr w:val="none" w:color="auto" w:sz="0" w:space="0"/>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5" w:hRule="atLeast"/>
        </w:trPr>
        <w:tc>
          <w:tcPr>
            <w:tcW w:w="1110" w:type="dxa"/>
            <w:tcBorders>
              <w:top w:val="nil"/>
              <w:left w:val="single" w:color="auto" w:sz="6" w:space="0"/>
              <w:bottom w:val="single" w:color="auto" w:sz="6" w:space="0"/>
              <w:right w:val="single" w:color="auto"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仿宋" w:hAnsi="仿宋" w:eastAsia="仿宋" w:cs="仿宋"/>
                <w:sz w:val="24"/>
                <w:szCs w:val="24"/>
                <w:bdr w:val="none" w:color="auto" w:sz="0" w:space="0"/>
              </w:rPr>
              <w:t>1</w:t>
            </w:r>
          </w:p>
        </w:tc>
        <w:tc>
          <w:tcPr>
            <w:tcW w:w="6090" w:type="dxa"/>
            <w:tcBorders>
              <w:top w:val="nil"/>
              <w:left w:val="nil"/>
              <w:bottom w:val="single" w:color="auto" w:sz="6" w:space="0"/>
              <w:right w:val="single" w:color="auto"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仿宋" w:hAnsi="仿宋" w:eastAsia="仿宋" w:cs="仿宋"/>
                <w:sz w:val="24"/>
                <w:szCs w:val="24"/>
                <w:bdr w:val="none" w:color="auto" w:sz="0" w:space="0"/>
              </w:rPr>
              <w:t>笔</w:t>
            </w:r>
          </w:p>
        </w:tc>
        <w:tc>
          <w:tcPr>
            <w:tcW w:w="1560" w:type="dxa"/>
            <w:tcBorders>
              <w:top w:val="nil"/>
              <w:left w:val="nil"/>
              <w:bottom w:val="single" w:color="auto" w:sz="6" w:space="0"/>
              <w:right w:val="single" w:color="auto"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仿宋" w:hAnsi="仿宋" w:eastAsia="仿宋" w:cs="仿宋"/>
                <w:sz w:val="24"/>
                <w:szCs w:val="24"/>
                <w:bdr w:val="none" w:color="auto" w:sz="0" w:space="0"/>
              </w:rPr>
              <w:t>3支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5" w:hRule="atLeast"/>
        </w:trPr>
        <w:tc>
          <w:tcPr>
            <w:tcW w:w="1110" w:type="dxa"/>
            <w:tcBorders>
              <w:top w:val="nil"/>
              <w:left w:val="single" w:color="auto" w:sz="6" w:space="0"/>
              <w:bottom w:val="single" w:color="auto" w:sz="6" w:space="0"/>
              <w:right w:val="single" w:color="auto"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仿宋" w:hAnsi="仿宋" w:eastAsia="仿宋" w:cs="仿宋"/>
                <w:sz w:val="24"/>
                <w:szCs w:val="24"/>
                <w:bdr w:val="none" w:color="auto" w:sz="0" w:space="0"/>
              </w:rPr>
              <w:t>2</w:t>
            </w:r>
          </w:p>
        </w:tc>
        <w:tc>
          <w:tcPr>
            <w:tcW w:w="6090" w:type="dxa"/>
            <w:tcBorders>
              <w:top w:val="nil"/>
              <w:left w:val="nil"/>
              <w:bottom w:val="single" w:color="auto" w:sz="6" w:space="0"/>
              <w:right w:val="single" w:color="auto"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仿宋" w:hAnsi="仿宋" w:eastAsia="仿宋" w:cs="仿宋"/>
                <w:sz w:val="24"/>
                <w:szCs w:val="24"/>
                <w:bdr w:val="none" w:color="auto" w:sz="0" w:space="0"/>
              </w:rPr>
              <w:t>A4纸</w:t>
            </w:r>
          </w:p>
        </w:tc>
        <w:tc>
          <w:tcPr>
            <w:tcW w:w="1560" w:type="dxa"/>
            <w:tcBorders>
              <w:top w:val="nil"/>
              <w:left w:val="nil"/>
              <w:bottom w:val="single" w:color="auto" w:sz="6" w:space="0"/>
              <w:right w:val="single" w:color="auto"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仿宋" w:hAnsi="仿宋" w:eastAsia="仿宋" w:cs="仿宋"/>
                <w:sz w:val="24"/>
                <w:szCs w:val="24"/>
                <w:bdr w:val="none" w:color="auto" w:sz="0" w:space="0"/>
              </w:rPr>
              <w:t>若干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5" w:hRule="atLeast"/>
        </w:trPr>
        <w:tc>
          <w:tcPr>
            <w:tcW w:w="1110" w:type="dxa"/>
            <w:tcBorders>
              <w:top w:val="nil"/>
              <w:left w:val="single" w:color="auto" w:sz="6" w:space="0"/>
              <w:bottom w:val="single" w:color="auto" w:sz="6" w:space="0"/>
              <w:right w:val="single" w:color="auto"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仿宋" w:hAnsi="仿宋" w:eastAsia="仿宋" w:cs="仿宋"/>
                <w:sz w:val="24"/>
                <w:szCs w:val="24"/>
                <w:bdr w:val="none" w:color="auto" w:sz="0" w:space="0"/>
              </w:rPr>
              <w:t>3</w:t>
            </w:r>
          </w:p>
        </w:tc>
        <w:tc>
          <w:tcPr>
            <w:tcW w:w="6090" w:type="dxa"/>
            <w:tcBorders>
              <w:top w:val="nil"/>
              <w:left w:val="nil"/>
              <w:bottom w:val="single" w:color="auto" w:sz="6" w:space="0"/>
              <w:right w:val="single" w:color="auto"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仿宋" w:hAnsi="仿宋" w:eastAsia="仿宋" w:cs="仿宋"/>
                <w:sz w:val="24"/>
                <w:szCs w:val="24"/>
                <w:bdr w:val="none" w:color="auto" w:sz="0" w:space="0"/>
              </w:rPr>
              <w:t>U盘</w:t>
            </w:r>
          </w:p>
        </w:tc>
        <w:tc>
          <w:tcPr>
            <w:tcW w:w="1560" w:type="dxa"/>
            <w:tcBorders>
              <w:top w:val="nil"/>
              <w:left w:val="nil"/>
              <w:bottom w:val="single" w:color="auto" w:sz="6" w:space="0"/>
              <w:right w:val="single" w:color="auto"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仿宋" w:hAnsi="仿宋" w:eastAsia="仿宋" w:cs="仿宋"/>
                <w:sz w:val="24"/>
                <w:szCs w:val="24"/>
                <w:bdr w:val="none" w:color="auto" w:sz="0" w:space="0"/>
              </w:rPr>
              <w:t>1个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110" w:type="dxa"/>
            <w:tcBorders>
              <w:top w:val="nil"/>
              <w:left w:val="single" w:color="auto" w:sz="6" w:space="0"/>
              <w:bottom w:val="single" w:color="auto" w:sz="6" w:space="0"/>
              <w:right w:val="single" w:color="auto"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仿宋" w:hAnsi="仿宋" w:eastAsia="仿宋" w:cs="仿宋"/>
                <w:sz w:val="24"/>
                <w:szCs w:val="24"/>
                <w:bdr w:val="none" w:color="auto" w:sz="0" w:space="0"/>
              </w:rPr>
              <w:t>4</w:t>
            </w:r>
          </w:p>
        </w:tc>
        <w:tc>
          <w:tcPr>
            <w:tcW w:w="6090" w:type="dxa"/>
            <w:tcBorders>
              <w:top w:val="nil"/>
              <w:left w:val="nil"/>
              <w:bottom w:val="single" w:color="auto" w:sz="6" w:space="0"/>
              <w:right w:val="single" w:color="auto"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仿宋" w:hAnsi="仿宋" w:eastAsia="仿宋" w:cs="仿宋"/>
                <w:sz w:val="24"/>
                <w:szCs w:val="24"/>
                <w:bdr w:val="none" w:color="auto" w:sz="0" w:space="0"/>
              </w:rPr>
              <w:t>竞赛参考资料</w:t>
            </w:r>
          </w:p>
        </w:tc>
        <w:tc>
          <w:tcPr>
            <w:tcW w:w="1560" w:type="dxa"/>
            <w:tcBorders>
              <w:top w:val="nil"/>
              <w:left w:val="nil"/>
              <w:bottom w:val="single" w:color="auto" w:sz="6" w:space="0"/>
              <w:right w:val="single" w:color="auto"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仿宋" w:hAnsi="仿宋" w:eastAsia="仿宋" w:cs="仿宋"/>
                <w:sz w:val="24"/>
                <w:szCs w:val="24"/>
                <w:bdr w:val="none" w:color="auto" w:sz="0" w:space="0"/>
              </w:rPr>
              <w:t>1份</w:t>
            </w:r>
          </w:p>
        </w:tc>
      </w:tr>
    </w:tbl>
    <w:p>
      <w:pPr>
        <w:pStyle w:val="2"/>
        <w:keepNext w:val="0"/>
        <w:keepLines w:val="0"/>
        <w:widowControl/>
        <w:suppressLineNumbers w:val="0"/>
        <w:spacing w:before="75" w:beforeAutospacing="0" w:after="75" w:afterAutospacing="0" w:line="555" w:lineRule="atLeast"/>
        <w:ind w:left="0" w:right="0" w:firstLine="555"/>
      </w:pPr>
      <w:r>
        <w:rPr>
          <w:rFonts w:hint="eastAsia" w:ascii="仿宋" w:hAnsi="仿宋" w:eastAsia="仿宋" w:cs="仿宋"/>
          <w:sz w:val="28"/>
          <w:szCs w:val="28"/>
        </w:rPr>
        <w:t>注意事项：</w:t>
      </w:r>
    </w:p>
    <w:p>
      <w:pPr>
        <w:pStyle w:val="2"/>
        <w:keepNext w:val="0"/>
        <w:keepLines w:val="0"/>
        <w:widowControl/>
        <w:suppressLineNumbers w:val="0"/>
        <w:spacing w:before="75" w:beforeAutospacing="0" w:after="75" w:afterAutospacing="0" w:line="555" w:lineRule="atLeast"/>
        <w:ind w:left="0" w:right="0" w:firstLine="570"/>
      </w:pPr>
      <w:r>
        <w:rPr>
          <w:rFonts w:hint="eastAsia" w:ascii="仿宋" w:hAnsi="仿宋" w:eastAsia="仿宋" w:cs="仿宋"/>
          <w:sz w:val="28"/>
          <w:szCs w:val="28"/>
        </w:rPr>
        <w:t>1.   赛场每个竞赛工位使用场地不小于3.5x3.5㎡，每个工位具有电源保护装置和安全保护措施，并且支持</w:t>
      </w:r>
      <w:r>
        <w:rPr>
          <w:rFonts w:hint="default" w:ascii="Times New Roman" w:hAnsi="Times New Roman" w:eastAsia="仿宋" w:cs="Times New Roman"/>
          <w:sz w:val="28"/>
          <w:szCs w:val="28"/>
        </w:rPr>
        <w:t>8</w:t>
      </w:r>
      <w:r>
        <w:rPr>
          <w:rFonts w:hint="eastAsia" w:ascii="仿宋" w:hAnsi="仿宋" w:eastAsia="仿宋" w:cs="仿宋"/>
          <w:sz w:val="28"/>
          <w:szCs w:val="28"/>
        </w:rPr>
        <w:t>个</w:t>
      </w:r>
      <w:r>
        <w:rPr>
          <w:rFonts w:hint="default" w:ascii="Times New Roman" w:hAnsi="Times New Roman" w:eastAsia="仿宋" w:cs="Times New Roman"/>
          <w:sz w:val="28"/>
          <w:szCs w:val="28"/>
        </w:rPr>
        <w:t>AC220V50Hz</w:t>
      </w:r>
      <w:r>
        <w:rPr>
          <w:rFonts w:hint="eastAsia" w:ascii="仿宋" w:hAnsi="仿宋" w:eastAsia="仿宋" w:cs="仿宋"/>
          <w:sz w:val="28"/>
          <w:szCs w:val="28"/>
        </w:rPr>
        <w:t>交流三孔电源插座（</w:t>
      </w:r>
      <w:r>
        <w:rPr>
          <w:rFonts w:hint="default" w:ascii="Times New Roman" w:hAnsi="Times New Roman" w:eastAsia="仿宋" w:cs="Times New Roman"/>
          <w:sz w:val="28"/>
          <w:szCs w:val="28"/>
        </w:rPr>
        <w:t>2</w:t>
      </w:r>
      <w:r>
        <w:rPr>
          <w:rFonts w:hint="eastAsia" w:ascii="仿宋" w:hAnsi="仿宋" w:eastAsia="仿宋" w:cs="仿宋"/>
          <w:sz w:val="28"/>
          <w:szCs w:val="28"/>
        </w:rPr>
        <w:t>个用于竞赛设备，其他用于工作站</w:t>
      </w:r>
      <w:r>
        <w:rPr>
          <w:rFonts w:hint="default" w:ascii="Times New Roman" w:hAnsi="Times New Roman" w:eastAsia="仿宋" w:cs="Times New Roman"/>
          <w:sz w:val="28"/>
          <w:szCs w:val="28"/>
        </w:rPr>
        <w:t>PC</w:t>
      </w:r>
      <w:r>
        <w:rPr>
          <w:rFonts w:hint="eastAsia" w:ascii="仿宋" w:hAnsi="仿宋" w:eastAsia="仿宋" w:cs="仿宋"/>
          <w:sz w:val="28"/>
          <w:szCs w:val="28"/>
        </w:rPr>
        <w:t>），供电负荷不小于</w:t>
      </w:r>
      <w:r>
        <w:rPr>
          <w:rFonts w:hint="default" w:ascii="Times New Roman" w:hAnsi="Times New Roman" w:eastAsia="仿宋" w:cs="Times New Roman"/>
          <w:sz w:val="28"/>
          <w:szCs w:val="28"/>
        </w:rPr>
        <w:t>4kw</w:t>
      </w:r>
      <w:r>
        <w:rPr>
          <w:rFonts w:hint="eastAsia" w:ascii="仿宋" w:hAnsi="仿宋" w:eastAsia="仿宋" w:cs="仿宋"/>
          <w:sz w:val="28"/>
          <w:szCs w:val="28"/>
        </w:rPr>
        <w:t>。</w:t>
      </w:r>
    </w:p>
    <w:p>
      <w:pPr>
        <w:pStyle w:val="2"/>
        <w:keepNext w:val="0"/>
        <w:keepLines w:val="0"/>
        <w:widowControl/>
        <w:suppressLineNumbers w:val="0"/>
        <w:spacing w:before="75" w:beforeAutospacing="0" w:after="75" w:afterAutospacing="0" w:line="555" w:lineRule="atLeast"/>
        <w:ind w:left="0" w:right="0" w:firstLine="420"/>
      </w:pPr>
      <w:r>
        <w:rPr>
          <w:rFonts w:hint="eastAsia" w:ascii="仿宋" w:hAnsi="仿宋" w:eastAsia="仿宋" w:cs="仿宋"/>
          <w:sz w:val="28"/>
          <w:szCs w:val="28"/>
        </w:rPr>
        <w:t>2. 竞赛场地划分为检录区、候考区、现场服务与技术支持区、休息区、医疗区、观摩通道。</w:t>
      </w:r>
    </w:p>
    <w:p>
      <w:pPr>
        <w:pStyle w:val="2"/>
        <w:keepNext w:val="0"/>
        <w:keepLines w:val="0"/>
        <w:widowControl/>
        <w:suppressLineNumbers w:val="0"/>
        <w:spacing w:before="75" w:beforeAutospacing="0" w:after="75" w:afterAutospacing="0" w:line="555" w:lineRule="atLeast"/>
        <w:ind w:left="0" w:right="0" w:firstLine="420"/>
      </w:pPr>
      <w:r>
        <w:rPr>
          <w:rFonts w:hint="eastAsia" w:ascii="仿宋" w:hAnsi="仿宋" w:eastAsia="仿宋" w:cs="仿宋"/>
          <w:sz w:val="28"/>
          <w:szCs w:val="28"/>
        </w:rPr>
        <w:t>3. 每个竞赛工位标明编号，工位内粘贴安全操作须知。</w:t>
      </w:r>
    </w:p>
    <w:p>
      <w:pPr>
        <w:pStyle w:val="2"/>
        <w:keepNext w:val="0"/>
        <w:keepLines w:val="0"/>
        <w:widowControl/>
        <w:suppressLineNumbers w:val="0"/>
        <w:spacing w:before="75" w:beforeAutospacing="0" w:after="75" w:afterAutospacing="0" w:line="555" w:lineRule="atLeast"/>
        <w:ind w:left="0" w:right="0" w:firstLine="420"/>
      </w:pPr>
      <w:r>
        <w:rPr>
          <w:rFonts w:hint="eastAsia" w:ascii="仿宋" w:hAnsi="仿宋" w:eastAsia="仿宋" w:cs="仿宋"/>
          <w:sz w:val="28"/>
          <w:szCs w:val="28"/>
        </w:rPr>
        <w:t>4. 每个竞赛工位配有工作台，卫生工具、垃圾筒。</w:t>
      </w:r>
    </w:p>
    <w:p>
      <w:pPr>
        <w:pStyle w:val="2"/>
        <w:keepNext w:val="0"/>
        <w:keepLines w:val="0"/>
        <w:widowControl/>
        <w:suppressLineNumbers w:val="0"/>
        <w:spacing w:before="75" w:beforeAutospacing="0" w:after="75" w:afterAutospacing="0" w:line="555" w:lineRule="atLeast"/>
        <w:ind w:left="0" w:right="0" w:firstLine="420"/>
      </w:pPr>
      <w:r>
        <w:rPr>
          <w:rFonts w:hint="eastAsia" w:ascii="仿宋" w:hAnsi="仿宋" w:eastAsia="仿宋" w:cs="仿宋"/>
          <w:sz w:val="28"/>
          <w:szCs w:val="28"/>
        </w:rPr>
        <w:t>5. 每个工位配备编程用电脑2台，并安装竞赛规定软件。</w:t>
      </w:r>
    </w:p>
    <w:p>
      <w:pPr>
        <w:pStyle w:val="2"/>
        <w:keepNext w:val="0"/>
        <w:keepLines w:val="0"/>
        <w:widowControl/>
        <w:suppressLineNumbers w:val="0"/>
        <w:spacing w:before="75" w:beforeAutospacing="0" w:after="75" w:afterAutospacing="0" w:line="555" w:lineRule="atLeast"/>
        <w:ind w:left="0" w:right="0" w:firstLine="420"/>
      </w:pPr>
      <w:r>
        <w:rPr>
          <w:rFonts w:hint="eastAsia" w:ascii="仿宋" w:hAnsi="仿宋" w:eastAsia="仿宋" w:cs="仿宋"/>
          <w:sz w:val="28"/>
          <w:szCs w:val="28"/>
        </w:rPr>
        <w:t>6. 以上竞赛环境请以赛前说明会公布的竞赛规程为准。</w:t>
      </w:r>
    </w:p>
    <w:p>
      <w:pPr>
        <w:pStyle w:val="2"/>
        <w:keepNext w:val="0"/>
        <w:keepLines w:val="0"/>
        <w:widowControl/>
        <w:suppressLineNumbers w:val="0"/>
        <w:spacing w:before="75" w:beforeAutospacing="0" w:after="75" w:afterAutospacing="0" w:line="555" w:lineRule="atLeast"/>
        <w:ind w:left="0" w:right="0" w:firstLine="555"/>
      </w:pPr>
      <w:r>
        <w:rPr>
          <w:rStyle w:val="5"/>
          <w:rFonts w:hint="eastAsia" w:ascii="仿宋" w:hAnsi="仿宋" w:eastAsia="仿宋" w:cs="仿宋"/>
          <w:sz w:val="28"/>
          <w:szCs w:val="28"/>
        </w:rPr>
        <w:t>八、技术规范</w:t>
      </w:r>
    </w:p>
    <w:p>
      <w:pPr>
        <w:pStyle w:val="2"/>
        <w:keepNext w:val="0"/>
        <w:keepLines w:val="0"/>
        <w:widowControl/>
        <w:suppressLineNumbers w:val="0"/>
        <w:spacing w:before="75" w:beforeAutospacing="0" w:after="75" w:afterAutospacing="0" w:line="555" w:lineRule="atLeast"/>
        <w:ind w:left="0" w:right="0" w:firstLine="555"/>
      </w:pPr>
      <w:r>
        <w:rPr>
          <w:rStyle w:val="5"/>
          <w:rFonts w:hint="eastAsia" w:ascii="仿宋" w:hAnsi="仿宋" w:eastAsia="仿宋" w:cs="仿宋"/>
          <w:sz w:val="28"/>
          <w:szCs w:val="28"/>
        </w:rPr>
        <w:t>本赛项遵循以下国际相关标准，国家相关标准和行业相关标准：</w:t>
      </w:r>
    </w:p>
    <w:p>
      <w:pPr>
        <w:pStyle w:val="2"/>
        <w:keepNext w:val="0"/>
        <w:keepLines w:val="0"/>
        <w:widowControl/>
        <w:suppressLineNumbers w:val="0"/>
        <w:spacing w:before="75" w:beforeAutospacing="0" w:after="75" w:afterAutospacing="0" w:line="555" w:lineRule="atLeast"/>
        <w:ind w:left="420" w:right="0" w:firstLine="0"/>
      </w:pPr>
      <w:r>
        <w:rPr>
          <w:rFonts w:hint="default" w:ascii="Times New Roman" w:hAnsi="Times New Roman" w:cs="Times New Roman"/>
          <w:color w:val="0C0C0C"/>
          <w:sz w:val="28"/>
          <w:szCs w:val="28"/>
        </w:rPr>
        <w:t>1.   </w:t>
      </w:r>
      <w:r>
        <w:rPr>
          <w:rFonts w:hint="eastAsia" w:ascii="仿宋" w:hAnsi="仿宋" w:eastAsia="仿宋" w:cs="仿宋"/>
          <w:color w:val="0C0C0C"/>
          <w:sz w:val="28"/>
          <w:szCs w:val="28"/>
        </w:rPr>
        <w:t>IEC61215\IEC61730 光伏组件标准。</w:t>
      </w:r>
    </w:p>
    <w:p>
      <w:pPr>
        <w:pStyle w:val="2"/>
        <w:keepNext w:val="0"/>
        <w:keepLines w:val="0"/>
        <w:widowControl/>
        <w:suppressLineNumbers w:val="0"/>
        <w:spacing w:before="75" w:beforeAutospacing="0" w:after="75" w:afterAutospacing="0" w:line="555" w:lineRule="atLeast"/>
        <w:ind w:left="420" w:right="0" w:firstLine="0"/>
      </w:pPr>
      <w:r>
        <w:rPr>
          <w:rFonts w:hint="default" w:ascii="Times New Roman" w:hAnsi="Times New Roman" w:cs="Times New Roman"/>
          <w:color w:val="0C0C0C"/>
          <w:sz w:val="28"/>
          <w:szCs w:val="28"/>
        </w:rPr>
        <w:t>2. </w:t>
      </w:r>
      <w:r>
        <w:rPr>
          <w:rFonts w:hint="eastAsia" w:ascii="仿宋" w:hAnsi="仿宋" w:eastAsia="仿宋" w:cs="仿宋"/>
          <w:color w:val="0C0C0C"/>
          <w:sz w:val="28"/>
          <w:szCs w:val="28"/>
        </w:rPr>
        <w:t>IEC61730 光伏（PV）组件安全鉴定。</w:t>
      </w:r>
    </w:p>
    <w:p>
      <w:pPr>
        <w:pStyle w:val="2"/>
        <w:keepNext w:val="0"/>
        <w:keepLines w:val="0"/>
        <w:widowControl/>
        <w:suppressLineNumbers w:val="0"/>
        <w:spacing w:before="75" w:beforeAutospacing="0" w:after="75" w:afterAutospacing="0" w:line="555" w:lineRule="atLeast"/>
        <w:ind w:left="420" w:right="0" w:firstLine="0"/>
      </w:pPr>
      <w:r>
        <w:rPr>
          <w:rFonts w:hint="default" w:ascii="Times New Roman" w:hAnsi="Times New Roman" w:cs="Times New Roman"/>
          <w:color w:val="0C0C0C"/>
          <w:sz w:val="28"/>
          <w:szCs w:val="28"/>
        </w:rPr>
        <w:t>3. </w:t>
      </w:r>
      <w:r>
        <w:rPr>
          <w:rFonts w:hint="eastAsia" w:ascii="仿宋" w:hAnsi="仿宋" w:eastAsia="仿宋" w:cs="仿宋"/>
          <w:color w:val="0C0C0C"/>
          <w:sz w:val="28"/>
          <w:szCs w:val="28"/>
        </w:rPr>
        <w:t>GB 50797-2012 光伏发电站设计规范。</w:t>
      </w:r>
    </w:p>
    <w:p>
      <w:pPr>
        <w:pStyle w:val="2"/>
        <w:keepNext w:val="0"/>
        <w:keepLines w:val="0"/>
        <w:widowControl/>
        <w:suppressLineNumbers w:val="0"/>
        <w:spacing w:before="75" w:beforeAutospacing="0" w:after="75" w:afterAutospacing="0" w:line="555" w:lineRule="atLeast"/>
        <w:ind w:left="420" w:right="0" w:firstLine="0"/>
      </w:pPr>
      <w:r>
        <w:rPr>
          <w:rFonts w:hint="default" w:ascii="Times New Roman" w:hAnsi="Times New Roman" w:cs="Times New Roman"/>
          <w:color w:val="0C0C0C"/>
          <w:sz w:val="28"/>
          <w:szCs w:val="28"/>
        </w:rPr>
        <w:t>4. </w:t>
      </w:r>
      <w:r>
        <w:rPr>
          <w:rFonts w:hint="eastAsia" w:ascii="仿宋" w:hAnsi="仿宋" w:eastAsia="仿宋" w:cs="仿宋"/>
          <w:color w:val="0C0C0C"/>
          <w:sz w:val="28"/>
          <w:szCs w:val="28"/>
        </w:rPr>
        <w:t>GB/T50054-2011 低压配电设计规范。</w:t>
      </w:r>
    </w:p>
    <w:p>
      <w:pPr>
        <w:pStyle w:val="2"/>
        <w:keepNext w:val="0"/>
        <w:keepLines w:val="0"/>
        <w:widowControl/>
        <w:suppressLineNumbers w:val="0"/>
        <w:spacing w:before="75" w:beforeAutospacing="0" w:after="75" w:afterAutospacing="0" w:line="555" w:lineRule="atLeast"/>
        <w:ind w:left="420" w:right="0" w:firstLine="0"/>
      </w:pPr>
      <w:r>
        <w:rPr>
          <w:rFonts w:hint="default" w:ascii="Times New Roman" w:hAnsi="Times New Roman" w:cs="Times New Roman"/>
          <w:color w:val="0C0C0C"/>
          <w:sz w:val="28"/>
          <w:szCs w:val="28"/>
        </w:rPr>
        <w:t>5. </w:t>
      </w:r>
      <w:r>
        <w:rPr>
          <w:rFonts w:hint="eastAsia" w:ascii="仿宋" w:hAnsi="仿宋" w:eastAsia="仿宋" w:cs="仿宋"/>
          <w:color w:val="0C0C0C"/>
          <w:sz w:val="28"/>
          <w:szCs w:val="28"/>
        </w:rPr>
        <w:t>GB/T50052-2009 供配电系统设计规范。</w:t>
      </w:r>
    </w:p>
    <w:p>
      <w:pPr>
        <w:pStyle w:val="2"/>
        <w:keepNext w:val="0"/>
        <w:keepLines w:val="0"/>
        <w:widowControl/>
        <w:suppressLineNumbers w:val="0"/>
        <w:spacing w:before="75" w:beforeAutospacing="0" w:after="75" w:afterAutospacing="0" w:line="555" w:lineRule="atLeast"/>
        <w:ind w:left="420" w:right="0" w:firstLine="0"/>
      </w:pPr>
      <w:r>
        <w:rPr>
          <w:rFonts w:hint="default" w:ascii="Times New Roman" w:hAnsi="Times New Roman" w:cs="Times New Roman"/>
          <w:color w:val="0C0C0C"/>
          <w:sz w:val="28"/>
          <w:szCs w:val="28"/>
        </w:rPr>
        <w:t>6. </w:t>
      </w:r>
      <w:r>
        <w:rPr>
          <w:rFonts w:hint="eastAsia" w:ascii="仿宋" w:hAnsi="仿宋" w:eastAsia="仿宋" w:cs="仿宋"/>
          <w:color w:val="0C0C0C"/>
          <w:sz w:val="28"/>
          <w:szCs w:val="28"/>
        </w:rPr>
        <w:t>GB50055-2011 通用用电设备配电设计规范。</w:t>
      </w:r>
    </w:p>
    <w:p>
      <w:pPr>
        <w:pStyle w:val="2"/>
        <w:keepNext w:val="0"/>
        <w:keepLines w:val="0"/>
        <w:widowControl/>
        <w:suppressLineNumbers w:val="0"/>
        <w:spacing w:before="75" w:beforeAutospacing="0" w:after="75" w:afterAutospacing="0" w:line="555" w:lineRule="atLeast"/>
        <w:ind w:left="420" w:right="0" w:firstLine="0"/>
      </w:pPr>
      <w:r>
        <w:rPr>
          <w:rFonts w:hint="default" w:ascii="Times New Roman" w:hAnsi="Times New Roman" w:cs="Times New Roman"/>
          <w:color w:val="0C0C0C"/>
          <w:sz w:val="28"/>
          <w:szCs w:val="28"/>
        </w:rPr>
        <w:t>7. </w:t>
      </w:r>
      <w:r>
        <w:rPr>
          <w:rFonts w:hint="eastAsia" w:ascii="仿宋" w:hAnsi="仿宋" w:eastAsia="仿宋" w:cs="仿宋"/>
          <w:color w:val="0C0C0C"/>
          <w:sz w:val="28"/>
          <w:szCs w:val="28"/>
        </w:rPr>
        <w:t>DL/T 5429-2009 电力系统设计技术规程。</w:t>
      </w:r>
    </w:p>
    <w:p>
      <w:pPr>
        <w:pStyle w:val="2"/>
        <w:keepNext w:val="0"/>
        <w:keepLines w:val="0"/>
        <w:widowControl/>
        <w:suppressLineNumbers w:val="0"/>
        <w:spacing w:before="75" w:beforeAutospacing="0" w:after="75" w:afterAutospacing="0" w:line="555" w:lineRule="atLeast"/>
        <w:ind w:left="420" w:right="0" w:firstLine="0"/>
      </w:pPr>
      <w:r>
        <w:rPr>
          <w:rFonts w:hint="default" w:ascii="Times New Roman" w:hAnsi="Times New Roman" w:cs="Times New Roman"/>
          <w:color w:val="0C0C0C"/>
          <w:sz w:val="28"/>
          <w:szCs w:val="28"/>
        </w:rPr>
        <w:t>8. </w:t>
      </w:r>
      <w:r>
        <w:rPr>
          <w:rFonts w:hint="eastAsia" w:ascii="仿宋" w:hAnsi="仿宋" w:eastAsia="仿宋" w:cs="仿宋"/>
          <w:color w:val="0C0C0C"/>
          <w:sz w:val="28"/>
          <w:szCs w:val="28"/>
        </w:rPr>
        <w:t>IEC 61173 光伏发电系统过电压保护。</w:t>
      </w:r>
    </w:p>
    <w:p>
      <w:pPr>
        <w:pStyle w:val="2"/>
        <w:keepNext w:val="0"/>
        <w:keepLines w:val="0"/>
        <w:widowControl/>
        <w:suppressLineNumbers w:val="0"/>
        <w:spacing w:before="75" w:beforeAutospacing="0" w:after="75" w:afterAutospacing="0" w:line="555" w:lineRule="atLeast"/>
        <w:ind w:left="420" w:right="0" w:firstLine="0"/>
      </w:pPr>
      <w:r>
        <w:rPr>
          <w:rFonts w:hint="default" w:ascii="Times New Roman" w:hAnsi="Times New Roman" w:cs="Times New Roman"/>
          <w:color w:val="0C0C0C"/>
          <w:sz w:val="28"/>
          <w:szCs w:val="28"/>
        </w:rPr>
        <w:t>9. </w:t>
      </w:r>
      <w:r>
        <w:rPr>
          <w:rFonts w:hint="eastAsia" w:ascii="仿宋" w:hAnsi="仿宋" w:eastAsia="仿宋" w:cs="仿宋"/>
          <w:color w:val="0C0C0C"/>
          <w:sz w:val="28"/>
          <w:szCs w:val="28"/>
        </w:rPr>
        <w:t>IEC 61194 独立光伏系统的特性参数。</w:t>
      </w:r>
    </w:p>
    <w:p>
      <w:pPr>
        <w:pStyle w:val="2"/>
        <w:keepNext w:val="0"/>
        <w:keepLines w:val="0"/>
        <w:widowControl/>
        <w:suppressLineNumbers w:val="0"/>
        <w:spacing w:before="75" w:beforeAutospacing="0" w:after="75" w:afterAutospacing="0" w:line="555" w:lineRule="atLeast"/>
        <w:ind w:left="0" w:right="0" w:firstLine="420"/>
      </w:pPr>
      <w:r>
        <w:rPr>
          <w:rFonts w:hint="default" w:ascii="Times New Roman" w:hAnsi="Times New Roman" w:cs="Times New Roman"/>
          <w:color w:val="0C0C0C"/>
          <w:sz w:val="28"/>
          <w:szCs w:val="28"/>
        </w:rPr>
        <w:t>10. </w:t>
      </w:r>
      <w:r>
        <w:rPr>
          <w:rFonts w:hint="eastAsia" w:ascii="仿宋" w:hAnsi="仿宋" w:eastAsia="仿宋" w:cs="仿宋"/>
          <w:color w:val="0C0C0C"/>
          <w:sz w:val="28"/>
          <w:szCs w:val="28"/>
        </w:rPr>
        <w:t>IEC 61427-1-2013 太阳光伏能系统用蓄电池和蓄电池组一般要求和试验方法。第</w:t>
      </w:r>
      <w:r>
        <w:rPr>
          <w:rFonts w:hint="default" w:ascii="Times New Roman" w:hAnsi="Times New Roman" w:eastAsia="仿宋" w:cs="Times New Roman"/>
          <w:color w:val="0C0C0C"/>
          <w:sz w:val="28"/>
          <w:szCs w:val="28"/>
        </w:rPr>
        <w:t>1</w:t>
      </w:r>
      <w:r>
        <w:rPr>
          <w:rFonts w:hint="eastAsia" w:ascii="仿宋" w:hAnsi="仿宋" w:eastAsia="仿宋" w:cs="仿宋"/>
          <w:color w:val="0C0C0C"/>
          <w:sz w:val="28"/>
          <w:szCs w:val="28"/>
        </w:rPr>
        <w:t>部分：光伏离网应用。</w:t>
      </w:r>
    </w:p>
    <w:p>
      <w:pPr>
        <w:pStyle w:val="2"/>
        <w:keepNext w:val="0"/>
        <w:keepLines w:val="0"/>
        <w:widowControl/>
        <w:suppressLineNumbers w:val="0"/>
        <w:spacing w:before="75" w:beforeAutospacing="0" w:after="75" w:afterAutospacing="0" w:line="555" w:lineRule="atLeast"/>
        <w:ind w:left="420" w:right="0" w:firstLine="0"/>
      </w:pPr>
      <w:r>
        <w:rPr>
          <w:rFonts w:hint="default" w:ascii="Times New Roman" w:hAnsi="Times New Roman" w:cs="Times New Roman"/>
          <w:color w:val="0C0C0C"/>
          <w:sz w:val="28"/>
          <w:szCs w:val="28"/>
        </w:rPr>
        <w:t>11. </w:t>
      </w:r>
      <w:r>
        <w:rPr>
          <w:rFonts w:hint="eastAsia" w:ascii="仿宋" w:hAnsi="仿宋" w:eastAsia="仿宋" w:cs="仿宋"/>
          <w:color w:val="0C0C0C"/>
          <w:sz w:val="28"/>
          <w:szCs w:val="28"/>
        </w:rPr>
        <w:t>GB/T 29320-2012 光伏电站太阳跟踪系统技术要求。</w:t>
      </w:r>
    </w:p>
    <w:p>
      <w:pPr>
        <w:pStyle w:val="2"/>
        <w:keepNext w:val="0"/>
        <w:keepLines w:val="0"/>
        <w:widowControl/>
        <w:suppressLineNumbers w:val="0"/>
        <w:spacing w:before="75" w:beforeAutospacing="0" w:after="75" w:afterAutospacing="0" w:line="555" w:lineRule="atLeast"/>
        <w:ind w:left="420" w:right="0" w:firstLine="0"/>
      </w:pPr>
      <w:r>
        <w:rPr>
          <w:rFonts w:hint="default" w:ascii="Times New Roman" w:hAnsi="Times New Roman" w:cs="Times New Roman"/>
          <w:color w:val="0C0C0C"/>
          <w:sz w:val="28"/>
          <w:szCs w:val="28"/>
        </w:rPr>
        <w:t>12. </w:t>
      </w:r>
      <w:r>
        <w:rPr>
          <w:rFonts w:hint="eastAsia" w:ascii="仿宋" w:hAnsi="仿宋" w:eastAsia="仿宋" w:cs="仿宋"/>
          <w:color w:val="0C0C0C"/>
          <w:sz w:val="28"/>
          <w:szCs w:val="28"/>
        </w:rPr>
        <w:t>GB/T 2297-1989 太阳光伏能源系统术语。</w:t>
      </w:r>
    </w:p>
    <w:p>
      <w:pPr>
        <w:pStyle w:val="2"/>
        <w:keepNext w:val="0"/>
        <w:keepLines w:val="0"/>
        <w:widowControl/>
        <w:suppressLineNumbers w:val="0"/>
        <w:spacing w:before="75" w:beforeAutospacing="0" w:after="75" w:afterAutospacing="0" w:line="555" w:lineRule="atLeast"/>
        <w:ind w:left="420" w:right="0" w:firstLine="0"/>
      </w:pPr>
      <w:r>
        <w:rPr>
          <w:rFonts w:hint="default" w:ascii="Times New Roman" w:hAnsi="Times New Roman" w:cs="Times New Roman"/>
          <w:color w:val="0C0C0C"/>
          <w:sz w:val="28"/>
          <w:szCs w:val="28"/>
        </w:rPr>
        <w:t>13. </w:t>
      </w:r>
      <w:r>
        <w:rPr>
          <w:rFonts w:hint="eastAsia" w:ascii="仿宋" w:hAnsi="仿宋" w:eastAsia="仿宋" w:cs="仿宋"/>
          <w:color w:val="0C0C0C"/>
          <w:sz w:val="28"/>
          <w:szCs w:val="28"/>
        </w:rPr>
        <w:t>GB/T 34932-2017 分布式光伏发电系统远程监控技术规范。</w:t>
      </w:r>
    </w:p>
    <w:p>
      <w:pPr>
        <w:pStyle w:val="2"/>
        <w:keepNext w:val="0"/>
        <w:keepLines w:val="0"/>
        <w:widowControl/>
        <w:suppressLineNumbers w:val="0"/>
        <w:spacing w:before="75" w:beforeAutospacing="0" w:after="75" w:afterAutospacing="0" w:line="555" w:lineRule="atLeast"/>
        <w:ind w:left="420" w:right="0" w:firstLine="0"/>
      </w:pPr>
      <w:r>
        <w:rPr>
          <w:rFonts w:hint="default" w:ascii="Times New Roman" w:hAnsi="Times New Roman" w:cs="Times New Roman"/>
          <w:color w:val="0C0C0C"/>
          <w:sz w:val="28"/>
          <w:szCs w:val="28"/>
        </w:rPr>
        <w:t>14. </w:t>
      </w:r>
      <w:r>
        <w:rPr>
          <w:rFonts w:hint="eastAsia" w:ascii="仿宋" w:hAnsi="仿宋" w:eastAsia="仿宋" w:cs="仿宋"/>
          <w:color w:val="0C0C0C"/>
          <w:sz w:val="28"/>
          <w:szCs w:val="28"/>
        </w:rPr>
        <w:t>GB/T34129-2017 微电网配电网测试规范。</w:t>
      </w:r>
    </w:p>
    <w:p>
      <w:pPr>
        <w:pStyle w:val="2"/>
        <w:keepNext w:val="0"/>
        <w:keepLines w:val="0"/>
        <w:widowControl/>
        <w:suppressLineNumbers w:val="0"/>
        <w:spacing w:before="75" w:beforeAutospacing="0" w:after="75" w:afterAutospacing="0" w:line="555" w:lineRule="atLeast"/>
        <w:ind w:left="420" w:right="0" w:firstLine="0"/>
      </w:pPr>
      <w:r>
        <w:rPr>
          <w:rFonts w:hint="default" w:ascii="Times New Roman" w:hAnsi="Times New Roman" w:cs="Times New Roman"/>
          <w:color w:val="0C0C0C"/>
          <w:sz w:val="28"/>
          <w:szCs w:val="28"/>
        </w:rPr>
        <w:t>15. </w:t>
      </w:r>
      <w:r>
        <w:rPr>
          <w:rFonts w:hint="eastAsia" w:ascii="仿宋" w:hAnsi="仿宋" w:eastAsia="仿宋" w:cs="仿宋"/>
          <w:color w:val="0C0C0C"/>
          <w:sz w:val="28"/>
          <w:szCs w:val="28"/>
        </w:rPr>
        <w:t>GB 50217-2007  电力工程电缆设计规范。</w:t>
      </w:r>
    </w:p>
    <w:p>
      <w:pPr>
        <w:pStyle w:val="2"/>
        <w:keepNext w:val="0"/>
        <w:keepLines w:val="0"/>
        <w:widowControl/>
        <w:suppressLineNumbers w:val="0"/>
        <w:spacing w:before="75" w:beforeAutospacing="0" w:after="75" w:afterAutospacing="0" w:line="555" w:lineRule="atLeast"/>
        <w:ind w:left="0" w:right="0" w:firstLine="420"/>
      </w:pPr>
      <w:r>
        <w:rPr>
          <w:rFonts w:hint="default" w:ascii="Times New Roman" w:hAnsi="Times New Roman" w:cs="Times New Roman"/>
          <w:color w:val="0C0C0C"/>
          <w:sz w:val="28"/>
          <w:szCs w:val="28"/>
        </w:rPr>
        <w:t>16. </w:t>
      </w:r>
      <w:r>
        <w:rPr>
          <w:rFonts w:hint="eastAsia" w:ascii="仿宋" w:hAnsi="仿宋" w:eastAsia="仿宋" w:cs="仿宋"/>
          <w:color w:val="0C0C0C"/>
          <w:sz w:val="28"/>
          <w:szCs w:val="28"/>
        </w:rPr>
        <w:t>GB/T 50062-2008  电力装置的继电器保护和自动装置设计规范。</w:t>
      </w:r>
    </w:p>
    <w:p>
      <w:pPr>
        <w:pStyle w:val="2"/>
        <w:keepNext w:val="0"/>
        <w:keepLines w:val="0"/>
        <w:widowControl/>
        <w:suppressLineNumbers w:val="0"/>
        <w:spacing w:before="75" w:beforeAutospacing="0" w:after="75" w:afterAutospacing="0" w:line="555" w:lineRule="atLeast"/>
        <w:ind w:left="420" w:right="0" w:firstLine="0"/>
      </w:pPr>
      <w:r>
        <w:rPr>
          <w:rFonts w:hint="default" w:ascii="Times New Roman" w:hAnsi="Times New Roman" w:cs="Times New Roman"/>
          <w:color w:val="0C0C0C"/>
          <w:sz w:val="28"/>
          <w:szCs w:val="28"/>
        </w:rPr>
        <w:t>17. </w:t>
      </w:r>
      <w:r>
        <w:rPr>
          <w:rFonts w:hint="eastAsia" w:ascii="仿宋" w:hAnsi="仿宋" w:eastAsia="仿宋" w:cs="仿宋"/>
          <w:color w:val="0C0C0C"/>
          <w:sz w:val="28"/>
          <w:szCs w:val="28"/>
        </w:rPr>
        <w:t>GBT 32900-2016  光伏发电站继电保护技术规范。</w:t>
      </w:r>
    </w:p>
    <w:p>
      <w:pPr>
        <w:pStyle w:val="2"/>
        <w:keepNext w:val="0"/>
        <w:keepLines w:val="0"/>
        <w:widowControl/>
        <w:suppressLineNumbers w:val="0"/>
        <w:spacing w:before="75" w:beforeAutospacing="0" w:after="75" w:afterAutospacing="0" w:line="555" w:lineRule="atLeast"/>
        <w:ind w:left="420" w:right="0" w:firstLine="0"/>
      </w:pPr>
      <w:r>
        <w:rPr>
          <w:rFonts w:hint="default" w:ascii="Times New Roman" w:hAnsi="Times New Roman" w:cs="Times New Roman"/>
          <w:color w:val="0C0C0C"/>
          <w:sz w:val="28"/>
          <w:szCs w:val="28"/>
        </w:rPr>
        <w:t>18. </w:t>
      </w:r>
      <w:r>
        <w:rPr>
          <w:rFonts w:hint="eastAsia" w:ascii="仿宋" w:hAnsi="仿宋" w:eastAsia="仿宋" w:cs="仿宋"/>
          <w:color w:val="0C0C0C"/>
          <w:sz w:val="28"/>
          <w:szCs w:val="28"/>
        </w:rPr>
        <w:t>DL/T 5391-2007 电力系统通讯设计技术规定。</w:t>
      </w:r>
    </w:p>
    <w:p>
      <w:pPr>
        <w:pStyle w:val="2"/>
        <w:keepNext w:val="0"/>
        <w:keepLines w:val="0"/>
        <w:widowControl/>
        <w:suppressLineNumbers w:val="0"/>
        <w:spacing w:before="75" w:beforeAutospacing="0" w:after="75" w:afterAutospacing="0" w:line="555" w:lineRule="atLeast"/>
        <w:ind w:left="420" w:right="0" w:firstLine="0"/>
      </w:pPr>
      <w:r>
        <w:rPr>
          <w:rFonts w:hint="default" w:ascii="Times New Roman" w:hAnsi="Times New Roman" w:cs="Times New Roman"/>
          <w:color w:val="0C0C0C"/>
          <w:sz w:val="28"/>
          <w:szCs w:val="28"/>
        </w:rPr>
        <w:t>19. </w:t>
      </w:r>
      <w:r>
        <w:rPr>
          <w:rFonts w:hint="eastAsia" w:ascii="仿宋" w:hAnsi="仿宋" w:eastAsia="仿宋" w:cs="仿宋"/>
          <w:color w:val="0C0C0C"/>
          <w:sz w:val="28"/>
          <w:szCs w:val="28"/>
        </w:rPr>
        <w:t>IEC 61400-2：</w:t>
      </w:r>
      <w:r>
        <w:rPr>
          <w:rFonts w:hint="default" w:ascii="Times New Roman" w:hAnsi="Times New Roman" w:eastAsia="仿宋" w:cs="Times New Roman"/>
          <w:color w:val="0C0C0C"/>
          <w:sz w:val="28"/>
          <w:szCs w:val="28"/>
        </w:rPr>
        <w:t>2013</w:t>
      </w:r>
      <w:r>
        <w:rPr>
          <w:rFonts w:hint="eastAsia" w:ascii="仿宋" w:hAnsi="仿宋" w:eastAsia="仿宋" w:cs="仿宋"/>
          <w:color w:val="0C0C0C"/>
          <w:sz w:val="28"/>
          <w:szCs w:val="28"/>
        </w:rPr>
        <w:t>小型风力发电机的安全。</w:t>
      </w:r>
    </w:p>
    <w:p>
      <w:pPr>
        <w:pStyle w:val="2"/>
        <w:keepNext w:val="0"/>
        <w:keepLines w:val="0"/>
        <w:widowControl/>
        <w:suppressLineNumbers w:val="0"/>
        <w:spacing w:before="75" w:beforeAutospacing="0" w:after="75" w:afterAutospacing="0" w:line="555" w:lineRule="atLeast"/>
        <w:ind w:left="420" w:right="0" w:firstLine="0"/>
      </w:pPr>
      <w:r>
        <w:rPr>
          <w:rFonts w:hint="default" w:ascii="Times New Roman" w:hAnsi="Times New Roman" w:cs="Times New Roman"/>
          <w:color w:val="0C0C0C"/>
          <w:sz w:val="28"/>
          <w:szCs w:val="28"/>
        </w:rPr>
        <w:t>20. </w:t>
      </w:r>
      <w:r>
        <w:rPr>
          <w:rFonts w:hint="eastAsia" w:ascii="仿宋" w:hAnsi="仿宋" w:eastAsia="仿宋" w:cs="仿宋"/>
          <w:color w:val="0C0C0C"/>
          <w:sz w:val="28"/>
          <w:szCs w:val="28"/>
        </w:rPr>
        <w:t>ASTM E 1240-88 风能转换系统性能的测试方法。</w:t>
      </w:r>
    </w:p>
    <w:p>
      <w:pPr>
        <w:pStyle w:val="2"/>
        <w:keepNext w:val="0"/>
        <w:keepLines w:val="0"/>
        <w:widowControl/>
        <w:suppressLineNumbers w:val="0"/>
        <w:spacing w:before="75" w:beforeAutospacing="0" w:after="75" w:afterAutospacing="0" w:line="555" w:lineRule="atLeast"/>
        <w:ind w:left="420" w:right="0" w:firstLine="0"/>
      </w:pPr>
      <w:r>
        <w:rPr>
          <w:rFonts w:hint="default" w:ascii="Times New Roman" w:hAnsi="Times New Roman" w:cs="Times New Roman"/>
          <w:color w:val="0C0C0C"/>
          <w:sz w:val="28"/>
          <w:szCs w:val="28"/>
        </w:rPr>
        <w:t>21. </w:t>
      </w:r>
      <w:r>
        <w:rPr>
          <w:rFonts w:hint="eastAsia" w:ascii="仿宋" w:hAnsi="仿宋" w:eastAsia="仿宋" w:cs="仿宋"/>
          <w:color w:val="0C0C0C"/>
          <w:sz w:val="28"/>
          <w:szCs w:val="28"/>
        </w:rPr>
        <w:t>GB/T 18135-2008 电气工程</w:t>
      </w:r>
      <w:r>
        <w:rPr>
          <w:rFonts w:hint="default" w:ascii="Times New Roman" w:hAnsi="Times New Roman" w:eastAsia="仿宋" w:cs="Times New Roman"/>
          <w:color w:val="0C0C0C"/>
          <w:sz w:val="28"/>
          <w:szCs w:val="28"/>
        </w:rPr>
        <w:t>CAD</w:t>
      </w:r>
      <w:r>
        <w:rPr>
          <w:rFonts w:hint="eastAsia" w:ascii="仿宋" w:hAnsi="仿宋" w:eastAsia="仿宋" w:cs="仿宋"/>
          <w:color w:val="0C0C0C"/>
          <w:sz w:val="28"/>
          <w:szCs w:val="28"/>
        </w:rPr>
        <w:t>制图规则。</w:t>
      </w:r>
    </w:p>
    <w:p>
      <w:pPr>
        <w:pStyle w:val="2"/>
        <w:keepNext w:val="0"/>
        <w:keepLines w:val="0"/>
        <w:widowControl/>
        <w:suppressLineNumbers w:val="0"/>
        <w:spacing w:before="75" w:beforeAutospacing="0" w:after="75" w:afterAutospacing="0" w:line="555" w:lineRule="atLeast"/>
        <w:ind w:left="420" w:right="0" w:firstLine="0"/>
      </w:pPr>
      <w:r>
        <w:rPr>
          <w:rFonts w:hint="default" w:ascii="Times New Roman" w:hAnsi="Times New Roman" w:cs="Times New Roman"/>
          <w:color w:val="0C0C0C"/>
          <w:sz w:val="28"/>
          <w:szCs w:val="28"/>
        </w:rPr>
        <w:t>22. </w:t>
      </w:r>
      <w:r>
        <w:rPr>
          <w:rFonts w:hint="eastAsia" w:ascii="仿宋" w:hAnsi="仿宋" w:eastAsia="仿宋" w:cs="仿宋"/>
          <w:color w:val="0C0C0C"/>
          <w:sz w:val="28"/>
          <w:szCs w:val="28"/>
        </w:rPr>
        <w:t>GB/T 6988.1-2008 《电气技术用文件的编制》。</w:t>
      </w:r>
    </w:p>
    <w:p>
      <w:pPr>
        <w:pStyle w:val="2"/>
        <w:keepNext w:val="0"/>
        <w:keepLines w:val="0"/>
        <w:widowControl/>
        <w:suppressLineNumbers w:val="0"/>
        <w:spacing w:before="75" w:beforeAutospacing="0" w:after="75" w:afterAutospacing="0" w:line="555" w:lineRule="atLeast"/>
        <w:ind w:left="420" w:right="0" w:firstLine="0"/>
      </w:pPr>
      <w:r>
        <w:rPr>
          <w:rFonts w:hint="default" w:ascii="Times New Roman" w:hAnsi="Times New Roman" w:cs="Times New Roman"/>
          <w:color w:val="0C0C0C"/>
          <w:sz w:val="28"/>
          <w:szCs w:val="28"/>
        </w:rPr>
        <w:t>23. </w:t>
      </w:r>
      <w:r>
        <w:rPr>
          <w:rFonts w:hint="eastAsia" w:ascii="仿宋" w:hAnsi="仿宋" w:eastAsia="仿宋" w:cs="仿宋"/>
          <w:color w:val="0C0C0C"/>
          <w:sz w:val="28"/>
          <w:szCs w:val="28"/>
        </w:rPr>
        <w:t>IPC-A-610E-2010 中文版电子组件的可接受性。</w:t>
      </w:r>
    </w:p>
    <w:p>
      <w:pPr>
        <w:pStyle w:val="2"/>
        <w:keepNext w:val="0"/>
        <w:keepLines w:val="0"/>
        <w:widowControl/>
        <w:suppressLineNumbers w:val="0"/>
        <w:spacing w:before="75" w:beforeAutospacing="0" w:after="75" w:afterAutospacing="0" w:line="555" w:lineRule="atLeast"/>
        <w:ind w:left="420" w:right="0" w:firstLine="0"/>
      </w:pPr>
      <w:r>
        <w:rPr>
          <w:rFonts w:hint="default" w:ascii="Times New Roman" w:hAnsi="Times New Roman" w:cs="Times New Roman"/>
          <w:color w:val="0C0C0C"/>
          <w:sz w:val="28"/>
          <w:szCs w:val="28"/>
        </w:rPr>
        <w:t>24. </w:t>
      </w:r>
      <w:r>
        <w:rPr>
          <w:rFonts w:hint="eastAsia" w:ascii="仿宋" w:hAnsi="仿宋" w:eastAsia="仿宋" w:cs="仿宋"/>
          <w:color w:val="0C0C0C"/>
          <w:sz w:val="28"/>
          <w:szCs w:val="28"/>
        </w:rPr>
        <w:t>SJ/T 10533-94 电子设备制造防静电技术要求。</w:t>
      </w:r>
    </w:p>
    <w:p>
      <w:pPr>
        <w:pStyle w:val="2"/>
        <w:keepNext w:val="0"/>
        <w:keepLines w:val="0"/>
        <w:widowControl/>
        <w:suppressLineNumbers w:val="0"/>
        <w:spacing w:before="75" w:beforeAutospacing="0" w:after="75" w:afterAutospacing="0" w:line="555" w:lineRule="atLeast"/>
        <w:ind w:left="420" w:right="0" w:firstLine="0"/>
      </w:pPr>
      <w:r>
        <w:rPr>
          <w:rFonts w:hint="default" w:ascii="Times New Roman" w:hAnsi="Times New Roman" w:cs="Times New Roman"/>
          <w:color w:val="0C0C0C"/>
          <w:sz w:val="28"/>
          <w:szCs w:val="28"/>
        </w:rPr>
        <w:t>25. </w:t>
      </w:r>
      <w:r>
        <w:rPr>
          <w:rFonts w:hint="eastAsia" w:ascii="仿宋" w:hAnsi="仿宋" w:eastAsia="仿宋" w:cs="仿宋"/>
          <w:color w:val="0C0C0C"/>
          <w:sz w:val="28"/>
          <w:szCs w:val="28"/>
        </w:rPr>
        <w:t>GB/T 4588.3-2002 印制板的设计和使用。</w:t>
      </w:r>
    </w:p>
    <w:p>
      <w:pPr>
        <w:pStyle w:val="2"/>
        <w:keepNext w:val="0"/>
        <w:keepLines w:val="0"/>
        <w:widowControl/>
        <w:suppressLineNumbers w:val="0"/>
        <w:spacing w:before="75" w:beforeAutospacing="0" w:after="75" w:afterAutospacing="0" w:line="555" w:lineRule="atLeast"/>
        <w:ind w:left="0" w:right="0" w:firstLine="420"/>
      </w:pPr>
      <w:r>
        <w:rPr>
          <w:rFonts w:hint="default" w:ascii="Times New Roman" w:hAnsi="Times New Roman" w:cs="Times New Roman"/>
          <w:color w:val="0C0C0C"/>
          <w:sz w:val="28"/>
          <w:szCs w:val="28"/>
        </w:rPr>
        <w:t>26. </w:t>
      </w:r>
      <w:r>
        <w:rPr>
          <w:rFonts w:hint="eastAsia" w:ascii="仿宋" w:hAnsi="仿宋" w:eastAsia="仿宋" w:cs="仿宋"/>
          <w:color w:val="0C0C0C"/>
          <w:sz w:val="28"/>
          <w:szCs w:val="28"/>
        </w:rPr>
        <w:t>JY/T 0465-2015 高等职业学校光伏发电技术与应用专业仪器设备装备规范。</w:t>
      </w:r>
    </w:p>
    <w:p>
      <w:pPr>
        <w:pStyle w:val="2"/>
        <w:keepNext w:val="0"/>
        <w:keepLines w:val="0"/>
        <w:widowControl/>
        <w:suppressLineNumbers w:val="0"/>
        <w:spacing w:before="75" w:beforeAutospacing="0" w:after="75" w:afterAutospacing="0" w:line="555" w:lineRule="atLeast"/>
        <w:ind w:left="0" w:right="0" w:firstLine="555"/>
      </w:pPr>
      <w:r>
        <w:rPr>
          <w:rStyle w:val="5"/>
          <w:rFonts w:hint="eastAsia" w:ascii="仿宋" w:hAnsi="仿宋" w:eastAsia="仿宋" w:cs="仿宋"/>
          <w:sz w:val="28"/>
          <w:szCs w:val="28"/>
        </w:rPr>
        <w:t>九、技术平台</w:t>
      </w:r>
    </w:p>
    <w:p>
      <w:pPr>
        <w:pStyle w:val="2"/>
        <w:keepNext w:val="0"/>
        <w:keepLines w:val="0"/>
        <w:widowControl/>
        <w:suppressLineNumbers w:val="0"/>
        <w:spacing w:before="75" w:beforeAutospacing="0" w:after="75" w:afterAutospacing="0" w:line="555" w:lineRule="atLeast"/>
        <w:ind w:left="0" w:right="0" w:firstLine="555"/>
      </w:pPr>
      <w:r>
        <w:rPr>
          <w:rFonts w:ascii="仿宋_GB2312" w:eastAsia="仿宋_GB2312" w:cs="仿宋_GB2312"/>
          <w:sz w:val="28"/>
          <w:szCs w:val="28"/>
        </w:rPr>
        <w:t>本次赛项使用</w:t>
      </w:r>
      <w:r>
        <w:rPr>
          <w:rFonts w:hint="default" w:ascii="仿宋_GB2312" w:eastAsia="仿宋_GB2312" w:cs="仿宋_GB2312"/>
          <w:sz w:val="28"/>
          <w:szCs w:val="28"/>
        </w:rPr>
        <w:t>技术平台为智慧新能源实训系统(Vulcan.sw)，由浙江瑞亚能源科技有限公司提供。</w:t>
      </w:r>
    </w:p>
    <w:p>
      <w:pPr>
        <w:pStyle w:val="2"/>
        <w:keepNext w:val="0"/>
        <w:keepLines w:val="0"/>
        <w:widowControl/>
        <w:suppressLineNumbers w:val="0"/>
        <w:spacing w:before="75" w:beforeAutospacing="0" w:after="75" w:afterAutospacing="0" w:line="555" w:lineRule="atLeast"/>
        <w:ind w:left="0" w:right="0" w:firstLine="555"/>
      </w:pPr>
      <w:r>
        <w:rPr>
          <w:rFonts w:hint="default" w:ascii="仿宋_GB2312" w:eastAsia="仿宋_GB2312" w:cs="仿宋_GB2312"/>
          <w:sz w:val="28"/>
          <w:szCs w:val="28"/>
        </w:rPr>
        <w:t>Vulcan.sw采用模块化积木式设计理念，可根据专业设置、课程设置情况自由组合，或延展所需平台模块，同时根据专业方向配有系统的课程体系设计建议及相应丰富的项目教学、实训资源，可满足光伏工程技术、新能源电子技术、分布式发电与微电网技术、光伏发电技术与应用、新能源装备技术、应用电子技术、自动化控制等专业课程开发需求。</w:t>
      </w:r>
    </w:p>
    <w:p>
      <w:pPr>
        <w:pStyle w:val="2"/>
        <w:keepNext w:val="0"/>
        <w:keepLines w:val="0"/>
        <w:widowControl/>
        <w:suppressLineNumbers w:val="0"/>
        <w:spacing w:before="75" w:beforeAutospacing="0" w:after="75" w:afterAutospacing="0" w:line="555" w:lineRule="atLeast"/>
        <w:ind w:left="0" w:right="0" w:firstLine="555"/>
      </w:pPr>
      <w:r>
        <w:rPr>
          <w:rFonts w:hint="default" w:ascii="仿宋_GB2312" w:eastAsia="仿宋_GB2312" w:cs="仿宋_GB2312"/>
          <w:sz w:val="28"/>
          <w:szCs w:val="28"/>
        </w:rPr>
        <w:t>（一）系统组成</w:t>
      </w:r>
    </w:p>
    <w:p>
      <w:pPr>
        <w:pStyle w:val="2"/>
        <w:keepNext w:val="0"/>
        <w:keepLines w:val="0"/>
        <w:widowControl/>
        <w:suppressLineNumbers w:val="0"/>
        <w:spacing w:before="75" w:beforeAutospacing="0" w:after="75" w:afterAutospacing="0" w:line="555" w:lineRule="atLeast"/>
        <w:ind w:left="0" w:right="0" w:firstLine="555"/>
      </w:pPr>
      <w:r>
        <w:rPr>
          <w:rFonts w:hint="default" w:ascii="仿宋_GB2312" w:eastAsia="仿宋_GB2312" w:cs="仿宋_GB2312"/>
          <w:sz w:val="28"/>
          <w:szCs w:val="28"/>
        </w:rPr>
        <w:t>Vulcan.sw 智慧新能源实训系统主体设备由工程环境模拟平台、光伏电子中心管控平台、能源互联网仿真规划平台三个核心应用平台，以及光伏电子中心管控软件、能源互联网仿真规划软件两大管理软件构成。</w:t>
      </w:r>
    </w:p>
    <w:p>
      <w:pPr>
        <w:pStyle w:val="2"/>
        <w:keepNext w:val="0"/>
        <w:keepLines w:val="0"/>
        <w:widowControl/>
        <w:suppressLineNumbers w:val="0"/>
        <w:spacing w:before="75" w:beforeAutospacing="0" w:after="75" w:afterAutospacing="0" w:line="555" w:lineRule="atLeast"/>
        <w:ind w:left="0" w:right="0" w:firstLine="555"/>
      </w:pPr>
      <w:r>
        <w:rPr>
          <w:rFonts w:hint="default" w:ascii="仿宋_GB2312" w:eastAsia="仿宋_GB2312" w:cs="仿宋_GB2312"/>
          <w:sz w:val="28"/>
          <w:szCs w:val="28"/>
        </w:rPr>
        <w:t>1.工程环境模拟平台</w:t>
      </w:r>
    </w:p>
    <w:p>
      <w:pPr>
        <w:pStyle w:val="2"/>
        <w:keepNext w:val="0"/>
        <w:keepLines w:val="0"/>
        <w:widowControl/>
        <w:suppressLineNumbers w:val="0"/>
        <w:spacing w:before="75" w:beforeAutospacing="0" w:after="75" w:afterAutospacing="0" w:line="555" w:lineRule="atLeast"/>
        <w:ind w:left="0" w:right="0" w:firstLine="555"/>
      </w:pPr>
      <w:r>
        <w:rPr>
          <w:rFonts w:hint="default" w:ascii="仿宋_GB2312" w:eastAsia="仿宋_GB2312" w:cs="仿宋_GB2312"/>
          <w:sz w:val="28"/>
          <w:szCs w:val="28"/>
        </w:rPr>
        <w:t>工程环境模拟平台作为智慧新能源实训系统的多种能源发电模拟平台，为可全面呈现并整合多种能源部署环境的可自由组合型模拟平台。平台由屋顶光伏组件模块、地面电站光伏组件模块、风力发电模块、太阳轨道模拟模块、光伏逐日模块，环境显控模块等组成，所有元器件安装在预留数控冲铣网孔支撑屏架上，可满足多场景智慧新能源环境的教学展现，及各种新能源发电系统的安装、调试、实训。</w:t>
      </w:r>
    </w:p>
    <w:p>
      <w:pPr>
        <w:pStyle w:val="2"/>
        <w:keepNext w:val="0"/>
        <w:keepLines w:val="0"/>
        <w:widowControl/>
        <w:suppressLineNumbers w:val="0"/>
        <w:spacing w:before="75" w:beforeAutospacing="0" w:after="75" w:afterAutospacing="0" w:line="555" w:lineRule="atLeast"/>
        <w:ind w:left="0" w:right="0" w:firstLine="555"/>
      </w:pPr>
      <w:r>
        <w:rPr>
          <w:rFonts w:hint="default" w:ascii="仿宋_GB2312" w:eastAsia="仿宋_GB2312" w:cs="仿宋_GB2312"/>
          <w:sz w:val="28"/>
          <w:szCs w:val="28"/>
        </w:rPr>
        <w:t>2.光伏电子中心管控平台</w:t>
      </w:r>
    </w:p>
    <w:p>
      <w:pPr>
        <w:pStyle w:val="2"/>
        <w:keepNext w:val="0"/>
        <w:keepLines w:val="0"/>
        <w:widowControl/>
        <w:suppressLineNumbers w:val="0"/>
        <w:spacing w:before="75" w:beforeAutospacing="0" w:after="75" w:afterAutospacing="0" w:line="555" w:lineRule="atLeast"/>
        <w:ind w:left="0" w:right="0" w:firstLine="555"/>
      </w:pPr>
      <w:r>
        <w:rPr>
          <w:rFonts w:hint="default" w:ascii="仿宋_GB2312" w:eastAsia="仿宋_GB2312" w:cs="仿宋_GB2312"/>
          <w:sz w:val="28"/>
          <w:szCs w:val="28"/>
        </w:rPr>
        <w:t>光伏电子中心管控平台作为中枢管理平台，是以符合人体工学的钢结构和铝合金型材为基础材料的柔性工位为载体，以数据采集、集中控制、能源负载、人机界面等组件为实现环境，通过各类高精度工业级元器件部署而成的具有光伏发电控制、能源转化储存、电能控制调度、逆变、多负载显示等功能的智能控制平台。</w:t>
      </w:r>
    </w:p>
    <w:p>
      <w:pPr>
        <w:pStyle w:val="2"/>
        <w:keepNext w:val="0"/>
        <w:keepLines w:val="0"/>
        <w:widowControl/>
        <w:suppressLineNumbers w:val="0"/>
        <w:spacing w:before="75" w:beforeAutospacing="0" w:after="75" w:afterAutospacing="0" w:line="555" w:lineRule="atLeast"/>
        <w:ind w:left="0" w:right="0" w:firstLine="555"/>
      </w:pPr>
      <w:r>
        <w:rPr>
          <w:rFonts w:hint="default" w:ascii="仿宋_GB2312" w:eastAsia="仿宋_GB2312" w:cs="仿宋_GB2312"/>
          <w:sz w:val="28"/>
          <w:szCs w:val="28"/>
        </w:rPr>
        <w:t>3.能源互联网仿真规划平台</w:t>
      </w:r>
    </w:p>
    <w:p>
      <w:pPr>
        <w:pStyle w:val="2"/>
        <w:keepNext w:val="0"/>
        <w:keepLines w:val="0"/>
        <w:widowControl/>
        <w:suppressLineNumbers w:val="0"/>
        <w:spacing w:before="75" w:beforeAutospacing="0" w:after="75" w:afterAutospacing="0" w:line="555" w:lineRule="atLeast"/>
        <w:ind w:left="0" w:right="0" w:firstLine="555"/>
      </w:pPr>
      <w:r>
        <w:rPr>
          <w:rFonts w:hint="default" w:ascii="仿宋_GB2312" w:eastAsia="仿宋_GB2312" w:cs="仿宋_GB2312"/>
          <w:sz w:val="28"/>
          <w:szCs w:val="28"/>
        </w:rPr>
        <w:t>能源互联网仿真规划平台设计源自于国际成熟的能源智能规划系统，以三维全景交互式仿真沙盘为实训载体，融合仿真建模、空间数据处理、信息通信、分布式计算及显示控制领域的核心技术，模拟再现多元化的能源供需网络系统情景。实训者可以根据区域整体环境状况，根据对于多种能源的不同需求，规划设计匹配的能源系统，对其进行协同优化，以能源利用效率最大化和能效的最优化作为综合实训的评估依据之一。</w:t>
      </w:r>
    </w:p>
    <w:p>
      <w:pPr>
        <w:pStyle w:val="2"/>
        <w:keepNext w:val="0"/>
        <w:keepLines w:val="0"/>
        <w:widowControl/>
        <w:suppressLineNumbers w:val="0"/>
        <w:spacing w:before="75" w:beforeAutospacing="0" w:after="75" w:afterAutospacing="0" w:line="555" w:lineRule="atLeast"/>
        <w:ind w:left="0" w:right="0" w:firstLine="555"/>
      </w:pPr>
      <w:r>
        <w:rPr>
          <w:rFonts w:hint="default" w:ascii="仿宋_GB2312" w:eastAsia="仿宋_GB2312" w:cs="仿宋_GB2312"/>
          <w:sz w:val="28"/>
          <w:szCs w:val="28"/>
        </w:rPr>
        <w:t>4.光伏电子中心管控软件</w:t>
      </w:r>
    </w:p>
    <w:p>
      <w:pPr>
        <w:pStyle w:val="2"/>
        <w:keepNext w:val="0"/>
        <w:keepLines w:val="0"/>
        <w:widowControl/>
        <w:suppressLineNumbers w:val="0"/>
        <w:spacing w:before="75" w:beforeAutospacing="0" w:after="75" w:afterAutospacing="0" w:line="555" w:lineRule="atLeast"/>
        <w:ind w:left="0" w:right="0" w:firstLine="555"/>
      </w:pPr>
      <w:r>
        <w:rPr>
          <w:rFonts w:hint="default" w:ascii="仿宋_GB2312" w:eastAsia="仿宋_GB2312" w:cs="仿宋_GB2312"/>
          <w:sz w:val="28"/>
          <w:szCs w:val="28"/>
        </w:rPr>
        <w:t>光伏电子中心管控软件作为智慧新能源实训系统的中枢控制软件，部署于管控平台，主要通过对管控平台产能模块的控制，产能数据的采集，以及就此真实数据与规划平台产生的模拟数据比对、调适等的互动操作，实现对于全网的电气参数采集、监视，处理报警，数据存储、分析、报表，远程控制，对于微网电源、负荷平衡计算以及新能源发电、储能、负荷综合调度管理。</w:t>
      </w:r>
    </w:p>
    <w:p>
      <w:pPr>
        <w:pStyle w:val="2"/>
        <w:keepNext w:val="0"/>
        <w:keepLines w:val="0"/>
        <w:widowControl/>
        <w:suppressLineNumbers w:val="0"/>
        <w:spacing w:before="75" w:beforeAutospacing="0" w:after="75" w:afterAutospacing="0" w:line="555" w:lineRule="atLeast"/>
        <w:ind w:left="0" w:right="0" w:firstLine="555"/>
      </w:pPr>
      <w:r>
        <w:rPr>
          <w:rFonts w:hint="default" w:ascii="仿宋_GB2312" w:eastAsia="仿宋_GB2312" w:cs="仿宋_GB2312"/>
          <w:sz w:val="28"/>
          <w:szCs w:val="28"/>
        </w:rPr>
        <w:t>5.能源互联网仿真规划软件</w:t>
      </w:r>
    </w:p>
    <w:p>
      <w:pPr>
        <w:pStyle w:val="2"/>
        <w:keepNext w:val="0"/>
        <w:keepLines w:val="0"/>
        <w:widowControl/>
        <w:suppressLineNumbers w:val="0"/>
        <w:spacing w:before="75" w:beforeAutospacing="0" w:after="75" w:afterAutospacing="0" w:line="555" w:lineRule="atLeast"/>
        <w:ind w:left="0" w:right="0" w:firstLine="555"/>
      </w:pPr>
      <w:r>
        <w:rPr>
          <w:rFonts w:hint="default" w:ascii="仿宋_GB2312" w:eastAsia="仿宋_GB2312" w:cs="仿宋_GB2312"/>
          <w:sz w:val="28"/>
          <w:szCs w:val="28"/>
        </w:rPr>
        <w:t>能源互联网仿真规划软件作为新能源系统工程规划部署平台，可以导入各种现实或模拟的地形地貌，以网格形式进行部署和展示系统，具有地形、气候、产能、用能等功能模拟。不同权限使用者可对系统属性、功能等进行修正、部署，从而模拟出城市（区域）产能供能用能等数据，并对环境平台进行产能模式控制。</w:t>
      </w:r>
    </w:p>
    <w:p>
      <w:pPr>
        <w:pStyle w:val="2"/>
        <w:keepNext w:val="0"/>
        <w:keepLines w:val="0"/>
        <w:widowControl/>
        <w:suppressLineNumbers w:val="0"/>
        <w:spacing w:before="75" w:beforeAutospacing="0" w:after="75" w:afterAutospacing="0" w:line="555" w:lineRule="atLeast"/>
        <w:ind w:left="0" w:right="0" w:firstLine="555"/>
      </w:pPr>
      <w:r>
        <w:rPr>
          <w:rFonts w:hint="default" w:ascii="仿宋_GB2312" w:eastAsia="仿宋_GB2312" w:cs="仿宋_GB2312"/>
          <w:sz w:val="28"/>
          <w:szCs w:val="28"/>
        </w:rPr>
        <w:t>（二）设备清单</w:t>
      </w:r>
    </w:p>
    <w:p>
      <w:pPr>
        <w:pStyle w:val="2"/>
        <w:keepNext w:val="0"/>
        <w:keepLines w:val="0"/>
        <w:widowControl/>
        <w:suppressLineNumbers w:val="0"/>
        <w:spacing w:before="75" w:beforeAutospacing="0" w:after="75" w:afterAutospacing="0" w:line="555" w:lineRule="atLeast"/>
        <w:ind w:left="0" w:right="0" w:firstLine="3375"/>
      </w:pPr>
      <w:r>
        <w:rPr>
          <w:rStyle w:val="5"/>
          <w:rFonts w:hint="eastAsia" w:ascii="仿宋" w:hAnsi="仿宋" w:eastAsia="仿宋" w:cs="仿宋"/>
          <w:sz w:val="24"/>
          <w:szCs w:val="24"/>
        </w:rPr>
        <w:t>表4 设备清单</w:t>
      </w:r>
    </w:p>
    <w:tbl>
      <w:tblPr>
        <w:tblW w:w="889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675"/>
        <w:gridCol w:w="1275"/>
        <w:gridCol w:w="1275"/>
        <w:gridCol w:w="56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67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仿宋" w:hAnsi="仿宋" w:eastAsia="仿宋" w:cs="仿宋"/>
                <w:sz w:val="24"/>
                <w:szCs w:val="24"/>
                <w:bdr w:val="none" w:color="auto" w:sz="0" w:space="0"/>
              </w:rPr>
              <w:t>序号</w:t>
            </w:r>
          </w:p>
        </w:tc>
        <w:tc>
          <w:tcPr>
            <w:tcW w:w="1275" w:type="dxa"/>
            <w:tcBorders>
              <w:top w:val="single" w:color="auto" w:sz="6" w:space="0"/>
              <w:left w:val="nil"/>
              <w:bottom w:val="single" w:color="auto" w:sz="6" w:space="0"/>
              <w:right w:val="single" w:color="auto" w:sz="6" w:space="0"/>
            </w:tcBorders>
            <w:shd w:val="clear"/>
            <w:tcMar>
              <w:top w:w="0" w:type="dxa"/>
              <w:left w:w="105"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仿宋" w:hAnsi="仿宋" w:eastAsia="仿宋" w:cs="仿宋"/>
                <w:sz w:val="24"/>
                <w:szCs w:val="24"/>
                <w:bdr w:val="none" w:color="auto" w:sz="0" w:space="0"/>
              </w:rPr>
              <w:t>系统平台</w:t>
            </w:r>
          </w:p>
        </w:tc>
        <w:tc>
          <w:tcPr>
            <w:tcW w:w="1275" w:type="dxa"/>
            <w:tcBorders>
              <w:top w:val="single" w:color="auto" w:sz="6" w:space="0"/>
              <w:left w:val="nil"/>
              <w:bottom w:val="single" w:color="auto" w:sz="6" w:space="0"/>
              <w:right w:val="single" w:color="auto" w:sz="6" w:space="0"/>
            </w:tcBorders>
            <w:shd w:val="clear"/>
            <w:tcMar>
              <w:top w:w="0" w:type="dxa"/>
              <w:left w:w="105"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仿宋" w:hAnsi="仿宋" w:eastAsia="仿宋" w:cs="仿宋"/>
                <w:sz w:val="24"/>
                <w:szCs w:val="24"/>
                <w:bdr w:val="none" w:color="auto" w:sz="0" w:space="0"/>
              </w:rPr>
              <w:t>平台模块</w:t>
            </w:r>
          </w:p>
        </w:tc>
        <w:tc>
          <w:tcPr>
            <w:tcW w:w="5670" w:type="dxa"/>
            <w:tcBorders>
              <w:top w:val="single" w:color="auto" w:sz="6" w:space="0"/>
              <w:left w:val="nil"/>
              <w:bottom w:val="single" w:color="auto" w:sz="6" w:space="0"/>
              <w:right w:val="single" w:color="auto" w:sz="6" w:space="0"/>
            </w:tcBorders>
            <w:shd w:val="clear"/>
            <w:tcMar>
              <w:top w:w="0" w:type="dxa"/>
              <w:left w:w="105"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仿宋" w:hAnsi="仿宋" w:eastAsia="仿宋" w:cs="仿宋"/>
                <w:sz w:val="24"/>
                <w:szCs w:val="24"/>
                <w:bdr w:val="none" w:color="auto" w:sz="0" w:space="0"/>
              </w:rPr>
              <w:t>功能描述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675" w:type="dxa"/>
            <w:vMerge w:val="restart"/>
            <w:tcBorders>
              <w:top w:val="nil"/>
              <w:left w:val="single" w:color="auto" w:sz="6" w:space="0"/>
              <w:bottom w:val="single" w:color="auto" w:sz="6" w:space="0"/>
              <w:right w:val="single" w:color="auto" w:sz="6" w:space="0"/>
            </w:tcBorders>
            <w:shd w:val="clear"/>
            <w:tcMar>
              <w:top w:w="0" w:type="dxa"/>
              <w:left w:w="105"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24"/>
                <w:szCs w:val="24"/>
                <w:bdr w:val="none" w:color="auto" w:sz="0" w:space="0"/>
              </w:rPr>
              <w:t>1</w:t>
            </w:r>
          </w:p>
        </w:tc>
        <w:tc>
          <w:tcPr>
            <w:tcW w:w="1275" w:type="dxa"/>
            <w:vMerge w:val="restart"/>
            <w:tcBorders>
              <w:top w:val="nil"/>
              <w:left w:val="nil"/>
              <w:bottom w:val="single" w:color="auto" w:sz="6" w:space="0"/>
              <w:right w:val="single" w:color="auto" w:sz="6" w:space="0"/>
            </w:tcBorders>
            <w:shd w:val="clear"/>
            <w:tcMar>
              <w:top w:w="0" w:type="dxa"/>
              <w:left w:w="105"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24"/>
                <w:szCs w:val="24"/>
                <w:bdr w:val="none" w:color="auto" w:sz="0" w:space="0"/>
              </w:rPr>
              <w:t>工程环境模拟平台</w:t>
            </w:r>
          </w:p>
        </w:tc>
        <w:tc>
          <w:tcPr>
            <w:tcW w:w="1275" w:type="dxa"/>
            <w:tcBorders>
              <w:top w:val="nil"/>
              <w:left w:val="nil"/>
              <w:bottom w:val="single" w:color="auto" w:sz="6" w:space="0"/>
              <w:right w:val="single" w:color="auto" w:sz="6" w:space="0"/>
            </w:tcBorders>
            <w:shd w:val="clear"/>
            <w:tcMar>
              <w:top w:w="0" w:type="dxa"/>
              <w:left w:w="105"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24"/>
                <w:szCs w:val="24"/>
                <w:bdr w:val="none" w:color="auto" w:sz="0" w:space="0"/>
              </w:rPr>
              <w:t>光伏发电模块</w:t>
            </w:r>
          </w:p>
        </w:tc>
        <w:tc>
          <w:tcPr>
            <w:tcW w:w="5670" w:type="dxa"/>
            <w:tcBorders>
              <w:top w:val="nil"/>
              <w:left w:val="nil"/>
              <w:bottom w:val="single" w:color="auto" w:sz="6" w:space="0"/>
              <w:right w:val="single" w:color="auto" w:sz="6" w:space="0"/>
            </w:tcBorders>
            <w:shd w:val="clear"/>
            <w:tcMar>
              <w:top w:w="0" w:type="dxa"/>
              <w:left w:w="105"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24"/>
                <w:szCs w:val="24"/>
                <w:bdr w:val="none" w:color="auto" w:sz="0" w:space="0"/>
              </w:rPr>
              <w:t>光伏发电模块主要由模拟光源、模拟光源支架、模拟光源驱动装置、太阳能电池组件、地面光伏模拟装置和屋顶光伏模拟装置组成；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24"/>
                <w:szCs w:val="24"/>
                <w:bdr w:val="none" w:color="auto" w:sz="0" w:space="0"/>
              </w:rPr>
              <w:t>通过采用大功率碘钨灯作为模拟光源可有效模拟实际日光的发电效果；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24"/>
                <w:szCs w:val="24"/>
                <w:bdr w:val="none" w:color="auto" w:sz="0" w:space="0"/>
              </w:rPr>
              <w:t>光伏逐日模块，最优化太阳光使用，提高光电转换效率的机械及电控单元系统，包括：电机、涡轮蜗杆、传感器系统等。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24"/>
                <w:szCs w:val="24"/>
                <w:bdr w:val="none" w:color="auto" w:sz="0" w:space="0"/>
              </w:rPr>
              <w:t>通过结合光伏发电的实际应用，模拟出地面光伏和屋顶光伏的不同效果，有效扩展同一平台上的多种光伏电站实现方式。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67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0" w:type="dxa"/>
            </w:tcMar>
            <w:vAlign w:val="center"/>
          </w:tcPr>
          <w:p>
            <w:pPr>
              <w:rPr>
                <w:rFonts w:hint="eastAsia" w:ascii="宋体"/>
                <w:sz w:val="24"/>
                <w:szCs w:val="24"/>
              </w:rPr>
            </w:pPr>
          </w:p>
        </w:tc>
        <w:tc>
          <w:tcPr>
            <w:tcW w:w="1275" w:type="dxa"/>
            <w:vMerge w:val="continue"/>
            <w:tcBorders>
              <w:top w:val="nil"/>
              <w:left w:val="nil"/>
              <w:bottom w:val="single" w:color="auto" w:sz="6" w:space="0"/>
              <w:right w:val="single" w:color="auto" w:sz="6" w:space="0"/>
            </w:tcBorders>
            <w:shd w:val="clear"/>
            <w:tcMar>
              <w:top w:w="0" w:type="dxa"/>
              <w:left w:w="105" w:type="dxa"/>
              <w:bottom w:w="0" w:type="dxa"/>
              <w:right w:w="0" w:type="dxa"/>
            </w:tcMar>
            <w:vAlign w:val="center"/>
          </w:tcPr>
          <w:p>
            <w:pPr>
              <w:rPr>
                <w:rFonts w:hint="eastAsia" w:ascii="宋体"/>
                <w:sz w:val="24"/>
                <w:szCs w:val="24"/>
              </w:rPr>
            </w:pPr>
          </w:p>
        </w:tc>
        <w:tc>
          <w:tcPr>
            <w:tcW w:w="1275" w:type="dxa"/>
            <w:tcBorders>
              <w:top w:val="nil"/>
              <w:left w:val="nil"/>
              <w:bottom w:val="single" w:color="auto" w:sz="6" w:space="0"/>
              <w:right w:val="single" w:color="auto" w:sz="6" w:space="0"/>
            </w:tcBorders>
            <w:shd w:val="clear"/>
            <w:tcMar>
              <w:top w:w="0" w:type="dxa"/>
              <w:left w:w="105"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24"/>
                <w:szCs w:val="24"/>
                <w:bdr w:val="none" w:color="auto" w:sz="0" w:space="0"/>
              </w:rPr>
              <w:t>环境显控模块</w:t>
            </w:r>
          </w:p>
        </w:tc>
        <w:tc>
          <w:tcPr>
            <w:tcW w:w="5670" w:type="dxa"/>
            <w:tcBorders>
              <w:top w:val="nil"/>
              <w:left w:val="nil"/>
              <w:bottom w:val="single" w:color="auto" w:sz="6" w:space="0"/>
              <w:right w:val="single" w:color="auto" w:sz="6" w:space="0"/>
            </w:tcBorders>
            <w:shd w:val="clear"/>
            <w:tcMar>
              <w:top w:w="0" w:type="dxa"/>
              <w:left w:w="105"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24"/>
                <w:szCs w:val="24"/>
                <w:bdr w:val="none" w:color="auto" w:sz="0" w:space="0"/>
              </w:rPr>
              <w:t>在平台上通过显控屏幕操作，可对光照强度、太阳运轨角度等控制。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675" w:type="dxa"/>
            <w:vMerge w:val="restart"/>
            <w:tcBorders>
              <w:top w:val="nil"/>
              <w:left w:val="single" w:color="auto" w:sz="6" w:space="0"/>
              <w:bottom w:val="single" w:color="auto" w:sz="6" w:space="0"/>
              <w:right w:val="single" w:color="auto" w:sz="6" w:space="0"/>
            </w:tcBorders>
            <w:shd w:val="clear"/>
            <w:tcMar>
              <w:top w:w="0" w:type="dxa"/>
              <w:left w:w="105"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24"/>
                <w:szCs w:val="24"/>
                <w:bdr w:val="none" w:color="auto" w:sz="0" w:space="0"/>
              </w:rPr>
              <w:t>2</w:t>
            </w:r>
          </w:p>
        </w:tc>
        <w:tc>
          <w:tcPr>
            <w:tcW w:w="1275" w:type="dxa"/>
            <w:vMerge w:val="restart"/>
            <w:tcBorders>
              <w:top w:val="nil"/>
              <w:left w:val="nil"/>
              <w:bottom w:val="single" w:color="auto" w:sz="6" w:space="0"/>
              <w:right w:val="single" w:color="auto" w:sz="6" w:space="0"/>
            </w:tcBorders>
            <w:shd w:val="clear"/>
            <w:tcMar>
              <w:top w:w="0" w:type="dxa"/>
              <w:left w:w="105"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24"/>
                <w:szCs w:val="24"/>
                <w:bdr w:val="none" w:color="auto" w:sz="0" w:space="0"/>
              </w:rPr>
              <w:t>光伏电子中心控制平台</w:t>
            </w:r>
          </w:p>
        </w:tc>
        <w:tc>
          <w:tcPr>
            <w:tcW w:w="1275" w:type="dxa"/>
            <w:tcBorders>
              <w:top w:val="nil"/>
              <w:left w:val="nil"/>
              <w:bottom w:val="single" w:color="auto" w:sz="6" w:space="0"/>
              <w:right w:val="single" w:color="auto" w:sz="6" w:space="0"/>
            </w:tcBorders>
            <w:shd w:val="clear"/>
            <w:tcMar>
              <w:top w:w="0" w:type="dxa"/>
              <w:left w:w="105"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24"/>
                <w:szCs w:val="24"/>
                <w:bdr w:val="none" w:color="auto" w:sz="0" w:space="0"/>
              </w:rPr>
              <w:t>数据采集模块</w:t>
            </w:r>
          </w:p>
        </w:tc>
        <w:tc>
          <w:tcPr>
            <w:tcW w:w="5670" w:type="dxa"/>
            <w:tcBorders>
              <w:top w:val="nil"/>
              <w:left w:val="nil"/>
              <w:bottom w:val="single" w:color="auto" w:sz="6" w:space="0"/>
              <w:right w:val="single" w:color="auto" w:sz="6" w:space="0"/>
            </w:tcBorders>
            <w:shd w:val="clear"/>
            <w:tcMar>
              <w:top w:w="0" w:type="dxa"/>
              <w:left w:w="105"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24"/>
                <w:szCs w:val="24"/>
                <w:bdr w:val="none" w:color="auto" w:sz="0" w:space="0"/>
              </w:rPr>
              <w:t>数据采集模块通过安装直流电压表、直流电流表、交流电压表、交流电流表、功率因数表等仪表，来实现智慧新能源系统的数据显示和采集。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67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0" w:type="dxa"/>
            </w:tcMar>
            <w:vAlign w:val="center"/>
          </w:tcPr>
          <w:p>
            <w:pPr>
              <w:rPr>
                <w:rFonts w:hint="eastAsia" w:ascii="宋体"/>
                <w:sz w:val="24"/>
                <w:szCs w:val="24"/>
              </w:rPr>
            </w:pPr>
          </w:p>
        </w:tc>
        <w:tc>
          <w:tcPr>
            <w:tcW w:w="1275" w:type="dxa"/>
            <w:vMerge w:val="continue"/>
            <w:tcBorders>
              <w:top w:val="nil"/>
              <w:left w:val="nil"/>
              <w:bottom w:val="single" w:color="auto" w:sz="6" w:space="0"/>
              <w:right w:val="single" w:color="auto" w:sz="6" w:space="0"/>
            </w:tcBorders>
            <w:shd w:val="clear"/>
            <w:tcMar>
              <w:top w:w="0" w:type="dxa"/>
              <w:left w:w="105" w:type="dxa"/>
              <w:bottom w:w="0" w:type="dxa"/>
              <w:right w:w="0" w:type="dxa"/>
            </w:tcMar>
            <w:vAlign w:val="center"/>
          </w:tcPr>
          <w:p>
            <w:pPr>
              <w:rPr>
                <w:rFonts w:hint="eastAsia" w:ascii="宋体"/>
                <w:sz w:val="24"/>
                <w:szCs w:val="24"/>
              </w:rPr>
            </w:pPr>
          </w:p>
        </w:tc>
        <w:tc>
          <w:tcPr>
            <w:tcW w:w="1275" w:type="dxa"/>
            <w:tcBorders>
              <w:top w:val="nil"/>
              <w:left w:val="nil"/>
              <w:bottom w:val="single" w:color="auto" w:sz="6" w:space="0"/>
              <w:right w:val="single" w:color="auto" w:sz="6" w:space="0"/>
            </w:tcBorders>
            <w:shd w:val="clear"/>
            <w:tcMar>
              <w:top w:w="0" w:type="dxa"/>
              <w:left w:w="105"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24"/>
                <w:szCs w:val="24"/>
                <w:bdr w:val="none" w:color="auto" w:sz="0" w:space="0"/>
              </w:rPr>
              <w:t>集中控制模块</w:t>
            </w:r>
          </w:p>
        </w:tc>
        <w:tc>
          <w:tcPr>
            <w:tcW w:w="5670" w:type="dxa"/>
            <w:tcBorders>
              <w:top w:val="nil"/>
              <w:left w:val="nil"/>
              <w:bottom w:val="single" w:color="auto" w:sz="6" w:space="0"/>
              <w:right w:val="single" w:color="auto" w:sz="6" w:space="0"/>
            </w:tcBorders>
            <w:shd w:val="clear"/>
            <w:tcMar>
              <w:top w:w="0" w:type="dxa"/>
              <w:left w:w="105"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24"/>
                <w:szCs w:val="24"/>
                <w:bdr w:val="none" w:color="auto" w:sz="0" w:space="0"/>
              </w:rPr>
              <w:t>集控模块由PLC组件系统、电源系统、断路保护系统、逆变系统、光伏控制系统和储能系统等组成。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24"/>
                <w:szCs w:val="24"/>
                <w:bdr w:val="none" w:color="auto" w:sz="0" w:space="0"/>
              </w:rPr>
              <w:t>集控模块是整个智慧新能源平台的核心，通过连接环境模拟平台、负载模块，实现其控制功能和能源管理功能。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67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0" w:type="dxa"/>
            </w:tcMar>
            <w:vAlign w:val="center"/>
          </w:tcPr>
          <w:p>
            <w:pPr>
              <w:rPr>
                <w:rFonts w:hint="eastAsia" w:ascii="宋体"/>
                <w:sz w:val="24"/>
                <w:szCs w:val="24"/>
              </w:rPr>
            </w:pPr>
          </w:p>
        </w:tc>
        <w:tc>
          <w:tcPr>
            <w:tcW w:w="1275" w:type="dxa"/>
            <w:vMerge w:val="continue"/>
            <w:tcBorders>
              <w:top w:val="nil"/>
              <w:left w:val="nil"/>
              <w:bottom w:val="single" w:color="auto" w:sz="6" w:space="0"/>
              <w:right w:val="single" w:color="auto" w:sz="6" w:space="0"/>
            </w:tcBorders>
            <w:shd w:val="clear"/>
            <w:tcMar>
              <w:top w:w="0" w:type="dxa"/>
              <w:left w:w="105" w:type="dxa"/>
              <w:bottom w:w="0" w:type="dxa"/>
              <w:right w:w="0" w:type="dxa"/>
            </w:tcMar>
            <w:vAlign w:val="center"/>
          </w:tcPr>
          <w:p>
            <w:pPr>
              <w:rPr>
                <w:rFonts w:hint="eastAsia" w:ascii="宋体"/>
                <w:sz w:val="24"/>
                <w:szCs w:val="24"/>
              </w:rPr>
            </w:pPr>
          </w:p>
        </w:tc>
        <w:tc>
          <w:tcPr>
            <w:tcW w:w="1275" w:type="dxa"/>
            <w:tcBorders>
              <w:top w:val="nil"/>
              <w:left w:val="nil"/>
              <w:bottom w:val="single" w:color="auto" w:sz="6" w:space="0"/>
              <w:right w:val="single" w:color="auto" w:sz="6" w:space="0"/>
            </w:tcBorders>
            <w:shd w:val="clear"/>
            <w:tcMar>
              <w:top w:w="0" w:type="dxa"/>
              <w:left w:w="105"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24"/>
                <w:szCs w:val="24"/>
                <w:bdr w:val="none" w:color="auto" w:sz="0" w:space="0"/>
              </w:rPr>
              <w:t>负载模块</w:t>
            </w:r>
          </w:p>
        </w:tc>
        <w:tc>
          <w:tcPr>
            <w:tcW w:w="5670" w:type="dxa"/>
            <w:tcBorders>
              <w:top w:val="nil"/>
              <w:left w:val="nil"/>
              <w:bottom w:val="single" w:color="auto" w:sz="6" w:space="0"/>
              <w:right w:val="single" w:color="auto" w:sz="6" w:space="0"/>
            </w:tcBorders>
            <w:shd w:val="clear"/>
            <w:tcMar>
              <w:top w:w="0" w:type="dxa"/>
              <w:left w:w="105"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24"/>
                <w:szCs w:val="24"/>
                <w:bdr w:val="none" w:color="auto" w:sz="0" w:space="0"/>
              </w:rPr>
              <w:t>负载模块主要由实际用能侧的展示，来体现智慧新能源的实际应用性。本实训系统通过在负载模块安装交通信号灯、滑动变阻器、交流LED、微型异步交流电机等直流和交流负载，来展示智慧新能源广泛的应用性和可靠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675" w:type="dxa"/>
            <w:tcBorders>
              <w:top w:val="nil"/>
              <w:left w:val="single" w:color="auto" w:sz="6" w:space="0"/>
              <w:bottom w:val="single" w:color="auto" w:sz="6" w:space="0"/>
              <w:right w:val="single" w:color="auto" w:sz="6" w:space="0"/>
            </w:tcBorders>
            <w:shd w:val="clear"/>
            <w:tcMar>
              <w:top w:w="0" w:type="dxa"/>
              <w:left w:w="105"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24"/>
                <w:szCs w:val="24"/>
                <w:bdr w:val="none" w:color="auto" w:sz="0" w:space="0"/>
              </w:rPr>
              <w:t>3</w:t>
            </w:r>
          </w:p>
        </w:tc>
        <w:tc>
          <w:tcPr>
            <w:tcW w:w="1275" w:type="dxa"/>
            <w:tcBorders>
              <w:top w:val="nil"/>
              <w:left w:val="nil"/>
              <w:bottom w:val="single" w:color="auto" w:sz="6" w:space="0"/>
              <w:right w:val="single" w:color="auto" w:sz="6" w:space="0"/>
            </w:tcBorders>
            <w:shd w:val="clear"/>
            <w:tcMar>
              <w:top w:w="0" w:type="dxa"/>
              <w:left w:w="105"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24"/>
                <w:szCs w:val="24"/>
                <w:bdr w:val="none" w:color="auto" w:sz="0" w:space="0"/>
              </w:rPr>
              <w:t>能源互联网仿真规划平台</w:t>
            </w:r>
          </w:p>
        </w:tc>
        <w:tc>
          <w:tcPr>
            <w:tcW w:w="1275" w:type="dxa"/>
            <w:tcBorders>
              <w:top w:val="nil"/>
              <w:left w:val="nil"/>
              <w:bottom w:val="single" w:color="auto" w:sz="6" w:space="0"/>
              <w:right w:val="single" w:color="auto" w:sz="6" w:space="0"/>
            </w:tcBorders>
            <w:shd w:val="clear"/>
            <w:tcMar>
              <w:top w:w="0" w:type="dxa"/>
              <w:left w:w="105"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24"/>
                <w:szCs w:val="24"/>
                <w:bdr w:val="none" w:color="auto" w:sz="0" w:space="0"/>
              </w:rPr>
              <w:t>高清红外触摸显示模块</w:t>
            </w:r>
          </w:p>
        </w:tc>
        <w:tc>
          <w:tcPr>
            <w:tcW w:w="5670" w:type="dxa"/>
            <w:tcBorders>
              <w:top w:val="nil"/>
              <w:left w:val="nil"/>
              <w:bottom w:val="single" w:color="auto" w:sz="6" w:space="0"/>
              <w:right w:val="single" w:color="auto" w:sz="6" w:space="0"/>
            </w:tcBorders>
            <w:shd w:val="clear"/>
            <w:tcMar>
              <w:top w:w="0" w:type="dxa"/>
              <w:left w:w="105"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24"/>
                <w:szCs w:val="24"/>
                <w:bdr w:val="none" w:color="auto" w:sz="0" w:space="0"/>
              </w:rPr>
              <w:t>以交互式仿真场景沙盘为实训载体，融合仿真建模、空间数据处理、信息通信、分布式计算及显示控制领域的核心技术，模拟再现多元化的能源供需网络系统情景。实训者可根据区域整体环境状况，根据对于多种能源的不同需求，规划设计匹配的能源系统，并对其进行协同优化，以能源利用效率最大化和能效的最优化作为综合实训的评估依据之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675" w:type="dxa"/>
            <w:tcBorders>
              <w:top w:val="nil"/>
              <w:left w:val="single" w:color="auto" w:sz="6" w:space="0"/>
              <w:bottom w:val="single" w:color="auto" w:sz="6" w:space="0"/>
              <w:right w:val="single" w:color="auto" w:sz="6" w:space="0"/>
            </w:tcBorders>
            <w:shd w:val="clear"/>
            <w:tcMar>
              <w:top w:w="0" w:type="dxa"/>
              <w:left w:w="105"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24"/>
                <w:szCs w:val="24"/>
                <w:bdr w:val="none" w:color="auto" w:sz="0" w:space="0"/>
              </w:rPr>
              <w:t>4</w:t>
            </w:r>
          </w:p>
        </w:tc>
        <w:tc>
          <w:tcPr>
            <w:tcW w:w="1275" w:type="dxa"/>
            <w:tcBorders>
              <w:top w:val="nil"/>
              <w:left w:val="nil"/>
              <w:bottom w:val="single" w:color="auto" w:sz="6" w:space="0"/>
              <w:right w:val="single" w:color="auto" w:sz="6" w:space="0"/>
            </w:tcBorders>
            <w:shd w:val="clear"/>
            <w:tcMar>
              <w:top w:w="0" w:type="dxa"/>
              <w:left w:w="105"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24"/>
                <w:szCs w:val="24"/>
                <w:bdr w:val="none" w:color="auto" w:sz="0" w:space="0"/>
              </w:rPr>
              <w:t>光伏电子中心管控软件</w:t>
            </w:r>
          </w:p>
        </w:tc>
        <w:tc>
          <w:tcPr>
            <w:tcW w:w="1275" w:type="dxa"/>
            <w:tcBorders>
              <w:top w:val="nil"/>
              <w:left w:val="nil"/>
              <w:bottom w:val="single" w:color="auto" w:sz="6" w:space="0"/>
              <w:right w:val="single" w:color="auto" w:sz="6" w:space="0"/>
            </w:tcBorders>
            <w:shd w:val="clear"/>
            <w:tcMar>
              <w:top w:w="0" w:type="dxa"/>
              <w:left w:w="105"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24"/>
                <w:szCs w:val="24"/>
                <w:bdr w:val="none" w:color="auto" w:sz="0" w:space="0"/>
              </w:rPr>
              <w:t>人机界面模块</w:t>
            </w:r>
          </w:p>
        </w:tc>
        <w:tc>
          <w:tcPr>
            <w:tcW w:w="5670" w:type="dxa"/>
            <w:tcBorders>
              <w:top w:val="nil"/>
              <w:left w:val="nil"/>
              <w:bottom w:val="single" w:color="auto" w:sz="6" w:space="0"/>
              <w:right w:val="single" w:color="auto" w:sz="6" w:space="0"/>
            </w:tcBorders>
            <w:shd w:val="clear"/>
            <w:tcMar>
              <w:top w:w="0" w:type="dxa"/>
              <w:left w:w="105"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24"/>
                <w:szCs w:val="24"/>
                <w:bdr w:val="none" w:color="auto" w:sz="0" w:space="0"/>
              </w:rPr>
              <w:t>人机界面模块由计算机和实训管控软件，是进行人机操作的窗口，也是实训过程中进行编程和管理控制的主要工位。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675" w:type="dxa"/>
            <w:vMerge w:val="restart"/>
            <w:tcBorders>
              <w:top w:val="nil"/>
              <w:left w:val="single" w:color="auto" w:sz="6" w:space="0"/>
              <w:bottom w:val="single" w:color="auto" w:sz="6" w:space="0"/>
              <w:right w:val="single" w:color="auto" w:sz="6" w:space="0"/>
            </w:tcBorders>
            <w:shd w:val="clear"/>
            <w:tcMar>
              <w:top w:w="0" w:type="dxa"/>
              <w:left w:w="105"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24"/>
                <w:szCs w:val="24"/>
                <w:bdr w:val="none" w:color="auto" w:sz="0" w:space="0"/>
              </w:rPr>
              <w:t>5</w:t>
            </w:r>
          </w:p>
        </w:tc>
        <w:tc>
          <w:tcPr>
            <w:tcW w:w="1275" w:type="dxa"/>
            <w:vMerge w:val="restart"/>
            <w:tcBorders>
              <w:top w:val="nil"/>
              <w:left w:val="nil"/>
              <w:bottom w:val="single" w:color="auto" w:sz="6" w:space="0"/>
              <w:right w:val="single" w:color="auto" w:sz="6" w:space="0"/>
            </w:tcBorders>
            <w:shd w:val="clear"/>
            <w:tcMar>
              <w:top w:w="0" w:type="dxa"/>
              <w:left w:w="105"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24"/>
                <w:szCs w:val="24"/>
                <w:bdr w:val="none" w:color="auto" w:sz="0" w:space="0"/>
              </w:rPr>
              <w:t>能源互联网仿真规划软件</w:t>
            </w:r>
          </w:p>
        </w:tc>
        <w:tc>
          <w:tcPr>
            <w:tcW w:w="1275" w:type="dxa"/>
            <w:tcBorders>
              <w:top w:val="nil"/>
              <w:left w:val="nil"/>
              <w:bottom w:val="single" w:color="auto" w:sz="6" w:space="0"/>
              <w:right w:val="single" w:color="auto" w:sz="6" w:space="0"/>
            </w:tcBorders>
            <w:shd w:val="clear"/>
            <w:tcMar>
              <w:top w:w="0" w:type="dxa"/>
              <w:left w:w="105"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24"/>
                <w:szCs w:val="24"/>
                <w:bdr w:val="none" w:color="auto" w:sz="0" w:space="0"/>
              </w:rPr>
              <w:t>管理者模块</w:t>
            </w:r>
          </w:p>
        </w:tc>
        <w:tc>
          <w:tcPr>
            <w:tcW w:w="5670" w:type="dxa"/>
            <w:tcBorders>
              <w:top w:val="nil"/>
              <w:left w:val="nil"/>
              <w:bottom w:val="single" w:color="auto" w:sz="6" w:space="0"/>
              <w:right w:val="single" w:color="auto" w:sz="6" w:space="0"/>
            </w:tcBorders>
            <w:shd w:val="clear"/>
            <w:tcMar>
              <w:top w:w="0" w:type="dxa"/>
              <w:left w:w="105"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24"/>
                <w:szCs w:val="24"/>
                <w:bdr w:val="none" w:color="auto" w:sz="0" w:space="0"/>
              </w:rPr>
              <w:t>园区导入:导入预设的园区地图；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24"/>
                <w:szCs w:val="24"/>
                <w:bdr w:val="none" w:color="auto" w:sz="0" w:space="0"/>
              </w:rPr>
              <w:t>气候修正:修正园区内气候因素；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24"/>
                <w:szCs w:val="24"/>
                <w:bdr w:val="none" w:color="auto" w:sz="0" w:space="0"/>
              </w:rPr>
              <w:t>土地类型:设定园区土地使用类型；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24"/>
                <w:szCs w:val="24"/>
                <w:bdr w:val="none" w:color="auto" w:sz="0" w:space="0"/>
              </w:rPr>
              <w:t>建筑编辑:设定园区建筑物属性；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24"/>
                <w:szCs w:val="24"/>
                <w:bdr w:val="none" w:color="auto" w:sz="0" w:space="0"/>
              </w:rPr>
              <w:t>能源报表统计，查阅学生新能源规划设计情况，可日月年查看。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trPr>
        <w:tc>
          <w:tcPr>
            <w:tcW w:w="67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0" w:type="dxa"/>
            </w:tcMar>
            <w:vAlign w:val="center"/>
          </w:tcPr>
          <w:p>
            <w:pPr>
              <w:rPr>
                <w:rFonts w:hint="eastAsia" w:ascii="宋体"/>
                <w:sz w:val="24"/>
                <w:szCs w:val="24"/>
              </w:rPr>
            </w:pPr>
          </w:p>
        </w:tc>
        <w:tc>
          <w:tcPr>
            <w:tcW w:w="1275" w:type="dxa"/>
            <w:vMerge w:val="continue"/>
            <w:tcBorders>
              <w:top w:val="nil"/>
              <w:left w:val="nil"/>
              <w:bottom w:val="single" w:color="auto" w:sz="6" w:space="0"/>
              <w:right w:val="single" w:color="auto" w:sz="6" w:space="0"/>
            </w:tcBorders>
            <w:shd w:val="clear"/>
            <w:tcMar>
              <w:top w:w="0" w:type="dxa"/>
              <w:left w:w="105" w:type="dxa"/>
              <w:bottom w:w="0" w:type="dxa"/>
              <w:right w:w="0" w:type="dxa"/>
            </w:tcMar>
            <w:vAlign w:val="center"/>
          </w:tcPr>
          <w:p>
            <w:pPr>
              <w:rPr>
                <w:rFonts w:hint="eastAsia" w:ascii="宋体"/>
                <w:sz w:val="24"/>
                <w:szCs w:val="24"/>
              </w:rPr>
            </w:pPr>
          </w:p>
        </w:tc>
        <w:tc>
          <w:tcPr>
            <w:tcW w:w="1275" w:type="dxa"/>
            <w:tcBorders>
              <w:top w:val="nil"/>
              <w:left w:val="nil"/>
              <w:bottom w:val="single" w:color="auto" w:sz="6" w:space="0"/>
              <w:right w:val="single" w:color="auto" w:sz="6" w:space="0"/>
            </w:tcBorders>
            <w:shd w:val="clear"/>
            <w:tcMar>
              <w:top w:w="0" w:type="dxa"/>
              <w:left w:w="105"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sz w:val="24"/>
                <w:szCs w:val="24"/>
                <w:bdr w:val="none" w:color="auto" w:sz="0" w:space="0"/>
              </w:rPr>
              <w:t>设计者模块</w:t>
            </w:r>
          </w:p>
        </w:tc>
        <w:tc>
          <w:tcPr>
            <w:tcW w:w="5670" w:type="dxa"/>
            <w:tcBorders>
              <w:top w:val="nil"/>
              <w:left w:val="nil"/>
              <w:bottom w:val="single" w:color="auto" w:sz="6" w:space="0"/>
              <w:right w:val="single" w:color="auto" w:sz="6" w:space="0"/>
            </w:tcBorders>
            <w:shd w:val="clear"/>
            <w:tcMar>
              <w:top w:w="0" w:type="dxa"/>
              <w:left w:w="105"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24"/>
                <w:szCs w:val="24"/>
                <w:bdr w:val="none" w:color="auto" w:sz="0" w:space="0"/>
              </w:rPr>
              <w:t>导入管理者预设的园区情况，根据设计者的理念，进行新能源模块规划和部署,并按照给定时间进行模拟，产生能源部署的运行结果。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24"/>
                <w:szCs w:val="24"/>
                <w:bdr w:val="none" w:color="auto" w:sz="0" w:space="0"/>
              </w:rPr>
              <w:t>该系统可以形象地表示出模拟园区所规划的产能设备在历史数据下的产能情况, 将枯燥的能源规划以图标形式表现出来。</w:t>
            </w:r>
          </w:p>
        </w:tc>
      </w:tr>
    </w:tbl>
    <w:p>
      <w:pPr>
        <w:pStyle w:val="2"/>
        <w:keepNext w:val="0"/>
        <w:keepLines w:val="0"/>
        <w:widowControl/>
        <w:suppressLineNumbers w:val="0"/>
        <w:spacing w:before="150" w:beforeAutospacing="0" w:after="75" w:afterAutospacing="0" w:line="555" w:lineRule="atLeast"/>
        <w:ind w:left="0" w:right="0" w:firstLine="555"/>
      </w:pPr>
      <w:r>
        <w:rPr>
          <w:rStyle w:val="5"/>
          <w:rFonts w:hint="eastAsia" w:ascii="仿宋" w:hAnsi="仿宋" w:eastAsia="仿宋" w:cs="仿宋"/>
          <w:sz w:val="28"/>
          <w:szCs w:val="28"/>
        </w:rPr>
        <w:t>十、成绩评定</w:t>
      </w:r>
    </w:p>
    <w:p>
      <w:pPr>
        <w:pStyle w:val="2"/>
        <w:keepNext w:val="0"/>
        <w:keepLines w:val="0"/>
        <w:widowControl/>
        <w:suppressLineNumbers w:val="0"/>
        <w:spacing w:before="75" w:beforeAutospacing="0" w:after="75" w:afterAutospacing="0" w:line="555" w:lineRule="atLeast"/>
        <w:ind w:left="0" w:right="0" w:firstLine="600"/>
      </w:pPr>
      <w:r>
        <w:rPr>
          <w:rFonts w:hint="default" w:ascii="仿宋_GB2312" w:eastAsia="仿宋_GB2312" w:cs="仿宋_GB2312"/>
          <w:sz w:val="28"/>
          <w:szCs w:val="28"/>
        </w:rPr>
        <w:t>（一）评分标准</w:t>
      </w:r>
    </w:p>
    <w:p>
      <w:pPr>
        <w:pStyle w:val="2"/>
        <w:keepNext w:val="0"/>
        <w:keepLines w:val="0"/>
        <w:widowControl/>
        <w:suppressLineNumbers w:val="0"/>
        <w:spacing w:before="75" w:beforeAutospacing="0" w:after="75" w:afterAutospacing="0" w:line="555" w:lineRule="atLeast"/>
        <w:ind w:left="0" w:right="0" w:firstLine="555"/>
      </w:pPr>
      <w:r>
        <w:rPr>
          <w:rFonts w:hint="default" w:ascii="仿宋_GB2312" w:eastAsia="仿宋_GB2312" w:cs="仿宋_GB2312"/>
          <w:sz w:val="28"/>
          <w:szCs w:val="28"/>
        </w:rPr>
        <w:t>1.竞赛分值比例</w:t>
      </w:r>
    </w:p>
    <w:p>
      <w:pPr>
        <w:pStyle w:val="2"/>
        <w:keepNext w:val="0"/>
        <w:keepLines w:val="0"/>
        <w:widowControl/>
        <w:suppressLineNumbers w:val="0"/>
        <w:spacing w:before="75" w:beforeAutospacing="0" w:after="75" w:afterAutospacing="0" w:line="555" w:lineRule="atLeast"/>
        <w:ind w:left="0" w:right="0"/>
      </w:pPr>
      <w:r>
        <w:rPr>
          <w:rFonts w:hint="default" w:ascii="仿宋_GB2312" w:eastAsia="仿宋_GB2312" w:cs="仿宋_GB2312"/>
          <w:sz w:val="28"/>
          <w:szCs w:val="28"/>
        </w:rPr>
        <w:t>                        </w:t>
      </w:r>
      <w:r>
        <w:rPr>
          <w:rStyle w:val="5"/>
          <w:rFonts w:hint="eastAsia" w:ascii="仿宋" w:hAnsi="仿宋" w:eastAsia="仿宋" w:cs="仿宋"/>
          <w:color w:val="171717"/>
          <w:sz w:val="24"/>
          <w:szCs w:val="24"/>
        </w:rPr>
        <w:t>表5 竞赛分值比例</w:t>
      </w:r>
    </w:p>
    <w:tbl>
      <w:tblPr>
        <w:tblW w:w="898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781"/>
        <w:gridCol w:w="2284"/>
        <w:gridCol w:w="1022"/>
        <w:gridCol w:w="48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00" w:hRule="atLeast"/>
        </w:trPr>
        <w:tc>
          <w:tcPr>
            <w:tcW w:w="780" w:type="dxa"/>
            <w:tcBorders>
              <w:top w:val="single" w:color="000000" w:sz="6" w:space="0"/>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仿宋" w:hAnsi="仿宋" w:eastAsia="仿宋" w:cs="仿宋"/>
                <w:sz w:val="24"/>
                <w:szCs w:val="24"/>
                <w:bdr w:val="none" w:color="auto" w:sz="0" w:space="0"/>
              </w:rPr>
              <w:t>序号</w:t>
            </w:r>
          </w:p>
        </w:tc>
        <w:tc>
          <w:tcPr>
            <w:tcW w:w="2280" w:type="dxa"/>
            <w:tcBorders>
              <w:top w:val="single" w:color="000000" w:sz="6" w:space="0"/>
              <w:left w:val="nil"/>
              <w:bottom w:val="single" w:color="000000" w:sz="6" w:space="0"/>
              <w:right w:val="single" w:color="00000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仿宋" w:hAnsi="仿宋" w:eastAsia="仿宋" w:cs="仿宋"/>
                <w:sz w:val="24"/>
                <w:szCs w:val="24"/>
                <w:bdr w:val="none" w:color="auto" w:sz="0" w:space="0"/>
              </w:rPr>
              <w:t>名称</w:t>
            </w:r>
          </w:p>
        </w:tc>
        <w:tc>
          <w:tcPr>
            <w:tcW w:w="1020" w:type="dxa"/>
            <w:tcBorders>
              <w:top w:val="single" w:color="000000" w:sz="6" w:space="0"/>
              <w:left w:val="nil"/>
              <w:bottom w:val="single" w:color="000000" w:sz="6" w:space="0"/>
              <w:right w:val="single" w:color="00000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仿宋" w:hAnsi="仿宋" w:eastAsia="仿宋" w:cs="仿宋"/>
                <w:sz w:val="24"/>
                <w:szCs w:val="24"/>
                <w:bdr w:val="none" w:color="auto" w:sz="0" w:space="0"/>
              </w:rPr>
              <w:t>占比</w:t>
            </w:r>
          </w:p>
        </w:tc>
        <w:tc>
          <w:tcPr>
            <w:tcW w:w="4890" w:type="dxa"/>
            <w:tcBorders>
              <w:top w:val="single" w:color="000000" w:sz="6" w:space="0"/>
              <w:left w:val="nil"/>
              <w:bottom w:val="single" w:color="000000" w:sz="6" w:space="0"/>
              <w:right w:val="single" w:color="000000" w:sz="6" w:space="0"/>
            </w:tcBorders>
            <w:shd w:val="clear"/>
            <w:tcMar>
              <w:top w:w="75" w:type="dxa"/>
              <w:left w:w="75" w:type="dxa"/>
              <w:bottom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仿宋" w:hAnsi="仿宋" w:eastAsia="仿宋" w:cs="仿宋"/>
                <w:sz w:val="24"/>
                <w:szCs w:val="24"/>
                <w:bdr w:val="none" w:color="auto" w:sz="0" w:space="0"/>
              </w:rPr>
              <w:t>考核内容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780" w:type="dxa"/>
            <w:tcBorders>
              <w:top w:val="nil"/>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24"/>
                <w:szCs w:val="24"/>
                <w:bdr w:val="none" w:color="auto" w:sz="0" w:space="0"/>
              </w:rPr>
              <w:t>1</w:t>
            </w:r>
          </w:p>
        </w:tc>
        <w:tc>
          <w:tcPr>
            <w:tcW w:w="228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24"/>
                <w:szCs w:val="24"/>
                <w:bdr w:val="none" w:color="auto" w:sz="0" w:space="0"/>
              </w:rPr>
              <w:t>工程规划与工程部署</w:t>
            </w:r>
          </w:p>
        </w:tc>
        <w:tc>
          <w:tcPr>
            <w:tcW w:w="102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24"/>
                <w:szCs w:val="24"/>
                <w:bdr w:val="none" w:color="auto" w:sz="0" w:space="0"/>
              </w:rPr>
              <w:t>20%</w:t>
            </w:r>
          </w:p>
        </w:tc>
        <w:tc>
          <w:tcPr>
            <w:tcW w:w="489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24"/>
                <w:szCs w:val="24"/>
                <w:bdr w:val="none" w:color="auto" w:sz="0" w:space="0"/>
              </w:rPr>
              <w:t>（1）考核参赛选手对光伏电子工程系统原理的掌握、工程制图规范的掌握及系统设计能力。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24"/>
                <w:szCs w:val="24"/>
                <w:bdr w:val="none" w:color="auto" w:sz="0" w:space="0"/>
              </w:rPr>
              <w:t>（2）考核参赛选手就光伏电子工程，对于供能设备、储能设备、智能控制装置及负载装置等的安装、配置、连接技能、方法、工艺的掌握。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24"/>
                <w:szCs w:val="24"/>
                <w:bdr w:val="none" w:color="auto" w:sz="0" w:space="0"/>
              </w:rPr>
              <w:t>（3）考核参赛选手在安装接线完成后，是否遵照用电操作规范，对设备进行完整的检测。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10" w:hRule="atLeast"/>
        </w:trPr>
        <w:tc>
          <w:tcPr>
            <w:tcW w:w="780" w:type="dxa"/>
            <w:tcBorders>
              <w:top w:val="nil"/>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24"/>
                <w:szCs w:val="24"/>
                <w:bdr w:val="none" w:color="auto" w:sz="0" w:space="0"/>
              </w:rPr>
              <w:t>2</w:t>
            </w:r>
          </w:p>
        </w:tc>
        <w:tc>
          <w:tcPr>
            <w:tcW w:w="228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24"/>
                <w:szCs w:val="24"/>
                <w:bdr w:val="none" w:color="auto" w:sz="0" w:space="0"/>
              </w:rPr>
              <w:t>系统开发与系统调试</w:t>
            </w:r>
          </w:p>
        </w:tc>
        <w:tc>
          <w:tcPr>
            <w:tcW w:w="102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24"/>
                <w:szCs w:val="24"/>
                <w:bdr w:val="none" w:color="auto" w:sz="0" w:space="0"/>
              </w:rPr>
              <w:t>55%</w:t>
            </w:r>
          </w:p>
        </w:tc>
        <w:tc>
          <w:tcPr>
            <w:tcW w:w="489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24"/>
                <w:szCs w:val="24"/>
                <w:bdr w:val="none" w:color="auto" w:sz="0" w:space="0"/>
              </w:rPr>
              <w:t>（1）考核基于PLC对光伏管控系统的配置、开发与调试；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24"/>
                <w:szCs w:val="24"/>
                <w:bdr w:val="none" w:color="auto" w:sz="0" w:space="0"/>
              </w:rPr>
              <w:t>（2）考核单片机数据采集、通讯、智能控制等功能的开发与调试；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24"/>
                <w:szCs w:val="24"/>
                <w:bdr w:val="none" w:color="auto" w:sz="0" w:space="0"/>
              </w:rPr>
              <w:t>（3）考核组态系统的使用、开发及调试；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24"/>
                <w:szCs w:val="24"/>
                <w:bdr w:val="none" w:color="auto" w:sz="0" w:space="0"/>
              </w:rPr>
              <w:t>（4）考核系统整机运行调试、简单智能能源综合利用等知识和技能的掌握。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780" w:type="dxa"/>
            <w:tcBorders>
              <w:top w:val="nil"/>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24"/>
                <w:szCs w:val="24"/>
                <w:bdr w:val="none" w:color="auto" w:sz="0" w:space="0"/>
              </w:rPr>
              <w:t>3</w:t>
            </w:r>
          </w:p>
        </w:tc>
        <w:tc>
          <w:tcPr>
            <w:tcW w:w="228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24"/>
                <w:szCs w:val="24"/>
                <w:bdr w:val="none" w:color="auto" w:sz="0" w:space="0"/>
              </w:rPr>
              <w:t>区域能源分析与排布</w:t>
            </w:r>
          </w:p>
        </w:tc>
        <w:tc>
          <w:tcPr>
            <w:tcW w:w="102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24"/>
                <w:szCs w:val="24"/>
                <w:bdr w:val="none" w:color="auto" w:sz="0" w:space="0"/>
              </w:rPr>
              <w:t>20%</w:t>
            </w:r>
          </w:p>
        </w:tc>
        <w:tc>
          <w:tcPr>
            <w:tcW w:w="489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24"/>
                <w:szCs w:val="24"/>
                <w:bdr w:val="none" w:color="auto" w:sz="0" w:space="0"/>
              </w:rPr>
              <w:t>考核参赛选手对区域能源工程项目整体的项目需求分析，能源供电选址，能源系统分析，产能分析，能源优化等知识的掌握。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trPr>
        <w:tc>
          <w:tcPr>
            <w:tcW w:w="780" w:type="dxa"/>
            <w:tcBorders>
              <w:top w:val="nil"/>
              <w:left w:val="single" w:color="000000" w:sz="6" w:space="0"/>
              <w:bottom w:val="single" w:color="000000" w:sz="6" w:space="0"/>
              <w:right w:val="single" w:color="00000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24"/>
                <w:szCs w:val="24"/>
                <w:bdr w:val="none" w:color="auto" w:sz="0" w:space="0"/>
              </w:rPr>
              <w:t>4</w:t>
            </w:r>
          </w:p>
        </w:tc>
        <w:tc>
          <w:tcPr>
            <w:tcW w:w="228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24"/>
                <w:szCs w:val="24"/>
                <w:bdr w:val="none" w:color="auto" w:sz="0" w:space="0"/>
              </w:rPr>
              <w:t>职业规范与安全生产</w:t>
            </w:r>
          </w:p>
        </w:tc>
        <w:tc>
          <w:tcPr>
            <w:tcW w:w="102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24"/>
                <w:szCs w:val="24"/>
                <w:bdr w:val="none" w:color="auto" w:sz="0" w:space="0"/>
              </w:rPr>
              <w:t>5%</w:t>
            </w:r>
          </w:p>
        </w:tc>
        <w:tc>
          <w:tcPr>
            <w:tcW w:w="4890" w:type="dxa"/>
            <w:tcBorders>
              <w:top w:val="nil"/>
              <w:left w:val="nil"/>
              <w:bottom w:val="single" w:color="000000" w:sz="6" w:space="0"/>
              <w:right w:val="single" w:color="000000" w:sz="6" w:space="0"/>
            </w:tcBorders>
            <w:shd w:val="clear"/>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sz w:val="24"/>
                <w:szCs w:val="24"/>
                <w:bdr w:val="none" w:color="auto" w:sz="0" w:space="0"/>
              </w:rPr>
              <w:t>考核参赛选手在职业规范、团队协作、组织管理、工作计划、团队风貌等方面的职业素养成绩。</w:t>
            </w:r>
          </w:p>
        </w:tc>
      </w:tr>
    </w:tbl>
    <w:p>
      <w:pPr>
        <w:pStyle w:val="2"/>
        <w:keepNext w:val="0"/>
        <w:keepLines w:val="0"/>
        <w:widowControl/>
        <w:suppressLineNumbers w:val="0"/>
        <w:spacing w:before="75" w:beforeAutospacing="0" w:after="75" w:afterAutospacing="0" w:line="360" w:lineRule="atLeast"/>
        <w:ind w:left="0" w:right="0" w:firstLine="555"/>
      </w:pPr>
      <w:r>
        <w:rPr>
          <w:rFonts w:hint="default" w:ascii="仿宋_GB2312" w:eastAsia="仿宋_GB2312" w:cs="仿宋_GB2312"/>
          <w:sz w:val="28"/>
          <w:szCs w:val="28"/>
        </w:rPr>
        <w:t>（二）评分方法</w:t>
      </w:r>
    </w:p>
    <w:p>
      <w:pPr>
        <w:pStyle w:val="2"/>
        <w:keepNext w:val="0"/>
        <w:keepLines w:val="0"/>
        <w:widowControl/>
        <w:suppressLineNumbers w:val="0"/>
        <w:spacing w:before="75" w:beforeAutospacing="0" w:after="75" w:afterAutospacing="0" w:line="360" w:lineRule="atLeast"/>
        <w:ind w:left="0" w:right="0" w:firstLine="840"/>
      </w:pPr>
      <w:r>
        <w:rPr>
          <w:rFonts w:hint="eastAsia" w:ascii="仿宋" w:hAnsi="仿宋" w:eastAsia="仿宋" w:cs="仿宋"/>
          <w:sz w:val="28"/>
          <w:szCs w:val="28"/>
        </w:rPr>
        <w:t>1. 组织与分工</w:t>
      </w:r>
    </w:p>
    <w:p>
      <w:pPr>
        <w:pStyle w:val="2"/>
        <w:keepNext w:val="0"/>
        <w:keepLines w:val="0"/>
        <w:widowControl/>
        <w:suppressLineNumbers w:val="0"/>
        <w:spacing w:before="75" w:beforeAutospacing="0" w:after="75" w:afterAutospacing="0" w:line="360" w:lineRule="atLeast"/>
        <w:ind w:left="0" w:right="0" w:firstLine="555"/>
      </w:pPr>
      <w:r>
        <w:rPr>
          <w:rFonts w:hint="eastAsia" w:ascii="仿宋" w:hAnsi="仿宋" w:eastAsia="仿宋" w:cs="仿宋"/>
          <w:sz w:val="28"/>
          <w:szCs w:val="28"/>
        </w:rPr>
        <w:t>（1）参与大赛赛项成绩管理的</w:t>
      </w:r>
      <w:r>
        <w:rPr>
          <w:rFonts w:hint="eastAsia" w:ascii="仿宋" w:hAnsi="仿宋" w:eastAsia="仿宋" w:cs="仿宋"/>
          <w:color w:val="0C0C0C"/>
          <w:sz w:val="28"/>
          <w:szCs w:val="28"/>
        </w:rPr>
        <w:t>组织机构包括裁判组、仲裁组。</w:t>
      </w:r>
    </w:p>
    <w:p>
      <w:pPr>
        <w:pStyle w:val="2"/>
        <w:keepNext w:val="0"/>
        <w:keepLines w:val="0"/>
        <w:widowControl/>
        <w:suppressLineNumbers w:val="0"/>
        <w:spacing w:before="75" w:beforeAutospacing="0" w:after="75" w:afterAutospacing="0" w:line="360" w:lineRule="atLeast"/>
        <w:ind w:left="0" w:right="0" w:firstLine="555"/>
      </w:pPr>
      <w:r>
        <w:rPr>
          <w:rFonts w:hint="eastAsia" w:ascii="仿宋" w:hAnsi="仿宋" w:eastAsia="仿宋" w:cs="仿宋"/>
          <w:color w:val="0C0C0C"/>
          <w:sz w:val="28"/>
          <w:szCs w:val="28"/>
        </w:rPr>
        <w:t>（2）裁判组实行“裁判长负责制”，设裁判长</w:t>
      </w:r>
      <w:r>
        <w:rPr>
          <w:rFonts w:hint="default" w:ascii="Times New Roman" w:hAnsi="Times New Roman" w:eastAsia="仿宋" w:cs="Times New Roman"/>
          <w:color w:val="0C0C0C"/>
          <w:sz w:val="28"/>
          <w:szCs w:val="28"/>
        </w:rPr>
        <w:t>1</w:t>
      </w:r>
      <w:r>
        <w:rPr>
          <w:rFonts w:hint="eastAsia" w:ascii="仿宋" w:hAnsi="仿宋" w:eastAsia="仿宋" w:cs="仿宋"/>
          <w:color w:val="0C0C0C"/>
          <w:sz w:val="28"/>
          <w:szCs w:val="28"/>
        </w:rPr>
        <w:t>名；裁判员2名。</w:t>
      </w:r>
    </w:p>
    <w:p>
      <w:pPr>
        <w:pStyle w:val="2"/>
        <w:keepNext w:val="0"/>
        <w:keepLines w:val="0"/>
        <w:widowControl/>
        <w:suppressLineNumbers w:val="0"/>
        <w:spacing w:before="75" w:beforeAutospacing="0" w:after="75" w:afterAutospacing="0" w:line="360" w:lineRule="atLeast"/>
        <w:ind w:left="0" w:right="0" w:firstLine="555"/>
      </w:pPr>
      <w:r>
        <w:rPr>
          <w:rFonts w:hint="eastAsia" w:ascii="仿宋" w:hAnsi="仿宋" w:eastAsia="仿宋" w:cs="仿宋"/>
          <w:sz w:val="28"/>
          <w:szCs w:val="28"/>
        </w:rPr>
        <w:t>（3）检录工作人员负责对参赛队伍（选手）进行点名登记、身份核对等工作；裁判按规定做好赛场记录，维护赛场纪律，评定参赛队的现场得分，对参赛队伍（选手）的比赛作品、比赛表现按赛项评分标准进行评定。</w:t>
      </w:r>
    </w:p>
    <w:p>
      <w:pPr>
        <w:pStyle w:val="2"/>
        <w:keepNext w:val="0"/>
        <w:keepLines w:val="0"/>
        <w:widowControl/>
        <w:suppressLineNumbers w:val="0"/>
        <w:spacing w:before="75" w:beforeAutospacing="0" w:after="75" w:afterAutospacing="0" w:line="360" w:lineRule="atLeast"/>
        <w:ind w:left="0" w:right="0" w:firstLine="555"/>
      </w:pPr>
      <w:r>
        <w:rPr>
          <w:rFonts w:hint="eastAsia" w:ascii="仿宋" w:hAnsi="仿宋" w:eastAsia="仿宋" w:cs="仿宋"/>
          <w:sz w:val="28"/>
          <w:szCs w:val="28"/>
        </w:rPr>
        <w:t>（4）仲裁组负责接受由参赛队领队提出的对裁判结果的申诉，组织复议并及时反馈复议结果。</w:t>
      </w:r>
    </w:p>
    <w:p>
      <w:pPr>
        <w:pStyle w:val="2"/>
        <w:keepNext w:val="0"/>
        <w:keepLines w:val="0"/>
        <w:widowControl/>
        <w:suppressLineNumbers w:val="0"/>
        <w:spacing w:before="75" w:beforeAutospacing="0" w:after="75" w:afterAutospacing="0" w:line="360" w:lineRule="atLeast"/>
        <w:ind w:left="0" w:right="0" w:firstLine="555"/>
      </w:pPr>
      <w:r>
        <w:rPr>
          <w:rFonts w:hint="eastAsia" w:ascii="仿宋" w:hAnsi="仿宋" w:eastAsia="仿宋" w:cs="仿宋"/>
          <w:sz w:val="28"/>
          <w:szCs w:val="28"/>
        </w:rPr>
        <w:t>2. 成绩评定方法</w:t>
      </w:r>
    </w:p>
    <w:p>
      <w:pPr>
        <w:pStyle w:val="2"/>
        <w:keepNext w:val="0"/>
        <w:keepLines w:val="0"/>
        <w:widowControl/>
        <w:suppressLineNumbers w:val="0"/>
        <w:spacing w:before="75" w:beforeAutospacing="0" w:after="75" w:afterAutospacing="0" w:line="360" w:lineRule="atLeast"/>
        <w:ind w:left="0" w:right="0" w:firstLine="555"/>
      </w:pPr>
      <w:r>
        <w:rPr>
          <w:rFonts w:hint="eastAsia" w:ascii="仿宋" w:hAnsi="仿宋" w:eastAsia="仿宋" w:cs="仿宋"/>
          <w:sz w:val="28"/>
          <w:szCs w:val="28"/>
        </w:rPr>
        <w:t>成绩评定是根据竞赛考核目标、内容对参赛队或选手在竞赛过程中的表现和最终成果做出评价。本赛项的评分方法为结果评分。结果评分是对参赛选手提交的竞赛成果，依据赛项评价标准进行评价评分。</w:t>
      </w:r>
    </w:p>
    <w:p>
      <w:pPr>
        <w:pStyle w:val="2"/>
        <w:keepNext w:val="0"/>
        <w:keepLines w:val="0"/>
        <w:widowControl/>
        <w:suppressLineNumbers w:val="0"/>
        <w:spacing w:before="75" w:beforeAutospacing="0" w:after="75" w:afterAutospacing="0" w:line="360" w:lineRule="atLeast"/>
        <w:ind w:left="0" w:right="0" w:firstLine="555"/>
      </w:pPr>
      <w:r>
        <w:rPr>
          <w:rFonts w:hint="eastAsia" w:ascii="仿宋" w:hAnsi="仿宋" w:eastAsia="仿宋" w:cs="仿宋"/>
          <w:sz w:val="28"/>
          <w:szCs w:val="28"/>
        </w:rPr>
        <w:t>所有的评分表、成绩汇总表备案以供核查，最终的成绩由裁判长进行审核确认并上报大赛组委会。</w:t>
      </w:r>
    </w:p>
    <w:p>
      <w:pPr>
        <w:pStyle w:val="2"/>
        <w:keepNext w:val="0"/>
        <w:keepLines w:val="0"/>
        <w:widowControl/>
        <w:suppressLineNumbers w:val="0"/>
        <w:spacing w:before="75" w:beforeAutospacing="0" w:after="75" w:afterAutospacing="0" w:line="360" w:lineRule="atLeast"/>
        <w:ind w:left="0" w:right="0" w:firstLine="195"/>
      </w:pPr>
      <w:r>
        <w:rPr>
          <w:rFonts w:hint="eastAsia" w:ascii="仿宋" w:hAnsi="仿宋" w:eastAsia="仿宋" w:cs="仿宋"/>
          <w:sz w:val="28"/>
          <w:szCs w:val="28"/>
        </w:rPr>
        <w:t>通过检录、一次加密、二次加密、竞赛成绩评定、解密、成绩公布等流程，规范成绩管理。</w:t>
      </w:r>
    </w:p>
    <w:p>
      <w:pPr>
        <w:pStyle w:val="2"/>
        <w:keepNext w:val="0"/>
        <w:keepLines w:val="0"/>
        <w:widowControl/>
        <w:suppressLineNumbers w:val="0"/>
        <w:spacing w:before="75" w:beforeAutospacing="0" w:after="75" w:afterAutospacing="0" w:line="360" w:lineRule="atLeast"/>
        <w:ind w:left="0" w:right="0" w:firstLine="555"/>
      </w:pPr>
      <w:r>
        <w:rPr>
          <w:rFonts w:hint="eastAsia" w:ascii="仿宋" w:hAnsi="仿宋" w:eastAsia="仿宋" w:cs="仿宋"/>
          <w:sz w:val="28"/>
          <w:szCs w:val="28"/>
        </w:rPr>
        <w:t>竞赛成绩评定本着公平公正公开的原则，评分标准注重对参赛选手价值观与态度，以技能考核为主，兼顾实际应用能力和职业道德素养综合评定。</w:t>
      </w:r>
    </w:p>
    <w:p>
      <w:pPr>
        <w:pStyle w:val="2"/>
        <w:keepNext w:val="0"/>
        <w:keepLines w:val="0"/>
        <w:widowControl/>
        <w:suppressLineNumbers w:val="0"/>
        <w:spacing w:before="75" w:beforeAutospacing="0" w:after="75" w:afterAutospacing="0" w:line="360" w:lineRule="atLeast"/>
        <w:ind w:left="0" w:right="0" w:firstLine="555"/>
      </w:pPr>
      <w:r>
        <w:rPr>
          <w:rStyle w:val="5"/>
          <w:rFonts w:hint="default" w:ascii="仿宋_GB2312" w:eastAsia="仿宋_GB2312" w:cs="仿宋_GB2312"/>
          <w:sz w:val="28"/>
          <w:szCs w:val="28"/>
        </w:rPr>
        <w:t>十一、赛项安全</w:t>
      </w:r>
    </w:p>
    <w:p>
      <w:pPr>
        <w:pStyle w:val="2"/>
        <w:keepNext w:val="0"/>
        <w:keepLines w:val="0"/>
        <w:widowControl/>
        <w:suppressLineNumbers w:val="0"/>
        <w:spacing w:before="75" w:beforeAutospacing="0" w:after="75" w:afterAutospacing="0" w:line="360" w:lineRule="atLeast"/>
        <w:ind w:left="0" w:right="0" w:firstLine="555"/>
      </w:pPr>
      <w:r>
        <w:rPr>
          <w:rFonts w:hint="default" w:ascii="仿宋_GB2312" w:eastAsia="仿宋_GB2312" w:cs="仿宋_GB2312"/>
          <w:sz w:val="28"/>
          <w:szCs w:val="28"/>
        </w:rPr>
        <w:t>赛事安全是技能大赛一切工作顺利开展的先决条件，是赛事筹备和运行工作必须考虑的核心问题。赛项执委会采取切实有效措施保证大赛期间参赛选手、指导教师、裁判员、工作人员及观众的人身安全。</w:t>
      </w:r>
    </w:p>
    <w:p>
      <w:pPr>
        <w:pStyle w:val="2"/>
        <w:keepNext w:val="0"/>
        <w:keepLines w:val="0"/>
        <w:widowControl/>
        <w:suppressLineNumbers w:val="0"/>
        <w:spacing w:before="75" w:beforeAutospacing="0" w:after="75" w:afterAutospacing="0" w:line="360" w:lineRule="atLeast"/>
        <w:ind w:left="0" w:right="0" w:firstLine="195"/>
      </w:pPr>
      <w:r>
        <w:rPr>
          <w:rFonts w:hint="default" w:ascii="仿宋_GB2312" w:eastAsia="仿宋_GB2312" w:cs="仿宋_GB2312"/>
          <w:sz w:val="28"/>
          <w:szCs w:val="28"/>
        </w:rPr>
        <w:t>（一）比赛环境</w:t>
      </w:r>
    </w:p>
    <w:p>
      <w:pPr>
        <w:pStyle w:val="2"/>
        <w:keepNext w:val="0"/>
        <w:keepLines w:val="0"/>
        <w:widowControl/>
        <w:suppressLineNumbers w:val="0"/>
        <w:spacing w:before="75" w:beforeAutospacing="0" w:after="75" w:afterAutospacing="0" w:line="360" w:lineRule="atLeast"/>
        <w:ind w:left="0" w:right="0" w:firstLine="555"/>
      </w:pPr>
      <w:r>
        <w:rPr>
          <w:rFonts w:hint="default" w:ascii="Times New Roman" w:hAnsi="Times New Roman" w:cs="Times New Roman"/>
          <w:sz w:val="28"/>
          <w:szCs w:val="28"/>
        </w:rPr>
        <w:t>1.</w:t>
      </w:r>
      <w:r>
        <w:rPr>
          <w:rFonts w:hint="default" w:ascii="仿宋_GB2312" w:eastAsia="仿宋_GB2312" w:cs="仿宋_GB2312"/>
          <w:sz w:val="28"/>
          <w:szCs w:val="28"/>
        </w:rPr>
        <w:t>执委会在赛前组织专人对比赛现场、住宿场所和交通保障进行考察，并对安全工作提出明确要求。赛场的布置，赛场内的器材、设备，符合国家有关安全规定。承办单位赛前将按照执委会要求排除安全隐患。</w:t>
      </w:r>
    </w:p>
    <w:p>
      <w:pPr>
        <w:pStyle w:val="2"/>
        <w:keepNext w:val="0"/>
        <w:keepLines w:val="0"/>
        <w:widowControl/>
        <w:suppressLineNumbers w:val="0"/>
        <w:spacing w:before="75" w:beforeAutospacing="0" w:after="75" w:afterAutospacing="0" w:line="360" w:lineRule="atLeast"/>
        <w:ind w:left="0" w:right="0" w:firstLine="555"/>
      </w:pPr>
      <w:r>
        <w:rPr>
          <w:rFonts w:hint="default" w:ascii="Times New Roman" w:hAnsi="Times New Roman" w:cs="Times New Roman"/>
          <w:sz w:val="28"/>
          <w:szCs w:val="28"/>
        </w:rPr>
        <w:t>2.</w:t>
      </w:r>
      <w:r>
        <w:rPr>
          <w:rFonts w:hint="default" w:ascii="仿宋_GB2312" w:eastAsia="仿宋_GB2312" w:cs="仿宋_GB2312"/>
          <w:sz w:val="28"/>
          <w:szCs w:val="28"/>
        </w:rPr>
        <w:t>赛场周围设立警戒线，防止无关人员进入发生意外事件。比赛现场内的每个工位粘贴安全操作规范，选手进场后开赛前，裁判长将统一进行告知。设备通电前应向现场裁判举手示意，在现场裁判检查并同意后方可通电。</w:t>
      </w:r>
    </w:p>
    <w:p>
      <w:pPr>
        <w:pStyle w:val="2"/>
        <w:keepNext w:val="0"/>
        <w:keepLines w:val="0"/>
        <w:widowControl/>
        <w:suppressLineNumbers w:val="0"/>
        <w:spacing w:before="75" w:beforeAutospacing="0" w:after="75" w:afterAutospacing="0" w:line="360" w:lineRule="atLeast"/>
        <w:ind w:left="0" w:right="0" w:firstLine="555"/>
      </w:pPr>
      <w:r>
        <w:rPr>
          <w:rFonts w:hint="default" w:ascii="Times New Roman" w:hAnsi="Times New Roman" w:cs="Times New Roman"/>
          <w:sz w:val="28"/>
          <w:szCs w:val="28"/>
        </w:rPr>
        <w:t>3.</w:t>
      </w:r>
      <w:r>
        <w:rPr>
          <w:rFonts w:hint="default" w:ascii="仿宋_GB2312" w:eastAsia="仿宋_GB2312" w:cs="仿宋_GB2312"/>
          <w:sz w:val="28"/>
          <w:szCs w:val="28"/>
        </w:rPr>
        <w:t>承办单位将制定赛场用电预案。现场提供医疗和消防安全保障。</w:t>
      </w:r>
    </w:p>
    <w:p>
      <w:pPr>
        <w:pStyle w:val="2"/>
        <w:keepNext w:val="0"/>
        <w:keepLines w:val="0"/>
        <w:widowControl/>
        <w:suppressLineNumbers w:val="0"/>
        <w:spacing w:before="75" w:beforeAutospacing="0" w:after="75" w:afterAutospacing="0" w:line="360" w:lineRule="atLeast"/>
        <w:ind w:left="0" w:right="0" w:firstLine="555"/>
      </w:pPr>
      <w:r>
        <w:rPr>
          <w:rFonts w:hint="default" w:ascii="Times New Roman" w:hAnsi="Times New Roman" w:cs="Times New Roman"/>
          <w:sz w:val="28"/>
          <w:szCs w:val="28"/>
        </w:rPr>
        <w:t>4.</w:t>
      </w:r>
      <w:r>
        <w:rPr>
          <w:rFonts w:hint="default" w:ascii="仿宋_GB2312" w:eastAsia="仿宋_GB2312" w:cs="仿宋_GB2312"/>
          <w:sz w:val="28"/>
          <w:szCs w:val="28"/>
        </w:rPr>
        <w:t>执委会将会同承办单位制定开放赛场和体验区的人员疏导方案。赛场环境中除了设置齐全的指示标志外，还将增加引导人员，并开辟备用通道。</w:t>
      </w:r>
    </w:p>
    <w:p>
      <w:pPr>
        <w:pStyle w:val="2"/>
        <w:keepNext w:val="0"/>
        <w:keepLines w:val="0"/>
        <w:widowControl/>
        <w:suppressLineNumbers w:val="0"/>
        <w:spacing w:before="75" w:beforeAutospacing="0" w:after="75" w:afterAutospacing="0" w:line="360" w:lineRule="atLeast"/>
        <w:ind w:left="0" w:right="0" w:firstLine="555"/>
      </w:pPr>
      <w:r>
        <w:rPr>
          <w:rFonts w:hint="default" w:ascii="Times New Roman" w:hAnsi="Times New Roman" w:cs="Times New Roman"/>
          <w:sz w:val="28"/>
          <w:szCs w:val="28"/>
        </w:rPr>
        <w:t>5.</w:t>
      </w:r>
      <w:r>
        <w:rPr>
          <w:rFonts w:hint="default" w:ascii="仿宋_GB2312" w:eastAsia="仿宋_GB2312" w:cs="仿宋_GB2312"/>
          <w:sz w:val="28"/>
          <w:szCs w:val="28"/>
        </w:rPr>
        <w:t>大赛期间，承办单位将按照执委会要求在赛场管理的关键岗位，增加力量，建立安全管理日志。</w:t>
      </w:r>
    </w:p>
    <w:p>
      <w:pPr>
        <w:pStyle w:val="2"/>
        <w:keepNext w:val="0"/>
        <w:keepLines w:val="0"/>
        <w:widowControl/>
        <w:suppressLineNumbers w:val="0"/>
        <w:spacing w:before="75" w:beforeAutospacing="0" w:after="75" w:afterAutospacing="0" w:line="360" w:lineRule="atLeast"/>
        <w:ind w:left="0" w:right="0" w:firstLine="555"/>
      </w:pPr>
      <w:r>
        <w:rPr>
          <w:rFonts w:hint="default" w:ascii="Times New Roman" w:hAnsi="Times New Roman" w:cs="Times New Roman"/>
          <w:sz w:val="28"/>
          <w:szCs w:val="28"/>
        </w:rPr>
        <w:t>6.</w:t>
      </w:r>
      <w:r>
        <w:rPr>
          <w:rFonts w:hint="default" w:ascii="仿宋_GB2312" w:eastAsia="仿宋_GB2312" w:cs="仿宋_GB2312"/>
          <w:sz w:val="28"/>
          <w:szCs w:val="28"/>
        </w:rPr>
        <w:t>参赛选手进入赛位、赛事裁判工作人员进入工作场所，严禁携带通讯、照相摄录设备，禁止携带记录用具。如确有需要，由赛场统一配置、统一管理。赛项将根据需要配置安检设备对进入赛场重要区域的人员进行安检。</w:t>
      </w:r>
    </w:p>
    <w:p>
      <w:pPr>
        <w:pStyle w:val="2"/>
        <w:keepNext w:val="0"/>
        <w:keepLines w:val="0"/>
        <w:widowControl/>
        <w:suppressLineNumbers w:val="0"/>
        <w:spacing w:before="75" w:beforeAutospacing="0" w:after="75" w:afterAutospacing="0" w:line="360" w:lineRule="atLeast"/>
        <w:ind w:left="0" w:right="0" w:firstLine="555"/>
      </w:pPr>
      <w:r>
        <w:rPr>
          <w:rFonts w:hint="default" w:ascii="仿宋_GB2312" w:eastAsia="仿宋_GB2312" w:cs="仿宋_GB2312"/>
          <w:sz w:val="28"/>
          <w:szCs w:val="28"/>
        </w:rPr>
        <w:t>（二）组队责任</w:t>
      </w:r>
    </w:p>
    <w:p>
      <w:pPr>
        <w:pStyle w:val="2"/>
        <w:keepNext w:val="0"/>
        <w:keepLines w:val="0"/>
        <w:widowControl/>
        <w:suppressLineNumbers w:val="0"/>
        <w:spacing w:before="75" w:beforeAutospacing="0" w:after="75" w:afterAutospacing="0" w:line="360" w:lineRule="atLeast"/>
        <w:ind w:left="0" w:right="0" w:firstLine="555"/>
      </w:pPr>
      <w:r>
        <w:rPr>
          <w:rFonts w:hint="default" w:ascii="Times New Roman" w:hAnsi="Times New Roman" w:cs="Times New Roman"/>
          <w:sz w:val="28"/>
          <w:szCs w:val="28"/>
        </w:rPr>
        <w:t>1.</w:t>
      </w:r>
      <w:r>
        <w:rPr>
          <w:rFonts w:hint="default" w:ascii="仿宋_GB2312" w:eastAsia="仿宋_GB2312" w:cs="仿宋_GB2312"/>
          <w:sz w:val="28"/>
          <w:szCs w:val="28"/>
        </w:rPr>
        <w:t>各学校组织代表队时，须安排为参赛选手购买大赛期间的人身意外伤害保险，有效期必须为大赛举行期间，不得以其他长期保险代替。</w:t>
      </w:r>
    </w:p>
    <w:p>
      <w:pPr>
        <w:pStyle w:val="2"/>
        <w:keepNext w:val="0"/>
        <w:keepLines w:val="0"/>
        <w:widowControl/>
        <w:suppressLineNumbers w:val="0"/>
        <w:spacing w:before="75" w:beforeAutospacing="0" w:after="75" w:afterAutospacing="0" w:line="360" w:lineRule="atLeast"/>
        <w:ind w:left="0" w:right="0" w:firstLine="555"/>
      </w:pPr>
      <w:r>
        <w:rPr>
          <w:rFonts w:hint="default" w:ascii="Times New Roman" w:hAnsi="Times New Roman" w:cs="Times New Roman"/>
          <w:sz w:val="28"/>
          <w:szCs w:val="28"/>
        </w:rPr>
        <w:t>2.</w:t>
      </w:r>
      <w:r>
        <w:rPr>
          <w:rFonts w:hint="default" w:ascii="仿宋_GB2312" w:eastAsia="仿宋_GB2312" w:cs="仿宋_GB2312"/>
          <w:sz w:val="28"/>
          <w:szCs w:val="28"/>
        </w:rPr>
        <w:t>各学校代表队组成后，须制定相关管理制度，并对所有选手、指导教师进行安全教育。</w:t>
      </w:r>
    </w:p>
    <w:p>
      <w:pPr>
        <w:pStyle w:val="2"/>
        <w:keepNext w:val="0"/>
        <w:keepLines w:val="0"/>
        <w:widowControl/>
        <w:suppressLineNumbers w:val="0"/>
        <w:spacing w:before="75" w:beforeAutospacing="0" w:after="75" w:afterAutospacing="0" w:line="360" w:lineRule="atLeast"/>
        <w:ind w:left="0" w:right="0" w:firstLine="555"/>
      </w:pPr>
      <w:r>
        <w:rPr>
          <w:rFonts w:hint="default" w:ascii="Times New Roman" w:hAnsi="Times New Roman" w:cs="Times New Roman"/>
          <w:sz w:val="28"/>
          <w:szCs w:val="28"/>
        </w:rPr>
        <w:t>3.</w:t>
      </w:r>
      <w:r>
        <w:rPr>
          <w:rFonts w:hint="default" w:ascii="仿宋_GB2312" w:eastAsia="仿宋_GB2312" w:cs="仿宋_GB2312"/>
          <w:sz w:val="28"/>
          <w:szCs w:val="28"/>
        </w:rPr>
        <w:t>各参赛队伍须加强对参与比赛人员的安全管理，实现与赛场安全管理的对接。</w:t>
      </w:r>
    </w:p>
    <w:p>
      <w:pPr>
        <w:pStyle w:val="2"/>
        <w:keepNext w:val="0"/>
        <w:keepLines w:val="0"/>
        <w:widowControl/>
        <w:suppressLineNumbers w:val="0"/>
        <w:spacing w:before="75" w:beforeAutospacing="0" w:after="75" w:afterAutospacing="0" w:line="360" w:lineRule="atLeast"/>
        <w:ind w:left="0" w:right="0" w:firstLine="555"/>
      </w:pPr>
      <w:r>
        <w:rPr>
          <w:rFonts w:hint="default" w:ascii="仿宋_GB2312" w:eastAsia="仿宋_GB2312" w:cs="仿宋_GB2312"/>
          <w:sz w:val="28"/>
          <w:szCs w:val="28"/>
        </w:rPr>
        <w:t>（三）应急处理</w:t>
      </w:r>
    </w:p>
    <w:p>
      <w:pPr>
        <w:pStyle w:val="2"/>
        <w:keepNext w:val="0"/>
        <w:keepLines w:val="0"/>
        <w:widowControl/>
        <w:suppressLineNumbers w:val="0"/>
        <w:spacing w:before="75" w:beforeAutospacing="0" w:after="75" w:afterAutospacing="0" w:line="360" w:lineRule="atLeast"/>
        <w:ind w:left="0" w:right="0" w:firstLine="555"/>
      </w:pPr>
      <w:r>
        <w:rPr>
          <w:rFonts w:hint="default" w:ascii="仿宋_GB2312" w:eastAsia="仿宋_GB2312" w:cs="仿宋_GB2312"/>
          <w:sz w:val="28"/>
          <w:szCs w:val="28"/>
        </w:rPr>
        <w:t>比赛期间发生意外事故，发现者应第一时间报告执委会，同时采取措施避免事态扩大。执委会应立即启动预案予以解决并报告赛区执委会。赛项出现重大安全问题可以停赛，是否停赛由赛区组委会决定。事后，赛区执委会应向大赛执委会报告详细情况。</w:t>
      </w:r>
    </w:p>
    <w:p>
      <w:pPr>
        <w:pStyle w:val="2"/>
        <w:keepNext w:val="0"/>
        <w:keepLines w:val="0"/>
        <w:widowControl/>
        <w:suppressLineNumbers w:val="0"/>
        <w:spacing w:before="75" w:beforeAutospacing="0" w:after="75" w:afterAutospacing="0" w:line="360" w:lineRule="atLeast"/>
        <w:ind w:left="0" w:right="0" w:firstLine="555"/>
      </w:pPr>
      <w:r>
        <w:rPr>
          <w:rFonts w:hint="default" w:ascii="仿宋_GB2312" w:eastAsia="仿宋_GB2312" w:cs="仿宋_GB2312"/>
          <w:sz w:val="28"/>
          <w:szCs w:val="28"/>
        </w:rPr>
        <w:t>（四）处罚措施</w:t>
      </w:r>
    </w:p>
    <w:p>
      <w:pPr>
        <w:pStyle w:val="2"/>
        <w:keepNext w:val="0"/>
        <w:keepLines w:val="0"/>
        <w:widowControl/>
        <w:suppressLineNumbers w:val="0"/>
        <w:spacing w:before="75" w:beforeAutospacing="0" w:after="75" w:afterAutospacing="0" w:line="360" w:lineRule="atLeast"/>
        <w:ind w:left="0" w:right="0" w:firstLine="555"/>
      </w:pPr>
      <w:r>
        <w:rPr>
          <w:rFonts w:hint="default" w:ascii="Times New Roman" w:hAnsi="Times New Roman" w:cs="Times New Roman"/>
          <w:sz w:val="28"/>
          <w:szCs w:val="28"/>
        </w:rPr>
        <w:t>1.</w:t>
      </w:r>
      <w:r>
        <w:rPr>
          <w:rFonts w:hint="default" w:ascii="仿宋_GB2312" w:eastAsia="仿宋_GB2312" w:cs="仿宋_GB2312"/>
          <w:sz w:val="28"/>
          <w:szCs w:val="28"/>
        </w:rPr>
        <w:t>因参赛队伍原因造成重大安全事故的，取消其获奖资格。</w:t>
      </w:r>
    </w:p>
    <w:p>
      <w:pPr>
        <w:pStyle w:val="2"/>
        <w:keepNext w:val="0"/>
        <w:keepLines w:val="0"/>
        <w:widowControl/>
        <w:suppressLineNumbers w:val="0"/>
        <w:spacing w:before="75" w:beforeAutospacing="0" w:after="75" w:afterAutospacing="0" w:line="360" w:lineRule="atLeast"/>
        <w:ind w:left="0" w:right="0" w:firstLine="555"/>
      </w:pPr>
      <w:r>
        <w:rPr>
          <w:rFonts w:hint="default" w:ascii="Times New Roman" w:hAnsi="Times New Roman" w:cs="Times New Roman"/>
          <w:sz w:val="28"/>
          <w:szCs w:val="28"/>
        </w:rPr>
        <w:t>2.</w:t>
      </w:r>
      <w:r>
        <w:rPr>
          <w:rFonts w:hint="default" w:ascii="仿宋_GB2312" w:eastAsia="仿宋_GB2312" w:cs="仿宋_GB2312"/>
          <w:sz w:val="28"/>
          <w:szCs w:val="28"/>
        </w:rPr>
        <w:t>参赛队伍有发生重大安全事故隐患，经赛场工作人员提示、警告无效的，可取消其继续比赛的资格。</w:t>
      </w:r>
    </w:p>
    <w:p>
      <w:pPr>
        <w:pStyle w:val="2"/>
        <w:keepNext w:val="0"/>
        <w:keepLines w:val="0"/>
        <w:widowControl/>
        <w:suppressLineNumbers w:val="0"/>
        <w:spacing w:before="75" w:beforeAutospacing="0" w:after="75" w:afterAutospacing="0" w:line="360" w:lineRule="atLeast"/>
        <w:ind w:left="0" w:right="0" w:firstLine="555"/>
      </w:pPr>
      <w:r>
        <w:rPr>
          <w:rFonts w:hint="default" w:ascii="Times New Roman" w:hAnsi="Times New Roman" w:cs="Times New Roman"/>
          <w:sz w:val="28"/>
          <w:szCs w:val="28"/>
        </w:rPr>
        <w:t>3.</w:t>
      </w:r>
      <w:r>
        <w:rPr>
          <w:rFonts w:hint="default" w:ascii="仿宋_GB2312" w:eastAsia="仿宋_GB2312" w:cs="仿宋_GB2312"/>
          <w:sz w:val="28"/>
          <w:szCs w:val="28"/>
        </w:rPr>
        <w:t>赛事工作人员违规的，按照相应的制度追究责任。情节恶劣并造成重大安全事故的，由司法机关追究相应法律责任。</w:t>
      </w:r>
    </w:p>
    <w:p>
      <w:pPr>
        <w:pStyle w:val="2"/>
        <w:keepNext w:val="0"/>
        <w:keepLines w:val="0"/>
        <w:widowControl/>
        <w:suppressLineNumbers w:val="0"/>
        <w:spacing w:before="75" w:beforeAutospacing="0" w:after="75" w:afterAutospacing="0" w:line="360" w:lineRule="atLeast"/>
        <w:ind w:left="0" w:right="0" w:firstLine="555"/>
      </w:pPr>
      <w:r>
        <w:rPr>
          <w:rStyle w:val="5"/>
          <w:rFonts w:hint="default" w:ascii="仿宋_GB2312" w:eastAsia="仿宋_GB2312" w:cs="仿宋_GB2312"/>
          <w:sz w:val="28"/>
          <w:szCs w:val="28"/>
        </w:rPr>
        <w:t>十二、竞赛须知</w:t>
      </w:r>
    </w:p>
    <w:p>
      <w:pPr>
        <w:pStyle w:val="2"/>
        <w:keepNext w:val="0"/>
        <w:keepLines w:val="0"/>
        <w:widowControl/>
        <w:suppressLineNumbers w:val="0"/>
        <w:spacing w:before="75" w:beforeAutospacing="0" w:after="75" w:afterAutospacing="0" w:line="360" w:lineRule="atLeast"/>
        <w:ind w:left="0" w:right="0" w:firstLine="555"/>
      </w:pPr>
      <w:r>
        <w:rPr>
          <w:rFonts w:hint="default" w:ascii="仿宋_GB2312" w:eastAsia="仿宋_GB2312" w:cs="仿宋_GB2312"/>
          <w:sz w:val="28"/>
          <w:szCs w:val="28"/>
        </w:rPr>
        <w:t>（一）参赛队须知</w:t>
      </w:r>
    </w:p>
    <w:p>
      <w:pPr>
        <w:pStyle w:val="2"/>
        <w:keepNext w:val="0"/>
        <w:keepLines w:val="0"/>
        <w:widowControl/>
        <w:suppressLineNumbers w:val="0"/>
        <w:spacing w:before="75" w:beforeAutospacing="0" w:after="75" w:afterAutospacing="0" w:line="360" w:lineRule="atLeast"/>
        <w:ind w:left="0" w:right="0" w:firstLine="555"/>
      </w:pPr>
      <w:r>
        <w:rPr>
          <w:rFonts w:hint="default" w:ascii="仿宋_GB2312" w:eastAsia="仿宋_GB2312" w:cs="仿宋_GB2312"/>
          <w:sz w:val="28"/>
          <w:szCs w:val="28"/>
        </w:rPr>
        <w:t>1.参赛队选手在报名获得确认后，原则上不再更换，如筹备过程中，选手因故不能参赛，所在省教育主管部门需出具书面说明并按相关参赛选手资格补充人员并接受审核。竞赛开始后，参赛队不得更换参赛选手，允许队员缺席竞赛。</w:t>
      </w:r>
    </w:p>
    <w:p>
      <w:pPr>
        <w:pStyle w:val="2"/>
        <w:keepNext w:val="0"/>
        <w:keepLines w:val="0"/>
        <w:widowControl/>
        <w:suppressLineNumbers w:val="0"/>
        <w:spacing w:before="75" w:beforeAutospacing="0" w:after="75" w:afterAutospacing="0" w:line="360" w:lineRule="atLeast"/>
        <w:ind w:left="0" w:right="0" w:firstLine="555"/>
      </w:pPr>
      <w:r>
        <w:rPr>
          <w:rFonts w:hint="default" w:ascii="仿宋_GB2312" w:eastAsia="仿宋_GB2312" w:cs="仿宋_GB2312"/>
          <w:sz w:val="28"/>
          <w:szCs w:val="28"/>
        </w:rPr>
        <w:t>2.参赛队按照大赛赛程安排凭大赛组委会颁发的参赛证和有效身份证件参加比赛及相关活动。</w:t>
      </w:r>
    </w:p>
    <w:p>
      <w:pPr>
        <w:pStyle w:val="2"/>
        <w:keepNext w:val="0"/>
        <w:keepLines w:val="0"/>
        <w:widowControl/>
        <w:suppressLineNumbers w:val="0"/>
        <w:spacing w:before="75" w:beforeAutospacing="0" w:after="75" w:afterAutospacing="0" w:line="360" w:lineRule="atLeast"/>
        <w:ind w:left="0" w:right="0" w:firstLine="555"/>
      </w:pPr>
      <w:r>
        <w:rPr>
          <w:rFonts w:hint="default" w:ascii="仿宋_GB2312" w:eastAsia="仿宋_GB2312" w:cs="仿宋_GB2312"/>
          <w:sz w:val="28"/>
          <w:szCs w:val="28"/>
        </w:rPr>
        <w:t>3.各参赛队按赛项执委会统一安排参加比赛前熟悉场地环境的活动。</w:t>
      </w:r>
    </w:p>
    <w:p>
      <w:pPr>
        <w:pStyle w:val="2"/>
        <w:keepNext w:val="0"/>
        <w:keepLines w:val="0"/>
        <w:widowControl/>
        <w:suppressLineNumbers w:val="0"/>
        <w:spacing w:before="75" w:beforeAutospacing="0" w:after="75" w:afterAutospacing="0" w:line="360" w:lineRule="atLeast"/>
        <w:ind w:left="0" w:right="0" w:firstLine="555"/>
      </w:pPr>
      <w:r>
        <w:rPr>
          <w:rFonts w:hint="default" w:ascii="仿宋_GB2312" w:eastAsia="仿宋_GB2312" w:cs="仿宋_GB2312"/>
          <w:sz w:val="28"/>
          <w:szCs w:val="28"/>
        </w:rPr>
        <w:t>4.各参赛队按赛项执委会统一要求，准时参加赛前领队会和抽签仪式。</w:t>
      </w:r>
    </w:p>
    <w:p>
      <w:pPr>
        <w:pStyle w:val="2"/>
        <w:keepNext w:val="0"/>
        <w:keepLines w:val="0"/>
        <w:widowControl/>
        <w:suppressLineNumbers w:val="0"/>
        <w:spacing w:before="75" w:beforeAutospacing="0" w:after="75" w:afterAutospacing="0" w:line="360" w:lineRule="atLeast"/>
        <w:ind w:left="0" w:right="0" w:firstLine="555"/>
      </w:pPr>
      <w:r>
        <w:rPr>
          <w:rFonts w:hint="default" w:ascii="仿宋_GB2312" w:eastAsia="仿宋_GB2312" w:cs="仿宋_GB2312"/>
          <w:sz w:val="28"/>
          <w:szCs w:val="28"/>
        </w:rPr>
        <w:t>5.各参赛队在比赛期间，应保证所有参赛选手的安全，防止交通事故和其它意外事故的发生，为参赛选手购买人身意外保险。</w:t>
      </w:r>
    </w:p>
    <w:p>
      <w:pPr>
        <w:pStyle w:val="2"/>
        <w:keepNext w:val="0"/>
        <w:keepLines w:val="0"/>
        <w:widowControl/>
        <w:suppressLineNumbers w:val="0"/>
        <w:spacing w:before="75" w:beforeAutospacing="0" w:after="75" w:afterAutospacing="0" w:line="360" w:lineRule="atLeast"/>
        <w:ind w:left="0" w:right="0" w:firstLine="555"/>
      </w:pPr>
      <w:r>
        <w:rPr>
          <w:rFonts w:hint="default" w:ascii="仿宋_GB2312" w:eastAsia="仿宋_GB2312" w:cs="仿宋_GB2312"/>
          <w:sz w:val="28"/>
          <w:szCs w:val="28"/>
        </w:rPr>
        <w:t>6.各参赛队要发扬良好道德风尚，听从指挥，服从裁判，不弄虚作假。</w:t>
      </w:r>
    </w:p>
    <w:p>
      <w:pPr>
        <w:pStyle w:val="2"/>
        <w:keepNext w:val="0"/>
        <w:keepLines w:val="0"/>
        <w:widowControl/>
        <w:suppressLineNumbers w:val="0"/>
        <w:spacing w:before="75" w:beforeAutospacing="0" w:after="75" w:afterAutospacing="0" w:line="360" w:lineRule="atLeast"/>
        <w:ind w:left="0" w:right="0" w:firstLine="555"/>
      </w:pPr>
      <w:r>
        <w:rPr>
          <w:rFonts w:hint="default" w:ascii="仿宋_GB2312" w:eastAsia="仿宋_GB2312" w:cs="仿宋_GB2312"/>
          <w:sz w:val="28"/>
          <w:szCs w:val="28"/>
        </w:rPr>
        <w:t>（二）指导教师须知</w:t>
      </w:r>
    </w:p>
    <w:p>
      <w:pPr>
        <w:pStyle w:val="2"/>
        <w:keepNext w:val="0"/>
        <w:keepLines w:val="0"/>
        <w:widowControl/>
        <w:suppressLineNumbers w:val="0"/>
        <w:spacing w:before="75" w:beforeAutospacing="0" w:after="75" w:afterAutospacing="0" w:line="360" w:lineRule="atLeast"/>
        <w:ind w:left="0" w:right="0" w:firstLine="555"/>
      </w:pPr>
      <w:r>
        <w:rPr>
          <w:rFonts w:hint="default" w:ascii="仿宋_GB2312" w:eastAsia="仿宋_GB2312" w:cs="仿宋_GB2312"/>
          <w:sz w:val="28"/>
          <w:szCs w:val="28"/>
        </w:rPr>
        <w:t>1.各指导教师要发扬良好道德风尚，听从指挥，服从裁判，不弄虚作假。</w:t>
      </w:r>
    </w:p>
    <w:p>
      <w:pPr>
        <w:pStyle w:val="2"/>
        <w:keepNext w:val="0"/>
        <w:keepLines w:val="0"/>
        <w:widowControl/>
        <w:suppressLineNumbers w:val="0"/>
        <w:spacing w:before="75" w:beforeAutospacing="0" w:after="75" w:afterAutospacing="0" w:line="360" w:lineRule="atLeast"/>
        <w:ind w:left="0" w:right="0" w:firstLine="555"/>
      </w:pPr>
      <w:r>
        <w:rPr>
          <w:rFonts w:hint="default" w:ascii="仿宋_GB2312" w:eastAsia="仿宋_GB2312" w:cs="仿宋_GB2312"/>
          <w:sz w:val="28"/>
          <w:szCs w:val="28"/>
        </w:rPr>
        <w:t>2.指导教师应认真研究和掌握本赛项比赛的技术规则和赛场要求，指导选手做好赛前的一切准备工作。</w:t>
      </w:r>
    </w:p>
    <w:p>
      <w:pPr>
        <w:pStyle w:val="2"/>
        <w:keepNext w:val="0"/>
        <w:keepLines w:val="0"/>
        <w:widowControl/>
        <w:suppressLineNumbers w:val="0"/>
        <w:spacing w:before="75" w:beforeAutospacing="0" w:after="75" w:afterAutospacing="0" w:line="360" w:lineRule="atLeast"/>
        <w:ind w:left="0" w:right="0" w:firstLine="555"/>
      </w:pPr>
      <w:r>
        <w:rPr>
          <w:rFonts w:hint="default" w:ascii="仿宋_GB2312" w:eastAsia="仿宋_GB2312" w:cs="仿宋_GB2312"/>
          <w:sz w:val="28"/>
          <w:szCs w:val="28"/>
        </w:rPr>
        <w:t>3.指导教师应在赛后做好技术总结和工作总结。</w:t>
      </w:r>
    </w:p>
    <w:p>
      <w:pPr>
        <w:pStyle w:val="2"/>
        <w:keepNext w:val="0"/>
        <w:keepLines w:val="0"/>
        <w:widowControl/>
        <w:suppressLineNumbers w:val="0"/>
        <w:spacing w:before="75" w:beforeAutospacing="0" w:after="75" w:afterAutospacing="0" w:line="360" w:lineRule="atLeast"/>
        <w:ind w:left="0" w:right="0" w:firstLine="555"/>
      </w:pPr>
      <w:r>
        <w:rPr>
          <w:rFonts w:hint="default" w:ascii="仿宋_GB2312" w:eastAsia="仿宋_GB2312" w:cs="仿宋_GB2312"/>
          <w:sz w:val="28"/>
          <w:szCs w:val="28"/>
        </w:rPr>
        <w:t>（三）参赛选手须知</w:t>
      </w:r>
    </w:p>
    <w:p>
      <w:pPr>
        <w:pStyle w:val="2"/>
        <w:keepNext w:val="0"/>
        <w:keepLines w:val="0"/>
        <w:widowControl/>
        <w:suppressLineNumbers w:val="0"/>
        <w:spacing w:before="75" w:beforeAutospacing="0" w:after="75" w:afterAutospacing="0" w:line="360" w:lineRule="atLeast"/>
        <w:ind w:left="0" w:right="0" w:firstLine="555"/>
      </w:pPr>
      <w:r>
        <w:rPr>
          <w:rFonts w:hint="default" w:ascii="仿宋_GB2312" w:eastAsia="仿宋_GB2312" w:cs="仿宋_GB2312"/>
          <w:sz w:val="28"/>
          <w:szCs w:val="28"/>
        </w:rPr>
        <w:t>1.任务书如出现缺页、字迹不清等问题，须及时向裁判示意，并进行更换；比赛结束后，所提供的所有纸质材料均须留在赛场，不得带离赛场，一经发现视为作弊处理。</w:t>
      </w:r>
    </w:p>
    <w:p>
      <w:pPr>
        <w:pStyle w:val="2"/>
        <w:keepNext w:val="0"/>
        <w:keepLines w:val="0"/>
        <w:widowControl/>
        <w:suppressLineNumbers w:val="0"/>
        <w:spacing w:before="75" w:beforeAutospacing="0" w:after="75" w:afterAutospacing="0" w:line="360" w:lineRule="atLeast"/>
        <w:ind w:left="0" w:right="0" w:firstLine="555"/>
      </w:pPr>
      <w:r>
        <w:rPr>
          <w:rFonts w:hint="default" w:ascii="仿宋_GB2312" w:eastAsia="仿宋_GB2312" w:cs="仿宋_GB2312"/>
          <w:sz w:val="28"/>
          <w:szCs w:val="28"/>
        </w:rPr>
        <w:t>2.设备的安装配置请严格按照任务书的要求及工艺规范进行操作。</w:t>
      </w:r>
    </w:p>
    <w:p>
      <w:pPr>
        <w:pStyle w:val="2"/>
        <w:keepNext w:val="0"/>
        <w:keepLines w:val="0"/>
        <w:widowControl/>
        <w:suppressLineNumbers w:val="0"/>
        <w:spacing w:before="75" w:beforeAutospacing="0" w:after="75" w:afterAutospacing="0" w:line="360" w:lineRule="atLeast"/>
        <w:ind w:left="0" w:right="0" w:firstLine="555"/>
      </w:pPr>
      <w:r>
        <w:rPr>
          <w:rFonts w:hint="default" w:ascii="仿宋_GB2312" w:eastAsia="仿宋_GB2312" w:cs="仿宋_GB2312"/>
          <w:sz w:val="28"/>
          <w:szCs w:val="28"/>
        </w:rPr>
        <w:t>3.参赛团队应在规定时间内完成任务书要求的内容，任务实现过程中形成的文件资料必须存储到任务书指定的位置，未存储到指定位置造成裁判组无法检查结果，相应部分不得分。</w:t>
      </w:r>
    </w:p>
    <w:p>
      <w:pPr>
        <w:pStyle w:val="2"/>
        <w:keepNext w:val="0"/>
        <w:keepLines w:val="0"/>
        <w:widowControl/>
        <w:suppressLineNumbers w:val="0"/>
        <w:spacing w:before="75" w:beforeAutospacing="0" w:after="75" w:afterAutospacing="0" w:line="360" w:lineRule="atLeast"/>
        <w:ind w:left="0" w:right="0" w:firstLine="555"/>
      </w:pPr>
      <w:r>
        <w:rPr>
          <w:rFonts w:hint="default" w:ascii="仿宋_GB2312" w:eastAsia="仿宋_GB2312" w:cs="仿宋_GB2312"/>
          <w:sz w:val="28"/>
          <w:szCs w:val="28"/>
        </w:rPr>
        <w:t>4.比赛过程中，选手认定设备或器件有故障可向裁判员提出更换；如器件或设备经测定完好属误判时，器件或设备的认定时间计入比赛时间；如果器件或设备经测定确有故障，则当场更换设备，此过程中（设备测定开始到更换完成）造成的时间损失，比赛时间结束后经裁判组讨论，酌情对该小组进行等量的时间延迟补偿。</w:t>
      </w:r>
    </w:p>
    <w:p>
      <w:pPr>
        <w:pStyle w:val="2"/>
        <w:keepNext w:val="0"/>
        <w:keepLines w:val="0"/>
        <w:widowControl/>
        <w:suppressLineNumbers w:val="0"/>
        <w:spacing w:before="75" w:beforeAutospacing="0" w:after="75" w:afterAutospacing="0" w:line="360" w:lineRule="atLeast"/>
        <w:ind w:left="0" w:right="0" w:firstLine="555"/>
      </w:pPr>
      <w:r>
        <w:rPr>
          <w:rFonts w:hint="default" w:ascii="仿宋_GB2312" w:eastAsia="仿宋_GB2312" w:cs="仿宋_GB2312"/>
          <w:sz w:val="28"/>
          <w:szCs w:val="28"/>
        </w:rPr>
        <w:t>5.比赛过程中由于选手操作失误原因造成器件损坏，选手可提出更换申请，并视情节扣</w:t>
      </w:r>
      <w:r>
        <w:rPr>
          <w:rFonts w:hint="default" w:ascii="Times New Roman" w:hAnsi="Times New Roman" w:eastAsia="仿宋_GB2312" w:cs="Times New Roman"/>
          <w:sz w:val="28"/>
          <w:szCs w:val="28"/>
        </w:rPr>
        <w:t>5</w:t>
      </w:r>
      <w:r>
        <w:rPr>
          <w:rFonts w:hint="default" w:ascii="仿宋_GB2312" w:eastAsia="仿宋_GB2312" w:cs="仿宋_GB2312"/>
          <w:sz w:val="28"/>
          <w:szCs w:val="28"/>
        </w:rPr>
        <w:t>～</w:t>
      </w:r>
      <w:r>
        <w:rPr>
          <w:rFonts w:hint="default" w:ascii="Times New Roman" w:hAnsi="Times New Roman" w:eastAsia="仿宋_GB2312" w:cs="Times New Roman"/>
          <w:sz w:val="28"/>
          <w:szCs w:val="28"/>
        </w:rPr>
        <w:t>10</w:t>
      </w:r>
      <w:r>
        <w:rPr>
          <w:rFonts w:hint="default" w:ascii="仿宋_GB2312" w:eastAsia="仿宋_GB2312" w:cs="仿宋_GB2312"/>
          <w:sz w:val="28"/>
          <w:szCs w:val="28"/>
        </w:rPr>
        <w:t>分。</w:t>
      </w:r>
    </w:p>
    <w:p>
      <w:pPr>
        <w:pStyle w:val="2"/>
        <w:keepNext w:val="0"/>
        <w:keepLines w:val="0"/>
        <w:widowControl/>
        <w:suppressLineNumbers w:val="0"/>
        <w:spacing w:before="75" w:beforeAutospacing="0" w:after="75" w:afterAutospacing="0" w:line="360" w:lineRule="atLeast"/>
        <w:ind w:left="0" w:right="0" w:firstLine="555"/>
      </w:pPr>
      <w:r>
        <w:rPr>
          <w:rFonts w:hint="default" w:ascii="仿宋_GB2312" w:eastAsia="仿宋_GB2312" w:cs="仿宋_GB2312"/>
          <w:sz w:val="28"/>
          <w:szCs w:val="28"/>
        </w:rPr>
        <w:t>6.在裁判组宣布比赛结束后，请选手立即停止对竞赛设备与计算机的任何操作，否则视为作弊处理。</w:t>
      </w:r>
    </w:p>
    <w:p>
      <w:pPr>
        <w:pStyle w:val="2"/>
        <w:keepNext w:val="0"/>
        <w:keepLines w:val="0"/>
        <w:widowControl/>
        <w:suppressLineNumbers w:val="0"/>
        <w:spacing w:before="75" w:beforeAutospacing="0" w:after="75" w:afterAutospacing="0" w:line="360" w:lineRule="atLeast"/>
        <w:ind w:left="0" w:right="0" w:firstLine="555"/>
      </w:pPr>
      <w:r>
        <w:rPr>
          <w:rFonts w:hint="default" w:ascii="仿宋_GB2312" w:eastAsia="仿宋_GB2312" w:cs="仿宋_GB2312"/>
          <w:sz w:val="28"/>
          <w:szCs w:val="28"/>
        </w:rPr>
        <w:t>7.在完成大赛过程中，因操作不当导致设备破坏性损坏或造成事故，视情节扣</w:t>
      </w:r>
      <w:r>
        <w:rPr>
          <w:rFonts w:hint="default" w:ascii="Times New Roman" w:hAnsi="Times New Roman" w:eastAsia="仿宋_GB2312" w:cs="Times New Roman"/>
          <w:sz w:val="28"/>
          <w:szCs w:val="28"/>
        </w:rPr>
        <w:t>5</w:t>
      </w:r>
      <w:r>
        <w:rPr>
          <w:rFonts w:hint="default" w:ascii="仿宋_GB2312" w:eastAsia="仿宋_GB2312" w:cs="仿宋_GB2312"/>
          <w:sz w:val="28"/>
          <w:szCs w:val="28"/>
        </w:rPr>
        <w:t>～</w:t>
      </w:r>
      <w:r>
        <w:rPr>
          <w:rFonts w:hint="default" w:ascii="Times New Roman" w:hAnsi="Times New Roman" w:eastAsia="仿宋_GB2312" w:cs="Times New Roman"/>
          <w:sz w:val="28"/>
          <w:szCs w:val="28"/>
        </w:rPr>
        <w:t>10</w:t>
      </w:r>
      <w:r>
        <w:rPr>
          <w:rFonts w:hint="default" w:ascii="仿宋_GB2312" w:eastAsia="仿宋_GB2312" w:cs="仿宋_GB2312"/>
          <w:sz w:val="28"/>
          <w:szCs w:val="28"/>
        </w:rPr>
        <w:t>分，情况严重者取消比赛资格。</w:t>
      </w:r>
    </w:p>
    <w:p>
      <w:pPr>
        <w:pStyle w:val="2"/>
        <w:keepNext w:val="0"/>
        <w:keepLines w:val="0"/>
        <w:widowControl/>
        <w:suppressLineNumbers w:val="0"/>
        <w:spacing w:before="75" w:beforeAutospacing="0" w:after="75" w:afterAutospacing="0" w:line="360" w:lineRule="atLeast"/>
        <w:ind w:left="0" w:right="0" w:firstLine="555"/>
      </w:pPr>
      <w:r>
        <w:rPr>
          <w:rFonts w:hint="default" w:ascii="仿宋_GB2312" w:eastAsia="仿宋_GB2312" w:cs="仿宋_GB2312"/>
          <w:sz w:val="28"/>
          <w:szCs w:val="28"/>
        </w:rPr>
        <w:t>8.衣着不整、污染赛场环境、扰乱赛场秩序、干扰裁判工作等违反职业规范的行为，视情节扣</w:t>
      </w:r>
      <w:r>
        <w:rPr>
          <w:rFonts w:hint="default" w:ascii="Times New Roman" w:hAnsi="Times New Roman" w:eastAsia="仿宋_GB2312" w:cs="Times New Roman"/>
          <w:sz w:val="28"/>
          <w:szCs w:val="28"/>
        </w:rPr>
        <w:t>5</w:t>
      </w:r>
      <w:r>
        <w:rPr>
          <w:rFonts w:hint="default" w:ascii="仿宋_GB2312" w:eastAsia="仿宋_GB2312" w:cs="仿宋_GB2312"/>
          <w:sz w:val="28"/>
          <w:szCs w:val="28"/>
        </w:rPr>
        <w:t>～</w:t>
      </w:r>
      <w:r>
        <w:rPr>
          <w:rFonts w:hint="default" w:ascii="Times New Roman" w:hAnsi="Times New Roman" w:eastAsia="仿宋_GB2312" w:cs="Times New Roman"/>
          <w:sz w:val="28"/>
          <w:szCs w:val="28"/>
        </w:rPr>
        <w:t>10</w:t>
      </w:r>
      <w:r>
        <w:rPr>
          <w:rFonts w:hint="default" w:ascii="仿宋_GB2312" w:eastAsia="仿宋_GB2312" w:cs="仿宋_GB2312"/>
          <w:sz w:val="28"/>
          <w:szCs w:val="28"/>
        </w:rPr>
        <w:t>分，情节严重者取消大赛资格。</w:t>
      </w:r>
    </w:p>
    <w:p>
      <w:pPr>
        <w:pStyle w:val="2"/>
        <w:keepNext w:val="0"/>
        <w:keepLines w:val="0"/>
        <w:widowControl/>
        <w:suppressLineNumbers w:val="0"/>
        <w:spacing w:before="75" w:beforeAutospacing="0" w:after="75" w:afterAutospacing="0" w:line="360" w:lineRule="atLeast"/>
        <w:ind w:left="0" w:right="0" w:firstLine="555"/>
      </w:pPr>
      <w:r>
        <w:rPr>
          <w:rFonts w:hint="default" w:ascii="仿宋_GB2312" w:eastAsia="仿宋_GB2312" w:cs="仿宋_GB2312"/>
          <w:sz w:val="28"/>
          <w:szCs w:val="28"/>
        </w:rPr>
        <w:t>9.设备第一次上电，参赛选手须举手示意裁判请求通电，并由参赛选手现场完成上电检测，参赛选手确认检测无误且裁判许可后方可通电；参赛选手对检测结果负责。</w:t>
      </w:r>
    </w:p>
    <w:p>
      <w:pPr>
        <w:pStyle w:val="2"/>
        <w:keepNext w:val="0"/>
        <w:keepLines w:val="0"/>
        <w:widowControl/>
        <w:suppressLineNumbers w:val="0"/>
        <w:spacing w:before="75" w:beforeAutospacing="0" w:after="75" w:afterAutospacing="0" w:line="360" w:lineRule="atLeast"/>
        <w:ind w:left="0" w:right="0" w:firstLine="555"/>
      </w:pPr>
      <w:r>
        <w:rPr>
          <w:rFonts w:hint="default" w:ascii="仿宋_GB2312" w:eastAsia="仿宋_GB2312" w:cs="仿宋_GB2312"/>
          <w:sz w:val="28"/>
          <w:szCs w:val="28"/>
        </w:rPr>
        <w:t>（四）工作人员须知</w:t>
      </w:r>
    </w:p>
    <w:p>
      <w:pPr>
        <w:pStyle w:val="2"/>
        <w:keepNext w:val="0"/>
        <w:keepLines w:val="0"/>
        <w:widowControl/>
        <w:suppressLineNumbers w:val="0"/>
        <w:spacing w:before="75" w:beforeAutospacing="0" w:after="75" w:afterAutospacing="0" w:line="360" w:lineRule="atLeast"/>
        <w:ind w:left="0" w:right="0" w:firstLine="555"/>
      </w:pPr>
      <w:r>
        <w:rPr>
          <w:rFonts w:hint="default" w:ascii="仿宋_GB2312" w:eastAsia="仿宋_GB2312" w:cs="仿宋_GB2312"/>
          <w:sz w:val="28"/>
          <w:szCs w:val="28"/>
        </w:rPr>
        <w:t>1.工作人员必须服从赛项执委会统一指挥，佩戴工作人员标识，认真履行职责，做好大赛服务工作。</w:t>
      </w:r>
    </w:p>
    <w:p>
      <w:pPr>
        <w:pStyle w:val="2"/>
        <w:keepNext w:val="0"/>
        <w:keepLines w:val="0"/>
        <w:widowControl/>
        <w:suppressLineNumbers w:val="0"/>
        <w:spacing w:before="75" w:beforeAutospacing="0" w:after="75" w:afterAutospacing="0" w:line="360" w:lineRule="atLeast"/>
        <w:ind w:left="0" w:right="0" w:firstLine="555"/>
      </w:pPr>
      <w:r>
        <w:rPr>
          <w:rFonts w:hint="default" w:ascii="仿宋_GB2312" w:eastAsia="仿宋_GB2312" w:cs="仿宋_GB2312"/>
          <w:sz w:val="28"/>
          <w:szCs w:val="28"/>
        </w:rPr>
        <w:t>2.工作人员按照分工准时上岗，不得擅自离岗，应认真履行各自的工作职责，保证大赛工作的顺利进行。</w:t>
      </w:r>
    </w:p>
    <w:p>
      <w:pPr>
        <w:pStyle w:val="2"/>
        <w:keepNext w:val="0"/>
        <w:keepLines w:val="0"/>
        <w:widowControl/>
        <w:suppressLineNumbers w:val="0"/>
        <w:spacing w:before="75" w:beforeAutospacing="0" w:after="75" w:afterAutospacing="0" w:line="360" w:lineRule="atLeast"/>
        <w:ind w:left="0" w:right="0" w:firstLine="555"/>
      </w:pPr>
      <w:r>
        <w:rPr>
          <w:rFonts w:hint="default" w:ascii="仿宋_GB2312" w:eastAsia="仿宋_GB2312" w:cs="仿宋_GB2312"/>
          <w:sz w:val="28"/>
          <w:szCs w:val="28"/>
        </w:rPr>
        <w:t>3.工作人员应在规定的区域内工作，未经许可，不得擅自进入大赛场地。如需进场，需经过裁判长同意，核准证件，由裁判跟随入场。</w:t>
      </w:r>
    </w:p>
    <w:p>
      <w:pPr>
        <w:pStyle w:val="2"/>
        <w:keepNext w:val="0"/>
        <w:keepLines w:val="0"/>
        <w:widowControl/>
        <w:suppressLineNumbers w:val="0"/>
        <w:spacing w:before="75" w:beforeAutospacing="0" w:after="75" w:afterAutospacing="0" w:line="360" w:lineRule="atLeast"/>
        <w:ind w:left="0" w:right="0" w:firstLine="555"/>
      </w:pPr>
      <w:r>
        <w:rPr>
          <w:rFonts w:hint="default" w:ascii="仿宋_GB2312" w:eastAsia="仿宋_GB2312" w:cs="仿宋_GB2312"/>
          <w:sz w:val="28"/>
          <w:szCs w:val="28"/>
        </w:rPr>
        <w:t>4.如遇突发事件，须及时向裁判员报告，同时做好疏导工作，避免重大事故发生，确保大赛圆满成功。</w:t>
      </w:r>
    </w:p>
    <w:p>
      <w:pPr>
        <w:pStyle w:val="2"/>
        <w:keepNext w:val="0"/>
        <w:keepLines w:val="0"/>
        <w:widowControl/>
        <w:suppressLineNumbers w:val="0"/>
        <w:spacing w:before="75" w:beforeAutospacing="0" w:after="75" w:afterAutospacing="0" w:line="360" w:lineRule="atLeast"/>
        <w:ind w:left="0" w:right="0" w:firstLine="555"/>
      </w:pPr>
      <w:r>
        <w:rPr>
          <w:rFonts w:hint="default" w:ascii="仿宋_GB2312" w:eastAsia="仿宋_GB2312" w:cs="仿宋_GB2312"/>
          <w:sz w:val="28"/>
          <w:szCs w:val="28"/>
        </w:rPr>
        <w:t>5.大赛期间，工作人员不得干涉职责之外的事宜，不得利用工作之便，弄虚作假、徇私舞弊。如有上述现象或因工作不负责任的情况，造成大赛程序无法继续进行，由赛项执委会视情节轻重，给予通报批评或停止工作，并通知其所在单位做出相应处理。</w:t>
      </w:r>
    </w:p>
    <w:p>
      <w:pPr>
        <w:pStyle w:val="2"/>
        <w:keepNext w:val="0"/>
        <w:keepLines w:val="0"/>
        <w:widowControl/>
        <w:suppressLineNumbers w:val="0"/>
        <w:spacing w:before="75" w:beforeAutospacing="0" w:after="75" w:afterAutospacing="0" w:line="360" w:lineRule="atLeast"/>
        <w:ind w:left="0" w:right="0" w:firstLine="555"/>
      </w:pPr>
      <w:r>
        <w:rPr>
          <w:rStyle w:val="5"/>
          <w:rFonts w:hint="eastAsia" w:ascii="仿宋" w:hAnsi="仿宋" w:eastAsia="仿宋" w:cs="仿宋"/>
          <w:sz w:val="28"/>
          <w:szCs w:val="28"/>
        </w:rPr>
        <w:t>十三、申诉与仲裁</w:t>
      </w:r>
    </w:p>
    <w:p>
      <w:pPr>
        <w:pStyle w:val="2"/>
        <w:keepNext w:val="0"/>
        <w:keepLines w:val="0"/>
        <w:widowControl/>
        <w:suppressLineNumbers w:val="0"/>
        <w:spacing w:before="75" w:beforeAutospacing="0" w:after="75" w:afterAutospacing="0" w:line="360" w:lineRule="atLeast"/>
        <w:ind w:left="0" w:right="0" w:firstLine="660"/>
      </w:pPr>
      <w:r>
        <w:rPr>
          <w:rFonts w:hint="eastAsia" w:ascii="仿宋" w:hAnsi="仿宋" w:eastAsia="仿宋" w:cs="仿宋"/>
          <w:sz w:val="28"/>
          <w:szCs w:val="28"/>
        </w:rPr>
        <w:t>本赛项在比赛过程中若出现有失公正或有关人员违规等现象，代表队领队可在比赛结束后2小时之内向仲裁组提出书面申诉。</w:t>
      </w:r>
    </w:p>
    <w:p>
      <w:pPr>
        <w:pStyle w:val="2"/>
        <w:keepNext w:val="0"/>
        <w:keepLines w:val="0"/>
        <w:widowControl/>
        <w:suppressLineNumbers w:val="0"/>
        <w:spacing w:before="75" w:beforeAutospacing="0" w:after="75" w:afterAutospacing="0" w:line="555" w:lineRule="atLeast"/>
        <w:ind w:left="0" w:right="0" w:firstLine="660"/>
      </w:pPr>
      <w:r>
        <w:rPr>
          <w:rFonts w:hint="default" w:ascii="Times New Roman" w:hAnsi="Times New Roman" w:cs="Times New Roman"/>
          <w:sz w:val="28"/>
          <w:szCs w:val="28"/>
        </w:rPr>
        <w:t> </w:t>
      </w:r>
    </w:p>
    <w:p>
      <w:pPr>
        <w:pStyle w:val="2"/>
        <w:keepNext w:val="0"/>
        <w:keepLines w:val="0"/>
        <w:widowControl/>
        <w:suppressLineNumbers w:val="0"/>
        <w:spacing w:before="75" w:beforeAutospacing="0" w:after="75" w:afterAutospacing="0" w:line="555" w:lineRule="atLeast"/>
        <w:ind w:left="570" w:right="0"/>
      </w:pPr>
      <w:r>
        <w:rPr>
          <w:rFonts w:hint="default" w:ascii="Times New Roman" w:hAnsi="Times New Roman" w:cs="Times New Roman"/>
          <w:sz w:val="28"/>
          <w:szCs w:val="28"/>
        </w:rPr>
        <w:t> </w:t>
      </w:r>
    </w:p>
    <w:p>
      <w:pPr>
        <w:pStyle w:val="2"/>
        <w:keepNext w:val="0"/>
        <w:keepLines w:val="0"/>
        <w:widowControl/>
        <w:suppressLineNumbers w:val="0"/>
        <w:spacing w:before="75" w:beforeAutospacing="0" w:after="75" w:afterAutospacing="0"/>
        <w:ind w:left="0" w:right="0"/>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A00002EF" w:usb1="4000207B" w:usb2="00000000" w:usb3="00000000" w:csb0="2000009F" w:csb1="00000000"/>
  </w:font>
  <w:font w:name="方正粗黑宋简体">
    <w:altName w:val="宋体"/>
    <w:panose1 w:val="02000000000000000000"/>
    <w:charset w:val="86"/>
    <w:family w:val="auto"/>
    <w:pitch w:val="default"/>
    <w:sig w:usb0="00000000" w:usb1="00000000" w:usb2="00000012"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Calibri">
    <w:panose1 w:val="020F0502020204030204"/>
    <w:charset w:val="00"/>
    <w:family w:val="auto"/>
    <w:pitch w:val="default"/>
    <w:sig w:usb0="A00002EF" w:usb1="4000207B" w:usb2="00000000" w:usb3="00000000" w:csb0="2000009F" w:csb1="00000000"/>
  </w:font>
  <w:font w:name="仿宋_GB2312">
    <w:altName w:val="仿宋"/>
    <w:panose1 w:val="00000000000000000000"/>
    <w:charset w:val="00"/>
    <w:family w:val="auto"/>
    <w:pitch w:val="default"/>
    <w:sig w:usb0="00000000" w:usb1="00000000" w:usb2="00000000" w:usb3="00000000" w:csb0="00000000" w:csb1="00000000"/>
  </w:font>
  <w:font w:name="sans-serif">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96F4E3F"/>
    <w:rsid w:val="4B550B3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paragraph" w:styleId="6">
    <w:name w:val="List Paragraph"/>
    <w:basedOn w:val="1"/>
    <w:qFormat/>
    <w:uiPriority w:val="0"/>
    <w:pPr>
      <w:ind w:firstLine="200" w:firstLineChars="200"/>
    </w:pPr>
    <w:rPr>
      <w:rFonts w:ascii="Calibri" w:hAnsi="Calibri" w:eastAsia="宋体" w:cs="Times New Roman"/>
    </w:rPr>
  </w:style>
  <w:style w:type="paragraph" w:customStyle="1" w:styleId="7">
    <w:name w:val="列出段落1"/>
    <w:basedOn w:val="1"/>
    <w:qFormat/>
    <w:uiPriority w:val="0"/>
    <w:pPr>
      <w:ind w:firstLine="420" w:firstLineChars="200"/>
    </w:pPr>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zzw</dc:creator>
  <cp:lastModifiedBy>匆匆那年1395574511</cp:lastModifiedBy>
  <dcterms:modified xsi:type="dcterms:W3CDTF">2019-12-19T02:19:35Z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