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spacing w:before="75" w:beforeAutospacing="0" w:after="75" w:afterAutospacing="0" w:line="540" w:lineRule="atLeast"/>
        <w:ind w:left="0" w:right="0"/>
        <w:jc w:val="center"/>
      </w:pPr>
      <w:r>
        <w:rPr>
          <w:rStyle w:val="15"/>
          <w:rFonts w:ascii="仿宋_GB2312" w:eastAsia="仿宋_GB2312" w:cs="仿宋_GB2312"/>
          <w:sz w:val="36"/>
          <w:szCs w:val="36"/>
        </w:rPr>
        <w:t>2020年河北省职业院校技能大赛（高职）</w:t>
      </w:r>
    </w:p>
    <w:p>
      <w:pPr>
        <w:pStyle w:val="9"/>
        <w:keepNext w:val="0"/>
        <w:keepLines w:val="0"/>
        <w:widowControl/>
        <w:suppressLineNumbers w:val="0"/>
        <w:spacing w:before="75" w:beforeAutospacing="0" w:after="75" w:afterAutospacing="0" w:line="540" w:lineRule="atLeast"/>
        <w:ind w:left="0" w:right="0"/>
        <w:jc w:val="center"/>
      </w:pPr>
      <w:r>
        <w:rPr>
          <w:rStyle w:val="15"/>
          <w:rFonts w:hint="default" w:ascii="仿宋_GB2312" w:eastAsia="仿宋_GB2312" w:cs="仿宋_GB2312"/>
          <w:sz w:val="36"/>
          <w:szCs w:val="36"/>
        </w:rPr>
        <w:t>金融科技运营技能比赛竞赛规程</w:t>
      </w:r>
    </w:p>
    <w:p>
      <w:pPr>
        <w:pStyle w:val="2"/>
        <w:keepNext w:val="0"/>
        <w:keepLines w:val="0"/>
        <w:widowControl/>
        <w:suppressLineNumbers w:val="0"/>
        <w:spacing w:before="150" w:beforeAutospacing="0" w:after="150" w:afterAutospacing="0" w:line="720" w:lineRule="atLeast"/>
      </w:pPr>
      <w:r>
        <w:rPr>
          <w:rStyle w:val="15"/>
          <w:rFonts w:hint="default" w:ascii="仿宋_GB2312" w:eastAsia="仿宋_GB2312" w:cs="仿宋_GB2312"/>
          <w:b/>
          <w:sz w:val="28"/>
          <w:szCs w:val="28"/>
        </w:rPr>
        <w:t>一、赛项名称</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赛项名称：金融科技运营技能</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赛项组别：高职</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赛项归属专业大类：财经商贸大类金融类专业</w:t>
      </w:r>
    </w:p>
    <w:p>
      <w:pPr>
        <w:pStyle w:val="2"/>
        <w:keepNext w:val="0"/>
        <w:keepLines w:val="0"/>
        <w:widowControl/>
        <w:suppressLineNumbers w:val="0"/>
        <w:spacing w:before="150" w:beforeAutospacing="0" w:after="150" w:afterAutospacing="0" w:line="720" w:lineRule="atLeast"/>
      </w:pPr>
      <w:r>
        <w:rPr>
          <w:rStyle w:val="15"/>
          <w:rFonts w:hint="default" w:ascii="仿宋_GB2312" w:eastAsia="仿宋_GB2312" w:cs="仿宋_GB2312"/>
          <w:b/>
          <w:sz w:val="28"/>
          <w:szCs w:val="28"/>
        </w:rPr>
        <w:t>二、竞赛的意义</w:t>
      </w:r>
    </w:p>
    <w:p>
      <w:pPr>
        <w:pStyle w:val="9"/>
        <w:keepNext w:val="0"/>
        <w:keepLines w:val="0"/>
        <w:widowControl/>
        <w:suppressLineNumbers w:val="0"/>
        <w:spacing w:before="75" w:beforeAutospacing="0" w:after="75" w:afterAutospacing="0"/>
        <w:ind w:left="0" w:right="0" w:firstLine="555"/>
      </w:pPr>
      <w:r>
        <w:rPr>
          <w:rFonts w:hint="default" w:ascii="仿宋_GB2312" w:eastAsia="仿宋_GB2312" w:cs="仿宋_GB2312"/>
          <w:sz w:val="28"/>
          <w:szCs w:val="28"/>
        </w:rPr>
        <w:t>金融科技运营技能比赛，是贯彻落实《国家中长期教育改革和发展规划纲要（2010-2020）》的要求，推动产教结合，紧扣当前院校的教学要求，理论融于实践，加强信息化手段和计算机仿真模拟技术在教学中的应用，推进金融类专业“教、学、考、做、赛”五位一体的教学改革，推进金融职业教育“工学结合、学做合一”，持续提高金融科技职业教育的质量，充分发挥技能竞赛引领专业建设及课程改革的提升作用，适应传统金融及金融科技行业的蓬勃发展，对接行业企业需求，激发企业参与金融类及互联网金融专业教学改革的积极性，强化学校、行业和企业间的信息联动，增强学生的金融科技认知，巩固和深化学生掌握的操作方法，拓宽金融及互联网金融专业学生掌握新型业务知识的获取途径，提高互联网金融专业学生的业务综合技能，全面提升金融科技人才的教学质量，增强学生就业竞争力。同时竞赛为教师的教学成果提供展示平台，为全国互联网金融专业师生之间提供交流平台，也起到检验金融类专业教学改革成果的作用，提升中国互联网+金融职业教育水平。</w:t>
      </w:r>
    </w:p>
    <w:p>
      <w:pPr>
        <w:pStyle w:val="2"/>
        <w:keepNext w:val="0"/>
        <w:keepLines w:val="0"/>
        <w:widowControl/>
        <w:suppressLineNumbers w:val="0"/>
        <w:spacing w:before="150" w:beforeAutospacing="0" w:after="150" w:afterAutospacing="0" w:line="720" w:lineRule="atLeast"/>
      </w:pPr>
      <w:r>
        <w:rPr>
          <w:rStyle w:val="15"/>
          <w:rFonts w:hint="default" w:ascii="仿宋_GB2312" w:eastAsia="仿宋_GB2312" w:cs="仿宋_GB2312"/>
          <w:b/>
          <w:sz w:val="28"/>
          <w:szCs w:val="28"/>
        </w:rPr>
        <w:t>三、竞赛方式</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本赛项为团体赛，每个代表队由1名指导教师、4名选手组成，每个学校领队1名，指导教师不可兼任领队。</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“金融科技运营知识”竞赛，由每支参赛队4名选手分别独立完成。</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“金融科技运营能力”竞赛由每支参赛队4名选手共同完成。其中，金融科技运营能力竞赛每位参赛选手所担任的团队角色，由指导老师自行决定，4名选手间团队角色不得重复。</w:t>
      </w:r>
    </w:p>
    <w:p>
      <w:pPr>
        <w:pStyle w:val="2"/>
        <w:keepNext w:val="0"/>
        <w:keepLines w:val="0"/>
        <w:widowControl/>
        <w:suppressLineNumbers w:val="0"/>
        <w:spacing w:before="150" w:beforeAutospacing="0" w:after="150" w:afterAutospacing="0" w:line="720" w:lineRule="atLeast"/>
      </w:pPr>
      <w:r>
        <w:rPr>
          <w:rStyle w:val="15"/>
          <w:rFonts w:hint="default" w:ascii="仿宋_GB2312" w:eastAsia="仿宋_GB2312" w:cs="仿宋_GB2312"/>
          <w:b/>
          <w:sz w:val="28"/>
          <w:szCs w:val="28"/>
        </w:rPr>
        <w:t>四、竞赛时间安排与流程</w:t>
      </w:r>
    </w:p>
    <w:tbl>
      <w:tblPr>
        <w:tblW w:w="7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635"/>
        <w:gridCol w:w="2970"/>
        <w:gridCol w:w="3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5" w:hRule="atLeast"/>
        </w:trPr>
        <w:tc>
          <w:tcPr>
            <w:tcW w:w="16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default" w:ascii="仿宋_GB2312" w:eastAsia="仿宋_GB2312" w:cs="仿宋_GB2312"/>
                <w:sz w:val="28"/>
                <w:szCs w:val="28"/>
                <w:bdr w:val="none" w:color="auto" w:sz="0" w:space="0"/>
              </w:rPr>
              <w:t>日期</w:t>
            </w:r>
          </w:p>
        </w:tc>
        <w:tc>
          <w:tcPr>
            <w:tcW w:w="29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default" w:ascii="仿宋_GB2312" w:eastAsia="仿宋_GB2312" w:cs="仿宋_GB2312"/>
                <w:sz w:val="28"/>
                <w:szCs w:val="28"/>
                <w:bdr w:val="none" w:color="auto" w:sz="0" w:space="0"/>
              </w:rPr>
              <w:t>时间</w:t>
            </w:r>
          </w:p>
        </w:tc>
        <w:tc>
          <w:tcPr>
            <w:tcW w:w="33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default" w:ascii="仿宋_GB2312" w:eastAsia="仿宋_GB2312" w:cs="仿宋_GB2312"/>
                <w:sz w:val="28"/>
                <w:szCs w:val="28"/>
                <w:bdr w:val="none" w:color="auto" w:sz="0" w:space="0"/>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3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8"/>
                <w:szCs w:val="28"/>
                <w:bdr w:val="none" w:color="auto" w:sz="0" w:space="0"/>
              </w:rPr>
              <w:t>12月20日</w:t>
            </w: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8"/>
                <w:szCs w:val="28"/>
                <w:bdr w:val="none" w:color="auto" w:sz="0" w:space="0"/>
              </w:rPr>
              <w:t>10:00-14:00</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8"/>
                <w:szCs w:val="28"/>
                <w:bdr w:val="none" w:color="auto" w:sz="0" w:space="0"/>
              </w:rPr>
              <w:t>选手报到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6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8"/>
                <w:szCs w:val="28"/>
                <w:bdr w:val="none" w:color="auto" w:sz="0" w:space="0"/>
              </w:rPr>
              <w:t>14:00-14:30</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8"/>
                <w:szCs w:val="28"/>
                <w:bdr w:val="none" w:color="auto" w:sz="0" w:space="0"/>
              </w:rPr>
              <w:t>开幕式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 w:hRule="atLeast"/>
        </w:trPr>
        <w:tc>
          <w:tcPr>
            <w:tcW w:w="16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8"/>
                <w:szCs w:val="28"/>
                <w:bdr w:val="none" w:color="auto" w:sz="0" w:space="0"/>
              </w:rPr>
              <w:t>14:30-15:00</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8"/>
                <w:szCs w:val="28"/>
                <w:bdr w:val="none" w:color="auto" w:sz="0" w:space="0"/>
              </w:rPr>
              <w:t>领队说明会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6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8"/>
                <w:szCs w:val="28"/>
                <w:bdr w:val="none" w:color="auto" w:sz="0" w:space="0"/>
              </w:rPr>
              <w:t>15:00-16:00</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8"/>
                <w:szCs w:val="28"/>
                <w:bdr w:val="none" w:color="auto" w:sz="0" w:space="0"/>
              </w:rPr>
              <w:t>熟悉场地、调试设备、了解竞赛现场要求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 w:hRule="atLeast"/>
        </w:trPr>
        <w:tc>
          <w:tcPr>
            <w:tcW w:w="16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8"/>
                <w:szCs w:val="28"/>
                <w:bdr w:val="none" w:color="auto" w:sz="0" w:space="0"/>
              </w:rPr>
              <w:t>16:30</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8"/>
                <w:szCs w:val="28"/>
                <w:bdr w:val="none" w:color="auto" w:sz="0" w:space="0"/>
              </w:rPr>
              <w:t>竞赛现场封闭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6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8"/>
                <w:szCs w:val="28"/>
                <w:bdr w:val="none" w:color="auto" w:sz="0" w:space="0"/>
              </w:rPr>
              <w:t>17:00后</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8"/>
                <w:szCs w:val="28"/>
                <w:bdr w:val="none" w:color="auto" w:sz="0" w:space="0"/>
              </w:rPr>
              <w:t>晚餐时间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 w:hRule="atLeast"/>
        </w:trPr>
        <w:tc>
          <w:tcPr>
            <w:tcW w:w="16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8"/>
                <w:szCs w:val="28"/>
                <w:bdr w:val="none" w:color="auto" w:sz="0" w:space="0"/>
              </w:rPr>
              <w:t>18:30</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8"/>
                <w:szCs w:val="28"/>
                <w:bdr w:val="none" w:color="auto" w:sz="0" w:space="0"/>
              </w:rPr>
              <w:t>乘车前往酒店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163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8"/>
                <w:szCs w:val="28"/>
                <w:bdr w:val="none" w:color="auto" w:sz="0" w:space="0"/>
              </w:rPr>
              <w:t>12月21日</w:t>
            </w: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pPr>
            <w:r>
              <w:rPr>
                <w:rFonts w:hint="default" w:ascii="仿宋_GB2312" w:eastAsia="仿宋_GB2312" w:cs="仿宋_GB2312"/>
                <w:sz w:val="28"/>
                <w:szCs w:val="28"/>
                <w:bdr w:val="none" w:color="auto" w:sz="0" w:space="0"/>
              </w:rPr>
              <w:t>8:00-8:20</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pPr>
            <w:r>
              <w:rPr>
                <w:rFonts w:hint="default" w:ascii="仿宋_GB2312" w:eastAsia="仿宋_GB2312" w:cs="仿宋_GB2312"/>
                <w:sz w:val="28"/>
                <w:szCs w:val="28"/>
                <w:bdr w:val="none" w:color="auto" w:sz="0" w:space="0"/>
              </w:rPr>
              <w:t>参赛选手入场、调试设备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trPr>
        <w:tc>
          <w:tcPr>
            <w:tcW w:w="16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8"/>
                <w:szCs w:val="28"/>
                <w:bdr w:val="none" w:color="auto" w:sz="0" w:space="0"/>
              </w:rPr>
              <w:t>8:20-8:50</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8"/>
                <w:szCs w:val="28"/>
                <w:bdr w:val="none" w:color="auto" w:sz="0" w:space="0"/>
              </w:rPr>
              <w:t>金融科技运营知识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trPr>
        <w:tc>
          <w:tcPr>
            <w:tcW w:w="16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8"/>
                <w:szCs w:val="28"/>
                <w:bdr w:val="none" w:color="auto" w:sz="0" w:space="0"/>
              </w:rPr>
              <w:t>9:00-11:00</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8"/>
                <w:szCs w:val="28"/>
                <w:bdr w:val="none" w:color="auto" w:sz="0" w:space="0"/>
              </w:rPr>
              <w:t>金融科技运营能力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 w:hRule="atLeast"/>
        </w:trPr>
        <w:tc>
          <w:tcPr>
            <w:tcW w:w="16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8"/>
                <w:szCs w:val="28"/>
                <w:bdr w:val="none" w:color="auto" w:sz="0" w:space="0"/>
              </w:rPr>
              <w:t>11:00-12:00</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8"/>
                <w:szCs w:val="28"/>
                <w:bdr w:val="none" w:color="auto" w:sz="0" w:space="0"/>
              </w:rPr>
              <w:t>评判、汇总成绩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 w:hRule="atLeast"/>
        </w:trPr>
        <w:tc>
          <w:tcPr>
            <w:tcW w:w="16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9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8"/>
                <w:szCs w:val="28"/>
                <w:bdr w:val="none" w:color="auto" w:sz="0" w:space="0"/>
              </w:rPr>
              <w:t>14:00-15:00</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8"/>
                <w:szCs w:val="28"/>
                <w:bdr w:val="none" w:color="auto" w:sz="0" w:space="0"/>
              </w:rPr>
              <w:t>公布成绩及闭幕式</w:t>
            </w:r>
          </w:p>
        </w:tc>
      </w:tr>
    </w:tbl>
    <w:p>
      <w:pPr>
        <w:pStyle w:val="2"/>
        <w:keepNext w:val="0"/>
        <w:keepLines w:val="0"/>
        <w:widowControl/>
        <w:suppressLineNumbers w:val="0"/>
        <w:spacing w:before="150" w:beforeAutospacing="0" w:after="150" w:afterAutospacing="0" w:line="720" w:lineRule="atLeast"/>
      </w:pPr>
      <w:r>
        <w:rPr>
          <w:rStyle w:val="15"/>
          <w:rFonts w:hint="default" w:ascii="仿宋_GB2312" w:eastAsia="仿宋_GB2312" w:cs="仿宋_GB2312"/>
          <w:b/>
          <w:sz w:val="28"/>
          <w:szCs w:val="28"/>
        </w:rPr>
        <w:t>五、竞赛内容</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b/>
          <w:sz w:val="28"/>
          <w:szCs w:val="28"/>
        </w:rPr>
        <w:t>（一）</w:t>
      </w:r>
      <w:r>
        <w:rPr>
          <w:rStyle w:val="15"/>
          <w:rFonts w:hint="default" w:ascii="仿宋_GB2312" w:eastAsia="仿宋_GB2312" w:cs="仿宋_GB2312"/>
          <w:sz w:val="28"/>
          <w:szCs w:val="28"/>
        </w:rPr>
        <w:t> “金融科技运营知识”项目</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主要考核选手对互联网金融基础知识的掌握能力。客观题环节的比赛使用竞赛系统在线完成操作，比赛成绩由系统自动评分。客观题的题库范围涉及第三方支付、P2P网贷、互联网征信、众筹、互联网银行、互联网保险、互联网基金销售、互联网消费金融、大数据金融、金融系统性风险仿真、反金融诈骗等十一个模块。</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b/>
          <w:sz w:val="28"/>
          <w:szCs w:val="28"/>
        </w:rPr>
        <w:t>（二）</w:t>
      </w:r>
      <w:r>
        <w:rPr>
          <w:rStyle w:val="15"/>
          <w:rFonts w:hint="default" w:ascii="仿宋_GB2312" w:eastAsia="仿宋_GB2312" w:cs="仿宋_GB2312"/>
          <w:sz w:val="28"/>
          <w:szCs w:val="28"/>
        </w:rPr>
        <w:t>“金融科技运营能力”项目</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以团队竞赛方式完成十一个模块的运营任务，考核选手对互联网金融主要业态业务处理的流程及规范的掌握情况。</w:t>
      </w:r>
    </w:p>
    <w:p>
      <w:pPr>
        <w:pStyle w:val="2"/>
        <w:keepNext w:val="0"/>
        <w:keepLines w:val="0"/>
        <w:widowControl/>
        <w:suppressLineNumbers w:val="0"/>
        <w:spacing w:before="150" w:beforeAutospacing="0" w:after="150" w:afterAutospacing="0" w:line="720" w:lineRule="atLeast"/>
      </w:pPr>
      <w:r>
        <w:rPr>
          <w:rStyle w:val="15"/>
          <w:rFonts w:hint="default" w:ascii="仿宋_GB2312" w:eastAsia="仿宋_GB2312" w:cs="仿宋_GB2312"/>
          <w:b/>
          <w:sz w:val="28"/>
          <w:szCs w:val="28"/>
        </w:rPr>
        <w:t>六、竞赛规则</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（一）报名资格</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河北省高等学校在籍高职高专类学生。</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本次竞赛以学校为单位组队参赛，不得跨校组队。每所院校报名参赛团队不超过2队（注：学校如有2个队参加需标明XX学校1队、XX学校2队），每个代表队由1名指导教师、4名选手组成，每个学校领队1名，指导教师不可兼任领队。</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（二）报名要求</w:t>
      </w:r>
    </w:p>
    <w:p>
      <w:pPr>
        <w:pStyle w:val="9"/>
        <w:keepNext w:val="0"/>
        <w:keepLines w:val="0"/>
        <w:widowControl/>
        <w:suppressLineNumbers w:val="0"/>
        <w:spacing w:before="75" w:beforeAutospacing="0" w:after="75" w:afterAutospacing="0"/>
        <w:ind w:left="0" w:right="0" w:firstLine="555"/>
      </w:pPr>
      <w:r>
        <w:rPr>
          <w:rFonts w:hint="default" w:ascii="仿宋_GB2312" w:eastAsia="仿宋_GB2312" w:cs="仿宋_GB2312"/>
          <w:sz w:val="28"/>
          <w:szCs w:val="28"/>
        </w:rPr>
        <w:t>参赛选手和指导教师报名获得确认后不得随意更换。因参赛队伍自身原因导致无法参赛或无法继续比赛，视为弃赛。</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（三）赛前准备</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1.竞赛预备会（领队说明会）：赛前召开竞赛预备会，由各参赛队伍的领队参加，会议讲解竞赛注意事项并进行赛前答疑；</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2.抽签；</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3.熟悉场地：赛前开放赛场，熟悉场地。</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（四）比赛期间</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比赛期间的每个环节，参赛选手须听从工作人员安排，不得自行离开所在座位。</w:t>
      </w:r>
    </w:p>
    <w:p>
      <w:pPr>
        <w:pStyle w:val="2"/>
        <w:keepNext w:val="0"/>
        <w:keepLines w:val="0"/>
        <w:widowControl/>
        <w:suppressLineNumbers w:val="0"/>
        <w:spacing w:before="150" w:beforeAutospacing="0" w:after="150" w:afterAutospacing="0" w:line="720" w:lineRule="atLeast"/>
      </w:pPr>
      <w:r>
        <w:rPr>
          <w:rStyle w:val="15"/>
          <w:rFonts w:hint="default" w:ascii="仿宋_GB2312" w:eastAsia="仿宋_GB2312" w:cs="仿宋_GB2312"/>
          <w:b/>
          <w:sz w:val="28"/>
          <w:szCs w:val="28"/>
        </w:rPr>
        <w:t>七、竞赛环境要求</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竞赛场地设置在学校专用机房，总共布置200台机位，2台服务器，电脑桌等。竞赛区域设置宣传横幅布标、桌牌、必要文具等。</w:t>
      </w:r>
    </w:p>
    <w:p>
      <w:pPr>
        <w:pStyle w:val="9"/>
        <w:keepNext w:val="0"/>
        <w:keepLines w:val="0"/>
        <w:widowControl/>
        <w:suppressLineNumbers w:val="0"/>
        <w:spacing w:before="75" w:beforeAutospacing="0" w:after="75" w:afterAutospacing="0" w:line="555" w:lineRule="atLeast"/>
        <w:ind w:left="0" w:right="0" w:firstLine="0"/>
      </w:pPr>
      <w:r>
        <w:rPr>
          <w:rFonts w:hint="default" w:ascii="仿宋_GB2312" w:eastAsia="仿宋_GB2312" w:cs="仿宋_GB2312"/>
          <w:sz w:val="28"/>
          <w:szCs w:val="28"/>
        </w:rPr>
        <w:t>（一）局域网络。采用星形网络拓扑结构，安装千兆交换机。网线与电源线隐蔽铺设。采用独立网络环境，不连接INTERNET，禁止外部电脑接入；</w:t>
      </w:r>
    </w:p>
    <w:p>
      <w:pPr>
        <w:pStyle w:val="9"/>
        <w:keepNext w:val="0"/>
        <w:keepLines w:val="0"/>
        <w:widowControl/>
        <w:suppressLineNumbers w:val="0"/>
        <w:spacing w:before="75" w:beforeAutospacing="0" w:after="75" w:afterAutospacing="0" w:line="555" w:lineRule="atLeast"/>
        <w:ind w:left="0" w:right="0" w:firstLine="0"/>
      </w:pPr>
      <w:r>
        <w:rPr>
          <w:rFonts w:hint="default" w:ascii="仿宋_GB2312" w:eastAsia="仿宋_GB2312" w:cs="仿宋_GB2312"/>
          <w:sz w:val="28"/>
          <w:szCs w:val="28"/>
        </w:rPr>
        <w:t>（二）采用双路供电安全保障。采用统一的杀毒软件对服务器进行防毒保护。部署具有网络管理、账号管理和日志管理功能的综合监控系统；</w:t>
      </w:r>
    </w:p>
    <w:p>
      <w:pPr>
        <w:pStyle w:val="9"/>
        <w:keepNext w:val="0"/>
        <w:keepLines w:val="0"/>
        <w:widowControl/>
        <w:suppressLineNumbers w:val="0"/>
        <w:spacing w:before="75" w:beforeAutospacing="0" w:after="75" w:afterAutospacing="0" w:line="555" w:lineRule="atLeast"/>
        <w:ind w:left="0" w:right="0" w:firstLine="0"/>
      </w:pPr>
      <w:r>
        <w:rPr>
          <w:rFonts w:hint="default" w:ascii="仿宋_GB2312" w:eastAsia="仿宋_GB2312" w:cs="仿宋_GB2312"/>
          <w:sz w:val="28"/>
          <w:szCs w:val="28"/>
        </w:rPr>
        <w:t>（三）利用UPS防止现场因突然断电导致的系统数据丢失，额定功率：3KVA，后备时间：2小时，电池类型：输出电压：230V±5%V；</w:t>
      </w:r>
    </w:p>
    <w:p>
      <w:pPr>
        <w:pStyle w:val="9"/>
        <w:keepNext w:val="0"/>
        <w:keepLines w:val="0"/>
        <w:widowControl/>
        <w:suppressLineNumbers w:val="0"/>
        <w:spacing w:before="75" w:beforeAutospacing="0" w:after="75" w:afterAutospacing="0" w:line="555" w:lineRule="atLeast"/>
        <w:ind w:left="0" w:right="0" w:firstLine="0"/>
      </w:pPr>
      <w:r>
        <w:rPr>
          <w:rFonts w:hint="default" w:ascii="仿宋_GB2312" w:eastAsia="仿宋_GB2312" w:cs="仿宋_GB2312"/>
          <w:sz w:val="28"/>
          <w:szCs w:val="28"/>
        </w:rPr>
        <w:t>（四）设置安全通道和警戒线，确保进入赛场的大赛参观、采访、视察的人员限定在安全区域内活动，以保证大赛安全有序进行。</w:t>
      </w:r>
    </w:p>
    <w:p>
      <w:pPr>
        <w:pStyle w:val="2"/>
        <w:keepNext w:val="0"/>
        <w:keepLines w:val="0"/>
        <w:widowControl/>
        <w:suppressLineNumbers w:val="0"/>
        <w:spacing w:before="150" w:beforeAutospacing="0" w:after="150" w:afterAutospacing="0" w:line="720" w:lineRule="atLeast"/>
      </w:pPr>
      <w:r>
        <w:rPr>
          <w:rStyle w:val="15"/>
          <w:rFonts w:hint="default" w:ascii="仿宋_GB2312" w:eastAsia="仿宋_GB2312" w:cs="仿宋_GB2312"/>
          <w:b/>
          <w:sz w:val="28"/>
          <w:szCs w:val="28"/>
        </w:rPr>
        <w:t>八、评分方式及奖项设置</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（一）评分原则</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应遵循“公开、公平、公正”的竞赛原则，科学、客观、严谨的进行赛项评分。</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（二）评分方法</w:t>
      </w:r>
    </w:p>
    <w:p>
      <w:pPr>
        <w:pStyle w:val="9"/>
        <w:keepNext w:val="0"/>
        <w:keepLines w:val="0"/>
        <w:widowControl/>
        <w:suppressLineNumbers w:val="0"/>
        <w:spacing w:before="75" w:beforeAutospacing="0" w:after="75" w:afterAutospacing="0"/>
        <w:ind w:left="0" w:right="0" w:firstLine="555"/>
      </w:pPr>
      <w:r>
        <w:rPr>
          <w:rFonts w:hint="default" w:ascii="仿宋_GB2312" w:eastAsia="仿宋_GB2312" w:cs="仿宋_GB2312"/>
          <w:sz w:val="28"/>
          <w:szCs w:val="28"/>
        </w:rPr>
        <w:t>竞赛总分为2000分，金融科技运营知识400分、金融科技运营能力1600分。</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第一步为系统评分：所有比赛项目均由系统自动评分并生成成绩;在“金融科技运营知识”和“金融科技运营能力”两个项目中如所有答题和操作全部正确，每提前1秒加0.05分（如基础知识提前10分钟完成无误，该项目总分加30分；如运营能力提前30分钟完成无误，该项目总分加90分，竞赛加分共计120分）。</w:t>
      </w:r>
    </w:p>
    <w:p>
      <w:pPr>
        <w:pStyle w:val="9"/>
        <w:keepNext w:val="0"/>
        <w:keepLines w:val="0"/>
        <w:widowControl/>
        <w:suppressLineNumbers w:val="0"/>
        <w:spacing w:before="75" w:beforeAutospacing="0" w:after="75" w:afterAutospacing="0"/>
        <w:ind w:left="0" w:right="0" w:firstLine="555"/>
      </w:pPr>
      <w:r>
        <w:rPr>
          <w:rFonts w:hint="default" w:ascii="仿宋_GB2312" w:eastAsia="仿宋_GB2312" w:cs="仿宋_GB2312"/>
          <w:sz w:val="28"/>
          <w:szCs w:val="28"/>
        </w:rPr>
        <w:t>2、第二步为裁判评分：裁判只负责扣分，不给分；扣分依据扣分表明细（见附件1），最大扣分值为任务得分值的30%。若裁判扣分，则系统加分无效。</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3、第三步生成最终成绩：竞赛成绩=系统评分-人工扣分。</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4、最后如出现同分，则首先比较人工扣分项，被扣分少者排名靠前；如总分和人工扣分均相同，则用时少者排名靠前。</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（三）评分细节</w:t>
      </w:r>
    </w:p>
    <w:p>
      <w:pPr>
        <w:pStyle w:val="2"/>
        <w:keepNext w:val="0"/>
        <w:keepLines w:val="0"/>
        <w:widowControl/>
        <w:suppressLineNumbers w:val="0"/>
        <w:spacing w:before="0" w:beforeAutospacing="0" w:after="0" w:afterAutospacing="0" w:line="720" w:lineRule="atLeast"/>
        <w:ind w:left="0" w:firstLine="840"/>
      </w:pPr>
      <w:r>
        <w:rPr>
          <w:rStyle w:val="15"/>
          <w:rFonts w:hint="default" w:ascii="仿宋_GB2312" w:eastAsia="仿宋_GB2312" w:cs="仿宋_GB2312"/>
          <w:b/>
          <w:sz w:val="28"/>
          <w:szCs w:val="28"/>
        </w:rPr>
        <w:t>1.金融科技运营知识项目</w:t>
      </w:r>
    </w:p>
    <w:tbl>
      <w:tblPr>
        <w:tblW w:w="83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395"/>
        <w:gridCol w:w="1647"/>
        <w:gridCol w:w="1363"/>
        <w:gridCol w:w="1198"/>
        <w:gridCol w:w="1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4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default" w:ascii="仿宋_GB2312" w:eastAsia="仿宋_GB2312" w:cs="仿宋_GB2312"/>
                <w:sz w:val="28"/>
                <w:szCs w:val="28"/>
                <w:bdr w:val="none" w:color="auto" w:sz="0" w:space="0"/>
              </w:rPr>
              <w:t>评分内容</w:t>
            </w:r>
          </w:p>
        </w:tc>
        <w:tc>
          <w:tcPr>
            <w:tcW w:w="16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default" w:ascii="仿宋_GB2312" w:eastAsia="仿宋_GB2312" w:cs="仿宋_GB2312"/>
                <w:sz w:val="28"/>
                <w:szCs w:val="28"/>
                <w:bdr w:val="none" w:color="auto" w:sz="0" w:space="0"/>
              </w:rPr>
              <w:t>参考分值</w:t>
            </w:r>
          </w:p>
        </w:tc>
        <w:tc>
          <w:tcPr>
            <w:tcW w:w="13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default" w:ascii="仿宋_GB2312" w:eastAsia="仿宋_GB2312" w:cs="仿宋_GB2312"/>
                <w:sz w:val="28"/>
                <w:szCs w:val="28"/>
                <w:bdr w:val="none" w:color="auto" w:sz="0" w:space="0"/>
              </w:rPr>
              <w:t>个人分值</w:t>
            </w:r>
          </w:p>
        </w:tc>
        <w:tc>
          <w:tcPr>
            <w:tcW w:w="12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default" w:ascii="仿宋_GB2312" w:eastAsia="仿宋_GB2312" w:cs="仿宋_GB2312"/>
                <w:sz w:val="28"/>
                <w:szCs w:val="28"/>
                <w:bdr w:val="none" w:color="auto" w:sz="0" w:space="0"/>
              </w:rPr>
              <w:t>合计</w:t>
            </w:r>
          </w:p>
        </w:tc>
        <w:tc>
          <w:tcPr>
            <w:tcW w:w="17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default" w:ascii="仿宋_GB2312" w:eastAsia="仿宋_GB2312" w:cs="仿宋_GB2312"/>
                <w:sz w:val="28"/>
                <w:szCs w:val="28"/>
                <w:bdr w:val="none" w:color="auto" w:sz="0" w:space="0"/>
              </w:rPr>
              <w:t>评分方式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4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单选题</w:t>
            </w:r>
          </w:p>
        </w:tc>
        <w:tc>
          <w:tcPr>
            <w:tcW w:w="165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50分</w:t>
            </w:r>
          </w:p>
        </w:tc>
        <w:tc>
          <w:tcPr>
            <w:tcW w:w="13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100分</w:t>
            </w:r>
          </w:p>
        </w:tc>
        <w:tc>
          <w:tcPr>
            <w:tcW w:w="120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400分</w:t>
            </w:r>
          </w:p>
        </w:tc>
        <w:tc>
          <w:tcPr>
            <w:tcW w:w="178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系统评分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4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多选题</w:t>
            </w:r>
          </w:p>
        </w:tc>
        <w:tc>
          <w:tcPr>
            <w:tcW w:w="165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40分</w:t>
            </w:r>
          </w:p>
        </w:tc>
        <w:tc>
          <w:tcPr>
            <w:tcW w:w="13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0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78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4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判断题</w:t>
            </w:r>
          </w:p>
        </w:tc>
        <w:tc>
          <w:tcPr>
            <w:tcW w:w="165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10分</w:t>
            </w:r>
          </w:p>
        </w:tc>
        <w:tc>
          <w:tcPr>
            <w:tcW w:w="13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0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78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line="720" w:lineRule="atLeast"/>
        <w:ind w:left="0" w:firstLine="840"/>
      </w:pPr>
      <w:r>
        <w:rPr>
          <w:rStyle w:val="15"/>
          <w:rFonts w:hint="default" w:ascii="仿宋_GB2312" w:eastAsia="仿宋_GB2312" w:cs="仿宋_GB2312"/>
          <w:b/>
          <w:sz w:val="28"/>
          <w:szCs w:val="28"/>
        </w:rPr>
        <w:t>2.金融科技运营能力项目</w:t>
      </w:r>
    </w:p>
    <w:tbl>
      <w:tblPr>
        <w:tblW w:w="84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635"/>
        <w:gridCol w:w="2700"/>
        <w:gridCol w:w="1425"/>
        <w:gridCol w:w="1200"/>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 w:hRule="atLeast"/>
        </w:trPr>
        <w:tc>
          <w:tcPr>
            <w:tcW w:w="163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Style w:val="15"/>
                <w:rFonts w:hint="default" w:ascii="仿宋_GB2312" w:eastAsia="仿宋_GB2312" w:cs="仿宋_GB2312"/>
                <w:sz w:val="28"/>
                <w:szCs w:val="28"/>
                <w:bdr w:val="none" w:color="auto" w:sz="0" w:space="0"/>
              </w:rPr>
              <w:t>业务类型</w:t>
            </w:r>
          </w:p>
        </w:tc>
        <w:tc>
          <w:tcPr>
            <w:tcW w:w="270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Style w:val="15"/>
                <w:rFonts w:hint="default" w:ascii="仿宋_GB2312" w:eastAsia="仿宋_GB2312" w:cs="仿宋_GB2312"/>
                <w:sz w:val="28"/>
                <w:szCs w:val="28"/>
                <w:bdr w:val="none" w:color="auto" w:sz="0" w:space="0"/>
              </w:rPr>
              <w:t>评分内容</w:t>
            </w:r>
          </w:p>
        </w:tc>
        <w:tc>
          <w:tcPr>
            <w:tcW w:w="142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Style w:val="15"/>
                <w:rFonts w:hint="default" w:ascii="仿宋_GB2312" w:eastAsia="仿宋_GB2312" w:cs="仿宋_GB2312"/>
                <w:sz w:val="28"/>
                <w:szCs w:val="28"/>
                <w:bdr w:val="none" w:color="auto" w:sz="0" w:space="0"/>
              </w:rPr>
              <w:t>参考分值</w:t>
            </w:r>
          </w:p>
        </w:tc>
        <w:tc>
          <w:tcPr>
            <w:tcW w:w="120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Style w:val="15"/>
                <w:rFonts w:hint="default" w:ascii="仿宋_GB2312" w:eastAsia="仿宋_GB2312" w:cs="仿宋_GB2312"/>
                <w:sz w:val="28"/>
                <w:szCs w:val="28"/>
                <w:bdr w:val="none" w:color="auto" w:sz="0" w:space="0"/>
              </w:rPr>
              <w:t>合计</w:t>
            </w:r>
          </w:p>
        </w:tc>
        <w:tc>
          <w:tcPr>
            <w:tcW w:w="145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Style w:val="15"/>
                <w:rFonts w:hint="default" w:ascii="仿宋_GB2312" w:eastAsia="仿宋_GB2312" w:cs="仿宋_GB2312"/>
                <w:sz w:val="28"/>
                <w:szCs w:val="28"/>
                <w:bdr w:val="none" w:color="auto" w:sz="0" w:space="0"/>
              </w:rPr>
              <w:t>评分方式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35"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金融科技运营能力</w:t>
            </w: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第三方支付</w:t>
            </w:r>
          </w:p>
        </w:tc>
        <w:tc>
          <w:tcPr>
            <w:tcW w:w="14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100分</w:t>
            </w:r>
          </w:p>
        </w:tc>
        <w:tc>
          <w:tcPr>
            <w:tcW w:w="120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1600分</w:t>
            </w:r>
          </w:p>
        </w:tc>
        <w:tc>
          <w:tcPr>
            <w:tcW w:w="145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系统评分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 w:hRule="atLeast"/>
        </w:trPr>
        <w:tc>
          <w:tcPr>
            <w:tcW w:w="163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P2P网贷</w:t>
            </w:r>
          </w:p>
        </w:tc>
        <w:tc>
          <w:tcPr>
            <w:tcW w:w="14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100分</w:t>
            </w:r>
          </w:p>
        </w:tc>
        <w:tc>
          <w:tcPr>
            <w:tcW w:w="120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 w:hRule="atLeast"/>
        </w:trPr>
        <w:tc>
          <w:tcPr>
            <w:tcW w:w="163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众筹</w:t>
            </w:r>
          </w:p>
        </w:tc>
        <w:tc>
          <w:tcPr>
            <w:tcW w:w="14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100分</w:t>
            </w:r>
          </w:p>
        </w:tc>
        <w:tc>
          <w:tcPr>
            <w:tcW w:w="120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 w:hRule="atLeast"/>
        </w:trPr>
        <w:tc>
          <w:tcPr>
            <w:tcW w:w="163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互联网征信</w:t>
            </w:r>
          </w:p>
        </w:tc>
        <w:tc>
          <w:tcPr>
            <w:tcW w:w="14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150分</w:t>
            </w:r>
          </w:p>
        </w:tc>
        <w:tc>
          <w:tcPr>
            <w:tcW w:w="120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3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互联网银行</w:t>
            </w:r>
          </w:p>
        </w:tc>
        <w:tc>
          <w:tcPr>
            <w:tcW w:w="14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150分</w:t>
            </w:r>
          </w:p>
        </w:tc>
        <w:tc>
          <w:tcPr>
            <w:tcW w:w="120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 w:hRule="atLeast"/>
        </w:trPr>
        <w:tc>
          <w:tcPr>
            <w:tcW w:w="163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互联网保险</w:t>
            </w:r>
          </w:p>
        </w:tc>
        <w:tc>
          <w:tcPr>
            <w:tcW w:w="14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150分</w:t>
            </w:r>
          </w:p>
        </w:tc>
        <w:tc>
          <w:tcPr>
            <w:tcW w:w="120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 w:hRule="atLeast"/>
        </w:trPr>
        <w:tc>
          <w:tcPr>
            <w:tcW w:w="163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互联网基金</w:t>
            </w:r>
          </w:p>
        </w:tc>
        <w:tc>
          <w:tcPr>
            <w:tcW w:w="14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150分</w:t>
            </w:r>
          </w:p>
        </w:tc>
        <w:tc>
          <w:tcPr>
            <w:tcW w:w="120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 w:hRule="atLeast"/>
        </w:trPr>
        <w:tc>
          <w:tcPr>
            <w:tcW w:w="163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互联网消费金融</w:t>
            </w:r>
          </w:p>
        </w:tc>
        <w:tc>
          <w:tcPr>
            <w:tcW w:w="14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150分</w:t>
            </w:r>
          </w:p>
        </w:tc>
        <w:tc>
          <w:tcPr>
            <w:tcW w:w="120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63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大数据金融</w:t>
            </w:r>
          </w:p>
        </w:tc>
        <w:tc>
          <w:tcPr>
            <w:tcW w:w="14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150分</w:t>
            </w:r>
          </w:p>
        </w:tc>
        <w:tc>
          <w:tcPr>
            <w:tcW w:w="120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163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700" w:type="dxa"/>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金融系统性风险模拟仿真</w:t>
            </w:r>
          </w:p>
        </w:tc>
        <w:tc>
          <w:tcPr>
            <w:tcW w:w="1425" w:type="dxa"/>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200分</w:t>
            </w:r>
          </w:p>
        </w:tc>
        <w:tc>
          <w:tcPr>
            <w:tcW w:w="120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63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700" w:type="dxa"/>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反金融诈骗</w:t>
            </w:r>
          </w:p>
        </w:tc>
        <w:tc>
          <w:tcPr>
            <w:tcW w:w="1425" w:type="dxa"/>
            <w:tcBorders>
              <w:top w:val="nil"/>
              <w:left w:val="nil"/>
              <w:bottom w:val="single" w:color="auto"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r>
              <w:rPr>
                <w:rFonts w:hint="default" w:ascii="仿宋_GB2312" w:eastAsia="仿宋_GB2312" w:cs="仿宋_GB2312"/>
                <w:sz w:val="28"/>
                <w:szCs w:val="28"/>
                <w:bdr w:val="none" w:color="auto" w:sz="0" w:space="0"/>
              </w:rPr>
              <w:t>200分</w:t>
            </w:r>
          </w:p>
        </w:tc>
        <w:tc>
          <w:tcPr>
            <w:tcW w:w="120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（四）裁判员人数</w:t>
      </w:r>
    </w:p>
    <w:p>
      <w:pPr>
        <w:pStyle w:val="9"/>
        <w:keepNext w:val="0"/>
        <w:keepLines w:val="0"/>
        <w:widowControl/>
        <w:suppressLineNumbers w:val="0"/>
        <w:spacing w:before="75" w:beforeAutospacing="0" w:after="75" w:afterAutospacing="0" w:line="555" w:lineRule="atLeast"/>
        <w:ind w:left="0" w:right="0"/>
      </w:pPr>
      <w:r>
        <w:rPr>
          <w:rFonts w:hint="default" w:ascii="仿宋_GB2312" w:eastAsia="仿宋_GB2312" w:cs="仿宋_GB2312"/>
          <w:sz w:val="28"/>
          <w:szCs w:val="28"/>
        </w:rPr>
        <w:t>    大赛设裁判长1名，裁判员2-4名(裁判员人数根据参赛队伍数量调整）。</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（五）奖项设定</w:t>
      </w:r>
    </w:p>
    <w:p>
      <w:pPr>
        <w:pStyle w:val="9"/>
        <w:keepNext w:val="0"/>
        <w:keepLines w:val="0"/>
        <w:widowControl/>
        <w:suppressLineNumbers w:val="0"/>
        <w:spacing w:before="75" w:beforeAutospacing="0" w:after="75" w:afterAutospacing="0" w:line="555" w:lineRule="atLeast"/>
        <w:ind w:left="0" w:right="0"/>
      </w:pPr>
      <w:r>
        <w:rPr>
          <w:rFonts w:hint="default" w:ascii="仿宋_GB2312" w:eastAsia="仿宋_GB2312" w:cs="仿宋_GB2312"/>
          <w:sz w:val="28"/>
          <w:szCs w:val="28"/>
        </w:rPr>
        <w:t>（一）本赛项只设参赛团体奖；</w:t>
      </w:r>
    </w:p>
    <w:p>
      <w:pPr>
        <w:pStyle w:val="9"/>
        <w:keepNext w:val="0"/>
        <w:keepLines w:val="0"/>
        <w:widowControl/>
        <w:suppressLineNumbers w:val="0"/>
        <w:spacing w:before="75" w:beforeAutospacing="0" w:after="75" w:afterAutospacing="0" w:line="555" w:lineRule="atLeast"/>
        <w:ind w:left="0" w:right="0"/>
      </w:pPr>
      <w:r>
        <w:rPr>
          <w:rFonts w:hint="default" w:ascii="仿宋_GB2312" w:eastAsia="仿宋_GB2312" w:cs="仿宋_GB2312"/>
          <w:sz w:val="28"/>
          <w:szCs w:val="28"/>
        </w:rPr>
        <w:t>（二）以赛项实际参赛队总数为基数，团体奖一、二、三等奖获奖比例分别为10%、20%、30%（小数点后四舍五入）；</w:t>
      </w:r>
    </w:p>
    <w:p>
      <w:pPr>
        <w:pStyle w:val="9"/>
        <w:keepNext w:val="0"/>
        <w:keepLines w:val="0"/>
        <w:widowControl/>
        <w:suppressLineNumbers w:val="0"/>
        <w:spacing w:before="75" w:beforeAutospacing="0" w:after="75" w:afterAutospacing="0" w:line="555" w:lineRule="atLeast"/>
        <w:ind w:left="0" w:right="0"/>
      </w:pPr>
      <w:r>
        <w:rPr>
          <w:rFonts w:hint="default" w:ascii="仿宋_GB2312" w:eastAsia="仿宋_GB2312" w:cs="仿宋_GB2312"/>
          <w:sz w:val="28"/>
          <w:szCs w:val="28"/>
        </w:rPr>
        <w:t>（三）获团体奖的参赛队指导老师获得“优秀指导教师奖”。</w:t>
      </w:r>
    </w:p>
    <w:p>
      <w:pPr>
        <w:pStyle w:val="2"/>
        <w:keepNext w:val="0"/>
        <w:keepLines w:val="0"/>
        <w:widowControl/>
        <w:suppressLineNumbers w:val="0"/>
        <w:spacing w:before="150" w:beforeAutospacing="0" w:after="150" w:afterAutospacing="0" w:line="720" w:lineRule="atLeast"/>
      </w:pPr>
      <w:r>
        <w:rPr>
          <w:rStyle w:val="15"/>
          <w:rFonts w:hint="default" w:ascii="仿宋_GB2312" w:eastAsia="仿宋_GB2312" w:cs="仿宋_GB2312"/>
          <w:b/>
          <w:sz w:val="28"/>
          <w:szCs w:val="28"/>
        </w:rPr>
        <w:t>九、申诉与仲裁</w:t>
      </w:r>
    </w:p>
    <w:p>
      <w:pPr>
        <w:pStyle w:val="9"/>
        <w:keepNext w:val="0"/>
        <w:keepLines w:val="0"/>
        <w:widowControl/>
        <w:suppressLineNumbers w:val="0"/>
        <w:spacing w:before="75" w:beforeAutospacing="0" w:after="75" w:afterAutospacing="0"/>
        <w:ind w:left="0" w:right="0" w:firstLine="555"/>
      </w:pPr>
      <w:r>
        <w:rPr>
          <w:rFonts w:hint="default" w:ascii="仿宋_GB2312" w:eastAsia="仿宋_GB2312" w:cs="仿宋_GB2312"/>
          <w:sz w:val="28"/>
          <w:szCs w:val="28"/>
        </w:rPr>
        <w:t>1、申诉应在比赛结束后2小时内提出，超过时效不予受理。申诉时，应由参赛队领队向仲裁工作组递交书面申诉报告（见附件2），申诉报告须有申诉方参赛选手及领队签名。事实依据不充分、仅凭主观臆断的申诉不予受理。</w:t>
      </w:r>
    </w:p>
    <w:p>
      <w:pPr>
        <w:pStyle w:val="9"/>
        <w:keepNext w:val="0"/>
        <w:keepLines w:val="0"/>
        <w:widowControl/>
        <w:suppressLineNumbers w:val="0"/>
        <w:spacing w:before="75" w:beforeAutospacing="0" w:after="75" w:afterAutospacing="0"/>
        <w:ind w:left="0" w:right="0" w:firstLine="555"/>
      </w:pPr>
      <w:r>
        <w:rPr>
          <w:rFonts w:hint="default" w:ascii="仿宋_GB2312" w:eastAsia="仿宋_GB2312" w:cs="仿宋_GB2312"/>
          <w:sz w:val="28"/>
          <w:szCs w:val="28"/>
        </w:rPr>
        <w:t>2、仲裁工作组收到申诉报告后，应根据申诉事由进行审查，24小时内书面告知申诉处理结果。仲裁组的仲裁结论为最终结论。</w:t>
      </w:r>
    </w:p>
    <w:p>
      <w:pPr>
        <w:pStyle w:val="9"/>
        <w:keepNext w:val="0"/>
        <w:keepLines w:val="0"/>
        <w:widowControl/>
        <w:suppressLineNumbers w:val="0"/>
        <w:spacing w:before="75" w:beforeAutospacing="0" w:after="75" w:afterAutospacing="0"/>
        <w:ind w:left="0" w:right="0" w:firstLine="555"/>
      </w:pPr>
      <w:r>
        <w:rPr>
          <w:rFonts w:hint="default" w:ascii="仿宋_GB2312" w:eastAsia="仿宋_GB2312" w:cs="仿宋_GB2312"/>
          <w:sz w:val="28"/>
          <w:szCs w:val="28"/>
        </w:rPr>
        <w:t>3、申诉人不得无故拒不接受处理结果，不允许采取过激行为刁难、攻击相关人员，否则申诉无效。</w:t>
      </w:r>
    </w:p>
    <w:p>
      <w:pPr>
        <w:pStyle w:val="2"/>
        <w:keepNext w:val="0"/>
        <w:keepLines w:val="0"/>
        <w:widowControl/>
        <w:suppressLineNumbers w:val="0"/>
        <w:spacing w:before="150" w:beforeAutospacing="0" w:after="150" w:afterAutospacing="0" w:line="720" w:lineRule="atLeast"/>
      </w:pPr>
      <w:r>
        <w:rPr>
          <w:rStyle w:val="15"/>
          <w:rFonts w:hint="default" w:ascii="仿宋_GB2312" w:eastAsia="仿宋_GB2312" w:cs="仿宋_GB2312"/>
          <w:b/>
          <w:sz w:val="28"/>
          <w:szCs w:val="28"/>
        </w:rPr>
        <w:t>十、详细技术规范</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赛项竞赛内容符合国内金融机构业务技术规范，竞赛软件平台采用“智盛互联网金融虚拟运营创新创业竞赛平台软件V1.0”，符合相关行业技术标准、业务流程、业务规范设计。本赛项由深圳智盛信息技术股份有限公司提供完全技术支持服务。</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（一）B/S架构</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竞赛平台采用B/S结构，能支持远程应用，可通过局域网或互联网连接登录使用。由竞赛技术支持单位提供技术支持。</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（二）三层结构</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软件的设计包括数据库层、应用服务器层、操作层。系统扩展能力强，可以满足上百个小组或数千人同时竞赛。</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（三）数据库</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软件后台采用SQL Server 2008 R2专业数据库系统，数据安全性较高。</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（四）软件知识产权</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软件具有独立知识产权，拥有软件著作权证书。</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（五）场地要求</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1．竞赛现场适应竞赛选手规模需要，符合消防安全要求。场地采光、通风良好；</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2．竞赛场地分别为每个选手配备竞赛需要的物品；</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3．每位选手使用的设施设备适用性一致，保证竞赛的公平；</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4．需要局域网连接所有客户端电脑及服务器电脑；</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5．采用UPS防止现场因突然断电导致的系统数据丢失。</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（六）竞赛器材</w:t>
      </w:r>
    </w:p>
    <w:p>
      <w:pPr>
        <w:pStyle w:val="9"/>
        <w:keepNext w:val="0"/>
        <w:keepLines w:val="0"/>
        <w:widowControl/>
        <w:suppressLineNumbers w:val="0"/>
        <w:spacing w:before="75" w:beforeAutospacing="0" w:after="75" w:afterAutospacing="0"/>
        <w:ind w:left="0" w:right="0" w:firstLine="555"/>
      </w:pPr>
      <w:r>
        <w:rPr>
          <w:rFonts w:hint="default" w:ascii="仿宋_GB2312" w:eastAsia="仿宋_GB2312" w:cs="仿宋_GB2312"/>
          <w:sz w:val="28"/>
          <w:szCs w:val="28"/>
        </w:rPr>
        <w:t>竞赛所需器材包括服务器2台，计算机200台、电脑桌等。</w:t>
      </w:r>
    </w:p>
    <w:p>
      <w:pPr>
        <w:pStyle w:val="2"/>
        <w:keepNext w:val="0"/>
        <w:keepLines w:val="0"/>
        <w:widowControl/>
        <w:suppressLineNumbers w:val="0"/>
        <w:spacing w:before="150" w:beforeAutospacing="0" w:after="150" w:afterAutospacing="0" w:line="720" w:lineRule="atLeast"/>
      </w:pPr>
      <w:r>
        <w:rPr>
          <w:rStyle w:val="15"/>
          <w:rFonts w:hint="default" w:ascii="仿宋_GB2312" w:eastAsia="仿宋_GB2312" w:cs="仿宋_GB2312"/>
          <w:b/>
          <w:sz w:val="28"/>
          <w:szCs w:val="28"/>
        </w:rPr>
        <w:t>十一、竞赛须知</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（一）参赛队须知</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1.参赛队名称统一使用各学校代表队名称，不接受跨学校组队报名；</w:t>
      </w:r>
    </w:p>
    <w:p>
      <w:pPr>
        <w:pStyle w:val="9"/>
        <w:keepNext w:val="0"/>
        <w:keepLines w:val="0"/>
        <w:widowControl/>
        <w:suppressLineNumbers w:val="0"/>
        <w:spacing w:before="75" w:beforeAutospacing="0" w:after="75" w:afterAutospacing="0"/>
        <w:ind w:left="0" w:right="0" w:firstLine="555"/>
      </w:pPr>
      <w:r>
        <w:rPr>
          <w:rFonts w:hint="default" w:ascii="仿宋_GB2312" w:eastAsia="仿宋_GB2312" w:cs="仿宋_GB2312"/>
          <w:sz w:val="28"/>
          <w:szCs w:val="28"/>
        </w:rPr>
        <w:t>2.参赛选手和指导教师正式报名获得确认后不得随意更换。因参赛队伍自身原因导致无法参赛或无法继续比赛，视为弃赛；</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3.参赛队按照赛程安排，凭赛项组委会颁发的证件参加竞赛及相关活动；</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4.参赛队须为参赛师生购买人身意外保险和医疗保险，参赛期间发生意外风险由各参赛队自行承担。</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（二）领队、指导教师须知</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1.领队、指导教师须认真阅读《2018年全国职业院校技能大赛制度汇编》领会相关文件精神，对竞赛选手进行专业指导和心理疏导；</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2.领队、指导教师及参赛选手须严格遵守赛场纪律，服从裁判，文明竞赛；</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3.竞赛期间，指导教师不得进入备赛室或赛场内进行指导；</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4.竞赛期间各参赛队不得以任何形式向裁判透露参赛信息或沟通竞赛事宜，有关竞赛所有问题须由领队按规范要求向赛项组委会或仲裁组反映。</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（三）参赛选手须知</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1.参赛选手需在报到时提供学生证及身份证；</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2.参赛选手凭参赛证进入竞赛场地，竞赛期间应始终佩戴参赛证以备检查；</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3.参赛选手不允许携带任何纸质资料、通讯工具、电子设备和移动存储设备进入竞赛场地；</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4.参赛选手在备赛室和赛场内须服从工作人员调度，遵守赛场纪律，不得擅自离开指定区域；</w:t>
      </w:r>
    </w:p>
    <w:p>
      <w:pPr>
        <w:pStyle w:val="9"/>
        <w:keepNext w:val="0"/>
        <w:keepLines w:val="0"/>
        <w:widowControl/>
        <w:suppressLineNumbers w:val="0"/>
        <w:spacing w:before="75" w:beforeAutospacing="0" w:after="75" w:afterAutospacing="0"/>
        <w:ind w:left="0" w:right="0" w:firstLine="555"/>
      </w:pPr>
      <w:r>
        <w:rPr>
          <w:rFonts w:hint="default" w:ascii="仿宋_GB2312" w:eastAsia="仿宋_GB2312" w:cs="仿宋_GB2312"/>
          <w:sz w:val="28"/>
          <w:szCs w:val="28"/>
        </w:rPr>
        <w:t>5.在竞赛过程中，如有疑问，参赛选手应举手示意，裁判人员应予以解答，但选手不得对业务技能相关知识和操作询问裁判人员。确因计算机软件或硬件及竞赛用具故障，致使操作无法继续的，经裁判人员确认同意后，予以启用备用设备；</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6.每一项竞赛环节，未经裁判员许可，参赛选手不得中途离场；</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7.参赛选手每环节竞赛结束，离开赛场时不得带走赛场任何物品；</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8.参赛选手在竞赛期间未经赛项组委会批准，不得随意接受任何单位或个人进行的与竞赛相关的采访，不得私自公开竞赛的相关情况和资料。</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（四）工作人员须知</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1.大赛期间，工作人员须佩戴组委会核发的证件进入赛场，并遵守赛场相关规定。新闻媒体等进入赛场必须经组委会允许，由专人陪同并且听从现场工作人员的安排和管理，不能影响比赛进行；</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2.在选手比赛时，工作人员及赛场所有人员必须保持安静，不得随意走动、喧哗、提示或出现对选手有影响的动作。除经特别允许，工作人员进入赛场后请关闭手机；</w:t>
      </w:r>
    </w:p>
    <w:p>
      <w:pPr>
        <w:pStyle w:val="9"/>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3.比赛期间，由赛项组委会负责处理突发事件，由仲裁组人员处理申诉事项。</w:t>
      </w:r>
    </w:p>
    <w:p>
      <w:pPr>
        <w:pStyle w:val="2"/>
        <w:keepNext w:val="0"/>
        <w:keepLines w:val="0"/>
        <w:widowControl/>
        <w:suppressLineNumbers w:val="0"/>
        <w:spacing w:before="150" w:beforeAutospacing="0" w:after="150" w:afterAutospacing="0" w:line="720" w:lineRule="atLeast"/>
      </w:pPr>
      <w:r>
        <w:rPr>
          <w:rStyle w:val="15"/>
          <w:rFonts w:hint="default" w:ascii="仿宋_GB2312" w:eastAsia="仿宋_GB2312" w:cs="仿宋_GB2312"/>
          <w:b/>
          <w:sz w:val="28"/>
          <w:szCs w:val="28"/>
        </w:rPr>
        <w:t>十二、赛项安全</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为了确保安全，本赛项将采取如下措施： </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（一）责任到人</w:t>
      </w:r>
      <w:r>
        <w:rPr>
          <w:rStyle w:val="15"/>
          <w:rFonts w:ascii="Calibri" w:hAnsi="Calibri" w:cs="Calibri"/>
          <w:b/>
          <w:sz w:val="28"/>
          <w:szCs w:val="28"/>
        </w:rPr>
        <w:t> </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1.成立安全保障工作组，组长由赛项执委会负责人担任；</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2.每个赛场指定一名安全责任人。 </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（二）确保工作人员安全</w:t>
      </w:r>
      <w:r>
        <w:rPr>
          <w:rStyle w:val="15"/>
          <w:rFonts w:hint="default" w:ascii="Calibri" w:hAnsi="Calibri" w:cs="Calibri"/>
          <w:b/>
          <w:sz w:val="28"/>
          <w:szCs w:val="28"/>
        </w:rPr>
        <w:t> </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1.指定专业技术人员从事有关赛场的技术工作；</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2.对工作人员进行安全教育，督促其加强安全意识，按照规范作业。 </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（三）确保参赛人员安全</w:t>
      </w:r>
      <w:r>
        <w:rPr>
          <w:rStyle w:val="15"/>
          <w:rFonts w:hint="default" w:ascii="Calibri" w:hAnsi="Calibri" w:cs="Calibri"/>
          <w:b/>
          <w:sz w:val="28"/>
          <w:szCs w:val="28"/>
        </w:rPr>
        <w:t> </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1.在赛前准备会上，向所有参赛人员宣读安全须知；</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2.裁判和工作人员在现场监督选手，确保其正确作业，避免危险。 </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（四）确保设备安全</w:t>
      </w:r>
      <w:r>
        <w:rPr>
          <w:rStyle w:val="15"/>
          <w:rFonts w:hint="default" w:ascii="Calibri" w:hAnsi="Calibri" w:cs="Calibri"/>
          <w:b/>
          <w:sz w:val="28"/>
          <w:szCs w:val="28"/>
        </w:rPr>
        <w:t> </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1.所有与竞赛有关的设备、设施，在赛前要按照有关规定进行检查，确保其正常运行；</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2.现场安排技术人员，一旦发现设备问题及时处理。 </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（五）确保医疗卫生安全</w:t>
      </w:r>
      <w:r>
        <w:rPr>
          <w:rStyle w:val="15"/>
          <w:rFonts w:hint="default" w:ascii="Calibri" w:hAnsi="Calibri" w:cs="Calibri"/>
          <w:b/>
          <w:sz w:val="28"/>
          <w:szCs w:val="28"/>
        </w:rPr>
        <w:t> </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1.所有工作人员、选手、教师，可入住推荐宾馆或自行安排，相关安全由所住宾馆负责；</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2.赛场安排校医值班，及时处理可能发生的医疗需求。 </w:t>
      </w:r>
    </w:p>
    <w:p>
      <w:pPr>
        <w:pStyle w:val="2"/>
        <w:keepNext w:val="0"/>
        <w:keepLines w:val="0"/>
        <w:widowControl/>
        <w:suppressLineNumbers w:val="0"/>
        <w:spacing w:before="0" w:beforeAutospacing="0" w:after="0" w:afterAutospacing="0" w:line="720" w:lineRule="atLeast"/>
        <w:ind w:left="0" w:firstLine="570"/>
      </w:pPr>
      <w:r>
        <w:rPr>
          <w:rStyle w:val="15"/>
          <w:rFonts w:hint="default" w:ascii="仿宋_GB2312" w:eastAsia="仿宋_GB2312" w:cs="仿宋_GB2312"/>
          <w:b/>
          <w:sz w:val="28"/>
          <w:szCs w:val="28"/>
        </w:rPr>
        <w:t>（六）消防安全 </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1.在竞赛指南内，写入消防安全内容，向所有相关人员强调消防安全的重要性；</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2.在赛场和工作场所，预留消防通道；</w:t>
      </w:r>
    </w:p>
    <w:p>
      <w:pPr>
        <w:pStyle w:val="9"/>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3.为消防通道做好明显标记；</w:t>
      </w:r>
    </w:p>
    <w:p>
      <w:pPr>
        <w:pStyle w:val="9"/>
        <w:keepNext w:val="0"/>
        <w:keepLines w:val="0"/>
        <w:widowControl/>
        <w:suppressLineNumbers w:val="0"/>
        <w:spacing w:before="75" w:beforeAutospacing="0" w:after="75" w:afterAutospacing="0"/>
        <w:ind w:left="0" w:right="0"/>
      </w:pPr>
      <w:r>
        <w:rPr>
          <w:rFonts w:hint="default" w:ascii="仿宋_GB2312" w:eastAsia="仿宋_GB2312" w:cs="仿宋_GB2312"/>
          <w:sz w:val="28"/>
          <w:szCs w:val="28"/>
        </w:rPr>
        <w:t>    4.确保消防通道畅通。</w:t>
      </w:r>
    </w:p>
    <w:p>
      <w:pPr>
        <w:pStyle w:val="9"/>
        <w:keepNext w:val="0"/>
        <w:keepLines w:val="0"/>
        <w:widowControl/>
        <w:suppressLineNumbers w:val="0"/>
        <w:spacing w:before="75" w:beforeAutospacing="0" w:after="75" w:afterAutospacing="0"/>
        <w:ind w:left="0" w:right="0" w:firstLine="555"/>
      </w:pPr>
      <w:r>
        <w:rPr>
          <w:rFonts w:hint="default" w:ascii="仿宋_GB2312" w:eastAsia="仿宋_GB2312" w:cs="仿宋_GB2312"/>
          <w:sz w:val="28"/>
          <w:szCs w:val="28"/>
        </w:rPr>
        <w:t> </w:t>
      </w:r>
    </w:p>
    <w:p>
      <w:pPr>
        <w:pStyle w:val="9"/>
        <w:keepNext w:val="0"/>
        <w:keepLines w:val="0"/>
        <w:widowControl/>
        <w:suppressLineNumbers w:val="0"/>
        <w:spacing w:before="75" w:beforeAutospacing="0" w:after="75" w:afterAutospacing="0"/>
        <w:ind w:left="0" w:right="0" w:firstLine="555"/>
      </w:pPr>
      <w:r>
        <w:rPr>
          <w:rFonts w:hint="default" w:ascii="仿宋_GB2312" w:eastAsia="仿宋_GB2312" w:cs="仿宋_GB2312"/>
          <w:sz w:val="28"/>
          <w:szCs w:val="28"/>
        </w:rPr>
        <w:t> </w:t>
      </w:r>
    </w:p>
    <w:p>
      <w:pPr>
        <w:pStyle w:val="9"/>
        <w:keepNext w:val="0"/>
        <w:keepLines w:val="0"/>
        <w:widowControl/>
        <w:suppressLineNumbers w:val="0"/>
        <w:spacing w:before="75" w:beforeAutospacing="0" w:after="75" w:afterAutospacing="0"/>
        <w:ind w:left="0" w:right="0" w:firstLine="555"/>
      </w:pPr>
      <w:r>
        <w:rPr>
          <w:rFonts w:hint="default" w:ascii="仿宋_GB2312" w:eastAsia="仿宋_GB2312" w:cs="仿宋_GB2312"/>
          <w:sz w:val="28"/>
          <w:szCs w:val="28"/>
        </w:rPr>
        <w:t> </w:t>
      </w:r>
    </w:p>
    <w:p>
      <w:pPr>
        <w:pStyle w:val="9"/>
        <w:keepNext w:val="0"/>
        <w:keepLines w:val="0"/>
        <w:widowControl/>
        <w:suppressLineNumbers w:val="0"/>
        <w:spacing w:before="75" w:beforeAutospacing="0" w:after="75" w:afterAutospacing="0" w:line="360" w:lineRule="atLeast"/>
        <w:ind w:left="0" w:right="0"/>
        <w:jc w:val="right"/>
      </w:pPr>
      <w:r>
        <w:rPr>
          <w:rFonts w:hint="default" w:ascii="仿宋_GB2312" w:eastAsia="仿宋_GB2312" w:cs="仿宋_GB2312"/>
          <w:sz w:val="28"/>
          <w:szCs w:val="28"/>
        </w:rPr>
        <w:t>   河北省财经职教集团</w:t>
      </w:r>
    </w:p>
    <w:p>
      <w:pPr>
        <w:pStyle w:val="9"/>
        <w:keepNext w:val="0"/>
        <w:keepLines w:val="0"/>
        <w:widowControl/>
        <w:suppressLineNumbers w:val="0"/>
        <w:spacing w:before="75" w:beforeAutospacing="0" w:after="75" w:afterAutospacing="0" w:line="360" w:lineRule="atLeast"/>
        <w:ind w:left="0" w:right="0"/>
        <w:jc w:val="right"/>
      </w:pPr>
      <w:r>
        <w:rPr>
          <w:rFonts w:hint="default" w:ascii="仿宋_GB2312" w:eastAsia="仿宋_GB2312" w:cs="仿宋_GB2312"/>
          <w:sz w:val="28"/>
          <w:szCs w:val="28"/>
        </w:rPr>
        <w:t>                      河北省2020年职业院校学生技能大赛（高职）                                            金融科技运营技能比赛竞赛执委会</w:t>
      </w:r>
    </w:p>
    <w:p>
      <w:pPr>
        <w:pStyle w:val="9"/>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0" w:beforeAutospacing="0" w:after="0" w:afterAutospacing="0" w:line="720" w:lineRule="atLeast"/>
      </w:pPr>
      <w:r>
        <w:rPr>
          <w:rStyle w:val="15"/>
          <w:rFonts w:hint="default" w:ascii="仿宋_GB2312" w:eastAsia="仿宋_GB2312" w:cs="仿宋_GB2312"/>
          <w:b/>
          <w:sz w:val="28"/>
          <w:szCs w:val="28"/>
        </w:rPr>
        <w:t>十三、附件（人工扣分表和仲裁申诉表）</w:t>
      </w:r>
    </w:p>
    <w:p>
      <w:pPr>
        <w:pStyle w:val="9"/>
        <w:keepNext w:val="0"/>
        <w:keepLines w:val="0"/>
        <w:widowControl/>
        <w:suppressLineNumbers w:val="0"/>
        <w:spacing w:before="75" w:beforeAutospacing="0" w:after="75" w:afterAutospacing="0" w:line="360" w:lineRule="atLeast"/>
        <w:ind w:left="0" w:right="0"/>
      </w:pPr>
      <w:r>
        <w:rPr>
          <w:rFonts w:hint="default" w:ascii="仿宋_GB2312" w:eastAsia="仿宋_GB2312" w:cs="仿宋_GB2312"/>
          <w:sz w:val="28"/>
          <w:szCs w:val="28"/>
        </w:rPr>
        <w:t>附件1：人工扣分表</w:t>
      </w:r>
    </w:p>
    <w:tbl>
      <w:tblPr>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35" w:hRule="atLeast"/>
        </w:trPr>
        <w:tc>
          <w:tcPr>
            <w:tcW w:w="90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eastAsia="仿宋_GB2312" w:cs="仿宋_GB2312"/>
                <w:sz w:val="28"/>
                <w:szCs w:val="28"/>
                <w:bdr w:val="none" w:color="auto" w:sz="0" w:space="0"/>
              </w:rPr>
              <w:t>代表队编号：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rPr>
        <w:tc>
          <w:tcPr>
            <w:tcW w:w="90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eastAsia="仿宋_GB2312" w:cs="仿宋_GB2312"/>
                <w:sz w:val="28"/>
                <w:szCs w:val="28"/>
                <w:bdr w:val="none" w:color="auto" w:sz="0" w:space="0"/>
              </w:rPr>
              <w:t>金融科技运营能力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025" w:hRule="atLeast"/>
        </w:trPr>
        <w:tc>
          <w:tcPr>
            <w:tcW w:w="90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default" w:ascii="仿宋_GB2312" w:eastAsia="仿宋_GB2312" w:cs="仿宋_GB2312"/>
                <w:sz w:val="28"/>
                <w:szCs w:val="28"/>
                <w:bdr w:val="none" w:color="auto" w:sz="0" w:space="0"/>
              </w:rPr>
              <w:t>第三方支付模块：合格扣分；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default" w:ascii="仿宋_GB2312" w:eastAsia="仿宋_GB2312" w:cs="仿宋_GB2312"/>
                <w:sz w:val="28"/>
                <w:szCs w:val="28"/>
                <w:bdr w:val="none" w:color="auto" w:sz="0" w:space="0"/>
              </w:rPr>
              <w:t>互联网征信模块：合格扣分；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default" w:ascii="仿宋_GB2312" w:eastAsia="仿宋_GB2312" w:cs="仿宋_GB2312"/>
                <w:sz w:val="28"/>
                <w:szCs w:val="28"/>
                <w:bdr w:val="none" w:color="auto" w:sz="0" w:space="0"/>
              </w:rPr>
              <w:t>P2P网络借贷模块：合格扣分；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default" w:ascii="仿宋_GB2312" w:eastAsia="仿宋_GB2312" w:cs="仿宋_GB2312"/>
                <w:sz w:val="28"/>
                <w:szCs w:val="28"/>
                <w:bdr w:val="none" w:color="auto" w:sz="0" w:space="0"/>
              </w:rPr>
              <w:t>互联网征信模块：合格扣分；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default" w:ascii="仿宋_GB2312" w:eastAsia="仿宋_GB2312" w:cs="仿宋_GB2312"/>
                <w:sz w:val="28"/>
                <w:szCs w:val="28"/>
                <w:bdr w:val="none" w:color="auto" w:sz="0" w:space="0"/>
              </w:rPr>
              <w:t>众筹融资模块：合格扣分；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default" w:ascii="仿宋_GB2312" w:eastAsia="仿宋_GB2312" w:cs="仿宋_GB2312"/>
                <w:sz w:val="28"/>
                <w:szCs w:val="28"/>
                <w:bdr w:val="none" w:color="auto" w:sz="0" w:space="0"/>
              </w:rPr>
              <w:t>互联网银行模块：合格扣分；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default" w:ascii="仿宋_GB2312" w:eastAsia="仿宋_GB2312" w:cs="仿宋_GB2312"/>
                <w:sz w:val="28"/>
                <w:szCs w:val="28"/>
                <w:bdr w:val="none" w:color="auto" w:sz="0" w:space="0"/>
              </w:rPr>
              <w:t>互联网消费金融：合格扣分；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default" w:ascii="仿宋_GB2312" w:eastAsia="仿宋_GB2312" w:cs="仿宋_GB2312"/>
                <w:sz w:val="28"/>
                <w:szCs w:val="28"/>
                <w:bdr w:val="none" w:color="auto" w:sz="0" w:space="0"/>
              </w:rPr>
              <w:t>互联网保险：合格扣分；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default" w:ascii="仿宋_GB2312" w:eastAsia="仿宋_GB2312" w:cs="仿宋_GB2312"/>
                <w:sz w:val="28"/>
                <w:szCs w:val="28"/>
                <w:bdr w:val="none" w:color="auto" w:sz="0" w:space="0"/>
              </w:rPr>
              <w:t>大数据金融：合格扣分；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default" w:ascii="仿宋_GB2312" w:eastAsia="仿宋_GB2312" w:cs="仿宋_GB2312"/>
                <w:sz w:val="28"/>
                <w:szCs w:val="28"/>
                <w:bdr w:val="none" w:color="auto" w:sz="0" w:space="0"/>
              </w:rPr>
              <w:t>金融系统性风险仿真：合格扣分；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default" w:ascii="仿宋_GB2312" w:eastAsia="仿宋_GB2312" w:cs="仿宋_GB2312"/>
                <w:sz w:val="28"/>
                <w:szCs w:val="28"/>
                <w:bdr w:val="none" w:color="auto" w:sz="0" w:space="0"/>
              </w:rPr>
              <w:t>反金融诈骗：合格扣分；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default" w:ascii="仿宋_GB2312" w:eastAsia="仿宋_GB2312" w:cs="仿宋_GB2312"/>
                <w:sz w:val="28"/>
                <w:szCs w:val="28"/>
                <w:bdr w:val="none" w:color="auto" w:sz="0" w:space="0"/>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95"/>
            </w:pPr>
            <w:r>
              <w:rPr>
                <w:rFonts w:hint="default" w:ascii="仿宋_GB2312" w:eastAsia="仿宋_GB2312" w:cs="仿宋_GB2312"/>
                <w:sz w:val="28"/>
                <w:szCs w:val="28"/>
                <w:bdr w:val="none" w:color="auto" w:sz="0" w:space="0"/>
              </w:rPr>
              <w:t>总计：扣分。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80" w:hRule="atLeast"/>
        </w:trPr>
        <w:tc>
          <w:tcPr>
            <w:tcW w:w="90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eastAsia="仿宋_GB2312" w:cs="仿宋_GB2312"/>
                <w:sz w:val="28"/>
                <w:szCs w:val="28"/>
                <w:bdr w:val="none" w:color="auto" w:sz="0" w:space="0"/>
              </w:rPr>
              <w:t>说明：详见扣分表明细，单项总扣分分值不应超过所得分值。</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eastAsia="仿宋_GB2312" w:cs="仿宋_GB2312"/>
                <w:sz w:val="28"/>
                <w:szCs w:val="28"/>
                <w:bdr w:val="none" w:color="auto" w:sz="0" w:space="0"/>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eastAsia="仿宋_GB2312" w:cs="仿宋_GB2312"/>
                <w:sz w:val="28"/>
                <w:szCs w:val="28"/>
                <w:bdr w:val="none" w:color="auto" w:sz="0" w:space="0"/>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eastAsia="仿宋_GB2312" w:cs="仿宋_GB2312"/>
                <w:sz w:val="28"/>
                <w:szCs w:val="28"/>
                <w:bdr w:val="none" w:color="auto" w:sz="0" w:space="0"/>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default" w:ascii="仿宋_GB2312" w:eastAsia="仿宋_GB2312" w:cs="仿宋_GB2312"/>
                <w:sz w:val="28"/>
                <w:szCs w:val="28"/>
                <w:bdr w:val="none" w:color="auto" w:sz="0" w:space="0"/>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0"/>
            </w:pPr>
            <w:r>
              <w:rPr>
                <w:rFonts w:hint="default" w:ascii="仿宋_GB2312" w:eastAsia="仿宋_GB2312" w:cs="仿宋_GB2312"/>
                <w:sz w:val="28"/>
                <w:szCs w:val="28"/>
                <w:bdr w:val="none" w:color="auto" w:sz="0" w:space="0"/>
              </w:rPr>
              <w:t>现场裁判签名：</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0"/>
            </w:pPr>
            <w:r>
              <w:rPr>
                <w:rFonts w:hint="default" w:ascii="仿宋_GB2312" w:eastAsia="仿宋_GB2312" w:cs="仿宋_GB2312"/>
                <w:sz w:val="28"/>
                <w:szCs w:val="28"/>
                <w:bdr w:val="none" w:color="auto" w:sz="0" w:space="0"/>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485"/>
            </w:pPr>
            <w:r>
              <w:rPr>
                <w:rFonts w:hint="default" w:ascii="仿宋_GB2312" w:eastAsia="仿宋_GB2312" w:cs="仿宋_GB2312"/>
                <w:sz w:val="28"/>
                <w:szCs w:val="28"/>
                <w:bdr w:val="none" w:color="auto" w:sz="0" w:space="0"/>
              </w:rPr>
              <w:t>裁判长签名：</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pPr>
            <w:r>
              <w:rPr>
                <w:rFonts w:hint="default" w:ascii="仿宋_GB2312" w:eastAsia="仿宋_GB2312" w:cs="仿宋_GB2312"/>
                <w:sz w:val="28"/>
                <w:szCs w:val="28"/>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5" w:hRule="atLeast"/>
        </w:trPr>
        <w:tc>
          <w:tcPr>
            <w:tcW w:w="90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8"/>
                <w:szCs w:val="28"/>
                <w:bdr w:val="none" w:color="auto" w:sz="0" w:space="0"/>
              </w:rPr>
              <w:t>扣分表明细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555" w:hRule="atLeast"/>
        </w:trPr>
        <w:tc>
          <w:tcPr>
            <w:tcW w:w="90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pPr>
            <w:r>
              <w:rPr>
                <w:rStyle w:val="15"/>
                <w:rFonts w:hint="default" w:ascii="仿宋_GB2312" w:eastAsia="仿宋_GB2312" w:cs="仿宋_GB2312"/>
                <w:sz w:val="24"/>
                <w:szCs w:val="24"/>
                <w:bdr w:val="none" w:color="auto" w:sz="0" w:space="0"/>
              </w:rPr>
              <w:t>例：第三方支付</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序号评分项目评分标准扣分范围实际扣分1公司注册公司名称、注册资本金、经营范围应该规范填写并尊重客观事实。0-10 2个人用户注册姓名、身份证号码、地址、手机号码应当按规范填写。0-10 3商家用户注册商家注册、个人信息、营业信息应当按规范填写。0-10 4金额充值金额、提现金额等应当设置合理并符合实际情况。0-10 5客户中心客服与用户之间的交流必须跟业务有关。0-10 合计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pPr>
            <w:r>
              <w:rPr>
                <w:rStyle w:val="15"/>
                <w:rFonts w:hint="default" w:ascii="仿宋_GB2312" w:eastAsia="仿宋_GB2312" w:cs="仿宋_GB2312"/>
                <w:sz w:val="24"/>
                <w:szCs w:val="24"/>
                <w:bdr w:val="none" w:color="auto" w:sz="0" w:space="0"/>
              </w:rPr>
              <w:t>例：互联网征信</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序号评分项目评分标准扣分范围实际扣分1公司名称一般由四部分一次组成，行政区划+字号+行业特点+组织形式。0-10 2经营范围一般包括，个人征信服务、法律信息咨询、资产管理、商务咨询、知识产权代理、市场信息咨询与调查。应按客观事实来填写。0-10 3数据采集基本情况、信用卡、购房贷款、其他贷款、担保情况、欠税记录、民事判决记录、强制执行记录、行政处罚记录、电信欠费记录、其他欠费记录应当填写规范，遵循现实的规律。0-30 4用户注册姓名、身份证号码、手机号码、电子邮箱应当按规范填写。0-5 5客户中心客服与用户之间的交流必须跟业务有关。0-5 合计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pPr>
            <w:r>
              <w:rPr>
                <w:rStyle w:val="15"/>
                <w:rFonts w:hint="default" w:ascii="仿宋_GB2312" w:eastAsia="仿宋_GB2312" w:cs="仿宋_GB2312"/>
                <w:sz w:val="24"/>
                <w:szCs w:val="24"/>
                <w:bdr w:val="none" w:color="auto" w:sz="0" w:space="0"/>
              </w:rPr>
              <w:t>例：P2P网贷</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序号评分项目评分标准扣分范围实际扣分1公司名称一般由四部分依次组成，行政区划＋字号＋行业特点＋组织形式。如：深圳市智小盛网络借贷有限公司。0-10 2经营范围咨询类的经营范围。例如网上从事融资信息咨询、经济信息咨询、投资管理及咨询、财务信息咨询、投资信息咨询等。0-5 3办公地址地址包括写字楼、商铺、经济园区、开发区。规范如：××省××市××区××路(街)××号××房间。0-5 4借款人/投资人注册姓名、身份证号、手机号码、联系地址应按规范填写。0-10 5借款资料包括姓名、身份证号、年龄、手机号码、贷款金额、个人描述等基本信息的输入应按规范填写。0-10 6金额投资金额应合理，利率应符合实际情况。0-10 7客户中心客服与用户之间的交流必须跟业务有关。0-5 合计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pPr>
            <w:r>
              <w:rPr>
                <w:rStyle w:val="15"/>
                <w:rFonts w:hint="default" w:ascii="仿宋_GB2312" w:eastAsia="仿宋_GB2312" w:cs="仿宋_GB2312"/>
                <w:sz w:val="24"/>
                <w:szCs w:val="24"/>
                <w:bdr w:val="none" w:color="auto" w:sz="0" w:space="0"/>
              </w:rPr>
              <w:t>例：众筹</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序号评分项目评分标准扣分范围实际扣分1公司注册公司名称、注册资本金、座机号码、办公地址、经营范围应该规范填写并尊重客观事实。0-10 2众筹发起人/投资人注册姓名、身份证号码、公司名称、统一社会信用代码、联系电话应当按规范填写。0-20 3奖励（公益）众筹项目基本信息、项目信息、详情信息、回报信息应当合理，遵循现实规律，形成一个完整并可靠的项目。0-20 4股权众筹项目基本资料、商业模式、创业团队、历史情况、未来展望应当合理，遵循现实规律，形成一个完整并可靠的项目。0-20 5评论与动态发出的评论与动态应该与项目有关，表达清晰，有条理。0-5 6领头资格申请个人简历应该清楚完整合理，表达清晰。0-5 7金额充值提现金额、投资金额、融资金额等应当设置合理并符合实际情况。0-10 8客户中心客服与用户之间的交流必须跟业务有关。0-10 合计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eastAsia="仿宋_GB2312" w:cs="仿宋_GB2312"/>
                <w:sz w:val="24"/>
                <w:szCs w:val="24"/>
                <w:bdr w:val="none" w:color="auto" w:sz="0" w:space="0"/>
              </w:rPr>
              <w:t> </w:t>
            </w:r>
          </w:p>
        </w:tc>
      </w:tr>
    </w:tbl>
    <w:p>
      <w:pPr>
        <w:pStyle w:val="9"/>
        <w:keepNext w:val="0"/>
        <w:keepLines w:val="0"/>
        <w:widowControl/>
        <w:suppressLineNumbers w:val="0"/>
        <w:spacing w:before="75" w:beforeAutospacing="0" w:after="75" w:afterAutospacing="0" w:line="360" w:lineRule="atLeast"/>
        <w:ind w:left="0" w:right="0"/>
      </w:pPr>
      <w:r>
        <w:rPr>
          <w:rFonts w:hint="default" w:ascii="仿宋_GB2312" w:eastAsia="仿宋_GB2312" w:cs="仿宋_GB2312"/>
          <w:sz w:val="30"/>
          <w:szCs w:val="30"/>
        </w:rPr>
        <w:t> </w:t>
      </w:r>
    </w:p>
    <w:p>
      <w:pPr>
        <w:pStyle w:val="9"/>
        <w:keepNext w:val="0"/>
        <w:keepLines w:val="0"/>
        <w:widowControl/>
        <w:suppressLineNumbers w:val="0"/>
        <w:spacing w:before="75" w:beforeAutospacing="0" w:after="75" w:afterAutospacing="0" w:line="360" w:lineRule="atLeast"/>
        <w:ind w:left="0" w:right="0"/>
      </w:pPr>
      <w:r>
        <w:rPr>
          <w:rFonts w:hint="default" w:ascii="仿宋_GB2312" w:eastAsia="仿宋_GB2312" w:cs="仿宋_GB2312"/>
          <w:sz w:val="30"/>
          <w:szCs w:val="30"/>
        </w:rPr>
        <w:t> </w:t>
      </w:r>
    </w:p>
    <w:p>
      <w:pPr>
        <w:pStyle w:val="9"/>
        <w:keepNext w:val="0"/>
        <w:keepLines w:val="0"/>
        <w:widowControl/>
        <w:suppressLineNumbers w:val="0"/>
        <w:spacing w:before="75" w:beforeAutospacing="0" w:after="75" w:afterAutospacing="0" w:line="360" w:lineRule="atLeast"/>
        <w:ind w:left="0" w:right="0"/>
      </w:pPr>
      <w:r>
        <w:rPr>
          <w:rFonts w:hint="default" w:ascii="仿宋_GB2312" w:eastAsia="仿宋_GB2312" w:cs="仿宋_GB2312"/>
          <w:sz w:val="30"/>
          <w:szCs w:val="30"/>
        </w:rPr>
        <w:t> </w:t>
      </w:r>
    </w:p>
    <w:p>
      <w:pPr>
        <w:pStyle w:val="9"/>
        <w:keepNext w:val="0"/>
        <w:keepLines w:val="0"/>
        <w:widowControl/>
        <w:suppressLineNumbers w:val="0"/>
        <w:spacing w:before="75" w:beforeAutospacing="0" w:after="75" w:afterAutospacing="0" w:line="360" w:lineRule="atLeast"/>
        <w:ind w:left="0" w:right="0"/>
      </w:pPr>
      <w:r>
        <w:rPr>
          <w:rFonts w:hint="default" w:ascii="仿宋_GB2312" w:eastAsia="仿宋_GB2312" w:cs="仿宋_GB2312"/>
          <w:sz w:val="30"/>
          <w:szCs w:val="30"/>
        </w:rPr>
        <w:t> </w:t>
      </w:r>
    </w:p>
    <w:p>
      <w:pPr>
        <w:pStyle w:val="9"/>
        <w:keepNext w:val="0"/>
        <w:keepLines w:val="0"/>
        <w:widowControl/>
        <w:suppressLineNumbers w:val="0"/>
        <w:spacing w:before="75" w:beforeAutospacing="0" w:after="75" w:afterAutospacing="0"/>
        <w:ind w:left="0" w:right="0"/>
      </w:pPr>
    </w:p>
    <w:p>
      <w:pPr>
        <w:pStyle w:val="9"/>
        <w:keepNext w:val="0"/>
        <w:keepLines w:val="0"/>
        <w:widowControl/>
        <w:suppressLineNumbers w:val="0"/>
        <w:spacing w:before="75" w:beforeAutospacing="0" w:after="75" w:afterAutospacing="0" w:line="360" w:lineRule="atLeast"/>
        <w:ind w:left="0" w:right="0"/>
      </w:pPr>
      <w:r>
        <w:rPr>
          <w:rFonts w:hint="default" w:ascii="仿宋_GB2312" w:eastAsia="仿宋_GB2312" w:cs="仿宋_GB2312"/>
          <w:sz w:val="28"/>
          <w:szCs w:val="28"/>
        </w:rPr>
        <w:t>附件2：申诉仲裁表</w:t>
      </w:r>
    </w:p>
    <w:tbl>
      <w:tblPr>
        <w:tblW w:w="8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30"/>
        <w:gridCol w:w="2040"/>
        <w:gridCol w:w="1725"/>
        <w:gridCol w:w="45"/>
        <w:gridCol w:w="1215"/>
        <w:gridCol w:w="3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rPr>
        <w:tc>
          <w:tcPr>
            <w:tcW w:w="8820" w:type="dxa"/>
            <w:gridSpan w:val="6"/>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jc w:val="center"/>
            </w:pPr>
            <w:r>
              <w:rPr>
                <w:rFonts w:hint="default" w:ascii="仿宋_GB2312" w:eastAsia="仿宋_GB2312" w:cs="仿宋_GB2312"/>
                <w:sz w:val="28"/>
                <w:szCs w:val="28"/>
                <w:bdr w:val="none" w:color="auto" w:sz="0" w:space="0"/>
              </w:rPr>
              <w:t>金融科技运营技能赛项结果申诉表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4440" w:type="dxa"/>
            <w:gridSpan w:val="4"/>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pPr>
            <w:r>
              <w:rPr>
                <w:rFonts w:hint="default" w:ascii="仿宋_GB2312" w:eastAsia="仿宋_GB2312" w:cs="仿宋_GB2312"/>
                <w:sz w:val="28"/>
                <w:szCs w:val="28"/>
                <w:bdr w:val="none" w:color="auto" w:sz="0" w:space="0"/>
              </w:rPr>
              <w:t>申诉人：</w:t>
            </w:r>
          </w:p>
        </w:tc>
        <w:tc>
          <w:tcPr>
            <w:tcW w:w="438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pPr>
            <w:r>
              <w:rPr>
                <w:rFonts w:hint="default" w:ascii="仿宋_GB2312" w:eastAsia="仿宋_GB2312" w:cs="仿宋_GB2312"/>
                <w:sz w:val="28"/>
                <w:szCs w:val="28"/>
                <w:bdr w:val="none" w:color="auto" w:sz="0" w:space="0"/>
              </w:rPr>
              <w:t>代表队：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267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pPr>
            <w:r>
              <w:rPr>
                <w:rFonts w:hint="default" w:ascii="仿宋_GB2312" w:eastAsia="仿宋_GB2312" w:cs="仿宋_GB2312"/>
                <w:sz w:val="28"/>
                <w:szCs w:val="28"/>
                <w:bdr w:val="none" w:color="auto" w:sz="0" w:space="0"/>
              </w:rPr>
              <w:t>赛场：</w:t>
            </w:r>
          </w:p>
        </w:tc>
        <w:tc>
          <w:tcPr>
            <w:tcW w:w="298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pPr>
            <w:r>
              <w:rPr>
                <w:rFonts w:hint="default" w:ascii="仿宋_GB2312" w:eastAsia="仿宋_GB2312" w:cs="仿宋_GB2312"/>
                <w:sz w:val="28"/>
                <w:szCs w:val="28"/>
                <w:bdr w:val="none" w:color="auto" w:sz="0" w:space="0"/>
              </w:rPr>
              <w:t>日期：</w:t>
            </w:r>
          </w:p>
        </w:tc>
        <w:tc>
          <w:tcPr>
            <w:tcW w:w="31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pPr>
            <w:r>
              <w:rPr>
                <w:rFonts w:hint="default" w:ascii="仿宋_GB2312" w:eastAsia="仿宋_GB2312" w:cs="仿宋_GB2312"/>
                <w:sz w:val="28"/>
                <w:szCs w:val="28"/>
                <w:bdr w:val="none" w:color="auto" w:sz="0" w:space="0"/>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45" w:hRule="atLeast"/>
        </w:trPr>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pPr>
            <w:r>
              <w:rPr>
                <w:rFonts w:hint="default" w:ascii="仿宋_GB2312" w:eastAsia="仿宋_GB2312" w:cs="仿宋_GB2312"/>
                <w:sz w:val="28"/>
                <w:szCs w:val="28"/>
                <w:bdr w:val="none" w:color="auto" w:sz="0" w:space="0"/>
              </w:rPr>
              <w:t>申诉事项</w:t>
            </w:r>
          </w:p>
        </w:tc>
        <w:tc>
          <w:tcPr>
            <w:tcW w:w="819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0" w:hRule="atLeast"/>
        </w:trPr>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pPr>
            <w:r>
              <w:rPr>
                <w:rFonts w:hint="default" w:ascii="仿宋_GB2312" w:eastAsia="仿宋_GB2312" w:cs="仿宋_GB2312"/>
                <w:sz w:val="28"/>
                <w:szCs w:val="28"/>
                <w:bdr w:val="none" w:color="auto" w:sz="0" w:space="0"/>
              </w:rPr>
              <w:t>申诉理由</w:t>
            </w:r>
          </w:p>
        </w:tc>
        <w:tc>
          <w:tcPr>
            <w:tcW w:w="819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439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pPr>
            <w:r>
              <w:rPr>
                <w:rFonts w:hint="default" w:ascii="仿宋_GB2312" w:eastAsia="仿宋_GB2312" w:cs="仿宋_GB2312"/>
                <w:sz w:val="28"/>
                <w:szCs w:val="28"/>
                <w:bdr w:val="none" w:color="auto" w:sz="0" w:space="0"/>
              </w:rPr>
              <w:t>学生签名：</w:t>
            </w:r>
          </w:p>
        </w:tc>
        <w:tc>
          <w:tcPr>
            <w:tcW w:w="442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pPr>
            <w:r>
              <w:rPr>
                <w:rFonts w:hint="default" w:ascii="仿宋_GB2312" w:eastAsia="仿宋_GB2312" w:cs="仿宋_GB2312"/>
                <w:sz w:val="28"/>
                <w:szCs w:val="28"/>
                <w:bdr w:val="none" w:color="auto" w:sz="0" w:space="0"/>
              </w:rPr>
              <w:t>指导老师签名：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trPr>
        <w:tc>
          <w:tcPr>
            <w:tcW w:w="8820" w:type="dxa"/>
            <w:gridSpan w:val="6"/>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pPr>
            <w:r>
              <w:rPr>
                <w:rFonts w:hint="default" w:ascii="仿宋_GB2312" w:eastAsia="仿宋_GB2312" w:cs="仿宋_GB2312"/>
                <w:sz w:val="28"/>
                <w:szCs w:val="28"/>
                <w:bdr w:val="none" w:color="auto" w:sz="0" w:space="0"/>
              </w:rPr>
              <w:t>申诉说明：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firstLine="555"/>
            </w:pPr>
            <w:r>
              <w:rPr>
                <w:rFonts w:hint="default" w:ascii="仿宋_GB2312" w:eastAsia="仿宋_GB2312" w:cs="仿宋_GB2312"/>
                <w:sz w:val="28"/>
                <w:szCs w:val="28"/>
                <w:bdr w:val="none" w:color="auto" w:sz="0" w:space="0"/>
              </w:rPr>
              <w:t>1、申诉应在比赛结束后2小时内提出，超过时效不予受理。申诉时，应由参赛队领队向仲裁工作组递交书面申诉报告。事实依据不充分、仅凭主观臆断的申诉不予受理。申诉报告须有申诉方参赛选手及领队签名。</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firstLine="555"/>
            </w:pPr>
            <w:r>
              <w:rPr>
                <w:rFonts w:hint="default" w:ascii="仿宋_GB2312" w:eastAsia="仿宋_GB2312" w:cs="仿宋_GB2312"/>
                <w:sz w:val="28"/>
                <w:szCs w:val="28"/>
                <w:bdr w:val="none" w:color="auto" w:sz="0" w:space="0"/>
              </w:rPr>
              <w:t>2、仲裁工作组收到申诉报告后，应根据申诉事由进行审查，24小时内书面告知申诉处理结果。仲裁组的仲裁结论为最终结论。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4" w:lineRule="atLeast"/>
              <w:ind w:left="0" w:right="0" w:firstLine="555"/>
            </w:pPr>
            <w:r>
              <w:rPr>
                <w:rFonts w:hint="default" w:ascii="仿宋_GB2312" w:eastAsia="仿宋_GB2312" w:cs="仿宋_GB2312"/>
                <w:sz w:val="28"/>
                <w:szCs w:val="28"/>
                <w:bdr w:val="none" w:color="auto" w:sz="0" w:space="0"/>
              </w:rPr>
              <w:t>3、申诉人不得无故拒不接受处理结果，不允许采取过激行为刁难、攻击工作人员，否则申诉无效。</w:t>
            </w:r>
          </w:p>
        </w:tc>
      </w:tr>
    </w:tbl>
    <w:p>
      <w:pPr>
        <w:pStyle w:val="9"/>
        <w:keepNext w:val="0"/>
        <w:keepLines w:val="0"/>
        <w:widowControl/>
        <w:suppressLineNumbers w:val="0"/>
        <w:spacing w:before="75" w:beforeAutospacing="0" w:after="75" w:afterAutospacing="0" w:line="360" w:lineRule="atLeast"/>
        <w:ind w:left="0" w:right="0"/>
      </w:pPr>
      <w:r>
        <w:rPr>
          <w:rFonts w:hint="default" w:ascii="仿宋_GB2312" w:eastAsia="仿宋_GB2312" w:cs="仿宋_GB2312"/>
          <w:sz w:val="28"/>
          <w:szCs w:val="28"/>
        </w:rPr>
        <w:t> </w:t>
      </w:r>
    </w:p>
    <w:p>
      <w:pPr>
        <w:pStyle w:val="9"/>
        <w:keepNext w:val="0"/>
        <w:keepLines w:val="0"/>
        <w:widowControl/>
        <w:suppressLineNumbers w:val="0"/>
        <w:spacing w:before="75" w:beforeAutospacing="0" w:after="75" w:afterAutospacing="0"/>
        <w:ind w:left="0" w:right="0"/>
      </w:pPr>
    </w:p>
    <w:p>
      <w:pPr>
        <w:spacing w:line="560" w:lineRule="exact"/>
        <w:rPr>
          <w:rFonts w:ascii="仿宋_GB2312" w:hAnsi="仿宋" w:eastAsia="仿宋_GB2312" w:cs="仿宋"/>
          <w:kern w:val="0"/>
          <w:sz w:val="28"/>
          <w:szCs w:val="28"/>
        </w:rPr>
      </w:pPr>
      <w:bookmarkStart w:id="0" w:name="_GoBack"/>
      <w:bookmarkEnd w:id="0"/>
    </w:p>
    <w:sectPr>
      <w:headerReference r:id="rId3" w:type="default"/>
      <w:footerReference r:id="rId4" w:type="default"/>
      <w:footerReference r:id="rId5" w:type="even"/>
      <w:pgSz w:w="11907" w:h="16840"/>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简体">
    <w:altName w:val="微软雅黑"/>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4</w:t>
    </w:r>
    <w:r>
      <w:rPr>
        <w:rStyle w:val="16"/>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6907"/>
    <w:rsid w:val="00002586"/>
    <w:rsid w:val="00003231"/>
    <w:rsid w:val="00003815"/>
    <w:rsid w:val="00005100"/>
    <w:rsid w:val="00026DD3"/>
    <w:rsid w:val="00027389"/>
    <w:rsid w:val="00030CD9"/>
    <w:rsid w:val="00035ECE"/>
    <w:rsid w:val="00042AD8"/>
    <w:rsid w:val="000433F7"/>
    <w:rsid w:val="00046DAD"/>
    <w:rsid w:val="00047FAF"/>
    <w:rsid w:val="0005056B"/>
    <w:rsid w:val="00050F1F"/>
    <w:rsid w:val="00052635"/>
    <w:rsid w:val="00052EA2"/>
    <w:rsid w:val="0005568F"/>
    <w:rsid w:val="00057E48"/>
    <w:rsid w:val="00060571"/>
    <w:rsid w:val="000612D3"/>
    <w:rsid w:val="00062231"/>
    <w:rsid w:val="00074142"/>
    <w:rsid w:val="00075720"/>
    <w:rsid w:val="00083D7B"/>
    <w:rsid w:val="0008450F"/>
    <w:rsid w:val="0008514F"/>
    <w:rsid w:val="00085916"/>
    <w:rsid w:val="00085AED"/>
    <w:rsid w:val="00086668"/>
    <w:rsid w:val="00090699"/>
    <w:rsid w:val="00090B99"/>
    <w:rsid w:val="000934F2"/>
    <w:rsid w:val="000947F5"/>
    <w:rsid w:val="000953EE"/>
    <w:rsid w:val="000A19E2"/>
    <w:rsid w:val="000B4240"/>
    <w:rsid w:val="000C08F2"/>
    <w:rsid w:val="000C13C9"/>
    <w:rsid w:val="000C25A1"/>
    <w:rsid w:val="000C3339"/>
    <w:rsid w:val="000D1878"/>
    <w:rsid w:val="000D1AF3"/>
    <w:rsid w:val="000D5BA7"/>
    <w:rsid w:val="000D5D0C"/>
    <w:rsid w:val="000E197A"/>
    <w:rsid w:val="000E1E63"/>
    <w:rsid w:val="000F37AD"/>
    <w:rsid w:val="000F6370"/>
    <w:rsid w:val="000F6D93"/>
    <w:rsid w:val="000F7AB8"/>
    <w:rsid w:val="00100F2F"/>
    <w:rsid w:val="001074F5"/>
    <w:rsid w:val="0011172F"/>
    <w:rsid w:val="00113F0C"/>
    <w:rsid w:val="00114B04"/>
    <w:rsid w:val="00116B64"/>
    <w:rsid w:val="001229C3"/>
    <w:rsid w:val="001241C6"/>
    <w:rsid w:val="00126804"/>
    <w:rsid w:val="001304EF"/>
    <w:rsid w:val="001333F0"/>
    <w:rsid w:val="001345D9"/>
    <w:rsid w:val="00135B98"/>
    <w:rsid w:val="00137E78"/>
    <w:rsid w:val="00141722"/>
    <w:rsid w:val="001419E5"/>
    <w:rsid w:val="00144408"/>
    <w:rsid w:val="00152057"/>
    <w:rsid w:val="001529FE"/>
    <w:rsid w:val="00155AAF"/>
    <w:rsid w:val="00156A97"/>
    <w:rsid w:val="00164296"/>
    <w:rsid w:val="0016455F"/>
    <w:rsid w:val="001723E9"/>
    <w:rsid w:val="00173633"/>
    <w:rsid w:val="001742B8"/>
    <w:rsid w:val="00176907"/>
    <w:rsid w:val="00180095"/>
    <w:rsid w:val="00194219"/>
    <w:rsid w:val="00196EA9"/>
    <w:rsid w:val="0019785C"/>
    <w:rsid w:val="001A3D27"/>
    <w:rsid w:val="001A4932"/>
    <w:rsid w:val="001C2FAD"/>
    <w:rsid w:val="001C3D0C"/>
    <w:rsid w:val="001C682B"/>
    <w:rsid w:val="001D09BC"/>
    <w:rsid w:val="001D65A8"/>
    <w:rsid w:val="001E1F47"/>
    <w:rsid w:val="001E22F9"/>
    <w:rsid w:val="001E472F"/>
    <w:rsid w:val="001E70AA"/>
    <w:rsid w:val="001F2253"/>
    <w:rsid w:val="001F2954"/>
    <w:rsid w:val="00206D49"/>
    <w:rsid w:val="00207570"/>
    <w:rsid w:val="0021129B"/>
    <w:rsid w:val="00215DC6"/>
    <w:rsid w:val="002202F5"/>
    <w:rsid w:val="00221243"/>
    <w:rsid w:val="00243101"/>
    <w:rsid w:val="002431FD"/>
    <w:rsid w:val="002437DB"/>
    <w:rsid w:val="0024645F"/>
    <w:rsid w:val="00246A6E"/>
    <w:rsid w:val="00247311"/>
    <w:rsid w:val="00251559"/>
    <w:rsid w:val="002530C7"/>
    <w:rsid w:val="00254561"/>
    <w:rsid w:val="00255A92"/>
    <w:rsid w:val="00256289"/>
    <w:rsid w:val="002646A4"/>
    <w:rsid w:val="00266C06"/>
    <w:rsid w:val="00266EA7"/>
    <w:rsid w:val="00267257"/>
    <w:rsid w:val="00270E4B"/>
    <w:rsid w:val="002778B7"/>
    <w:rsid w:val="00282E06"/>
    <w:rsid w:val="00294A8B"/>
    <w:rsid w:val="00296410"/>
    <w:rsid w:val="002A2899"/>
    <w:rsid w:val="002A2E40"/>
    <w:rsid w:val="002A52CF"/>
    <w:rsid w:val="002B1868"/>
    <w:rsid w:val="002B6081"/>
    <w:rsid w:val="002C1DC5"/>
    <w:rsid w:val="002C2EE5"/>
    <w:rsid w:val="002C35C1"/>
    <w:rsid w:val="002D10F1"/>
    <w:rsid w:val="002D16AA"/>
    <w:rsid w:val="002D4B1F"/>
    <w:rsid w:val="002E2A55"/>
    <w:rsid w:val="002E3569"/>
    <w:rsid w:val="002F188C"/>
    <w:rsid w:val="002F2C05"/>
    <w:rsid w:val="00301616"/>
    <w:rsid w:val="003024D8"/>
    <w:rsid w:val="0030281C"/>
    <w:rsid w:val="00302E20"/>
    <w:rsid w:val="00303174"/>
    <w:rsid w:val="003035A5"/>
    <w:rsid w:val="0030360F"/>
    <w:rsid w:val="00303DA2"/>
    <w:rsid w:val="003043AE"/>
    <w:rsid w:val="00310689"/>
    <w:rsid w:val="003110B2"/>
    <w:rsid w:val="00311910"/>
    <w:rsid w:val="00312050"/>
    <w:rsid w:val="0031325E"/>
    <w:rsid w:val="00322A4C"/>
    <w:rsid w:val="0032317D"/>
    <w:rsid w:val="0032510B"/>
    <w:rsid w:val="00325FBC"/>
    <w:rsid w:val="00333FE0"/>
    <w:rsid w:val="00336CEC"/>
    <w:rsid w:val="0034678B"/>
    <w:rsid w:val="003519D0"/>
    <w:rsid w:val="00361BCF"/>
    <w:rsid w:val="00364DE3"/>
    <w:rsid w:val="003736F4"/>
    <w:rsid w:val="00384C38"/>
    <w:rsid w:val="00387358"/>
    <w:rsid w:val="00394A0D"/>
    <w:rsid w:val="00395884"/>
    <w:rsid w:val="00395D0D"/>
    <w:rsid w:val="00396154"/>
    <w:rsid w:val="00397976"/>
    <w:rsid w:val="003A0682"/>
    <w:rsid w:val="003A6502"/>
    <w:rsid w:val="003A675D"/>
    <w:rsid w:val="003A726B"/>
    <w:rsid w:val="003B2BE0"/>
    <w:rsid w:val="003B5AC4"/>
    <w:rsid w:val="003C0E2D"/>
    <w:rsid w:val="003D31FA"/>
    <w:rsid w:val="003D37FC"/>
    <w:rsid w:val="003D4198"/>
    <w:rsid w:val="003D4BF0"/>
    <w:rsid w:val="003D672B"/>
    <w:rsid w:val="003E70F4"/>
    <w:rsid w:val="003F1D85"/>
    <w:rsid w:val="003F2015"/>
    <w:rsid w:val="003F3AA7"/>
    <w:rsid w:val="003F4B82"/>
    <w:rsid w:val="0041695F"/>
    <w:rsid w:val="00416CEA"/>
    <w:rsid w:val="00417629"/>
    <w:rsid w:val="004231FB"/>
    <w:rsid w:val="004279FD"/>
    <w:rsid w:val="00432F03"/>
    <w:rsid w:val="00442188"/>
    <w:rsid w:val="00451E94"/>
    <w:rsid w:val="004520B7"/>
    <w:rsid w:val="0045696D"/>
    <w:rsid w:val="004604D6"/>
    <w:rsid w:val="0046215E"/>
    <w:rsid w:val="00462451"/>
    <w:rsid w:val="00462E85"/>
    <w:rsid w:val="00464FF1"/>
    <w:rsid w:val="00473BB7"/>
    <w:rsid w:val="00480716"/>
    <w:rsid w:val="00480B22"/>
    <w:rsid w:val="004812A4"/>
    <w:rsid w:val="00483B80"/>
    <w:rsid w:val="00484625"/>
    <w:rsid w:val="00496651"/>
    <w:rsid w:val="004A0A2D"/>
    <w:rsid w:val="004A6840"/>
    <w:rsid w:val="004B0DEB"/>
    <w:rsid w:val="004B5A70"/>
    <w:rsid w:val="004C106D"/>
    <w:rsid w:val="004C1291"/>
    <w:rsid w:val="004C2FFC"/>
    <w:rsid w:val="004C5CE2"/>
    <w:rsid w:val="004C695A"/>
    <w:rsid w:val="004C72F0"/>
    <w:rsid w:val="004D10A4"/>
    <w:rsid w:val="004D231B"/>
    <w:rsid w:val="004D2829"/>
    <w:rsid w:val="004E0A59"/>
    <w:rsid w:val="004E0FD0"/>
    <w:rsid w:val="004E48E7"/>
    <w:rsid w:val="004E5581"/>
    <w:rsid w:val="004E6075"/>
    <w:rsid w:val="004F330E"/>
    <w:rsid w:val="00502F8F"/>
    <w:rsid w:val="00503E4C"/>
    <w:rsid w:val="00505852"/>
    <w:rsid w:val="00506958"/>
    <w:rsid w:val="00510598"/>
    <w:rsid w:val="005126BF"/>
    <w:rsid w:val="00515021"/>
    <w:rsid w:val="00521B54"/>
    <w:rsid w:val="0052242F"/>
    <w:rsid w:val="005231D7"/>
    <w:rsid w:val="00526B6B"/>
    <w:rsid w:val="0052723F"/>
    <w:rsid w:val="005317B9"/>
    <w:rsid w:val="005349E1"/>
    <w:rsid w:val="00535A3A"/>
    <w:rsid w:val="00537815"/>
    <w:rsid w:val="00541FA5"/>
    <w:rsid w:val="00545299"/>
    <w:rsid w:val="00550B1A"/>
    <w:rsid w:val="0055124D"/>
    <w:rsid w:val="005548A9"/>
    <w:rsid w:val="00561BB3"/>
    <w:rsid w:val="0056227B"/>
    <w:rsid w:val="00572576"/>
    <w:rsid w:val="0057376B"/>
    <w:rsid w:val="00573DDE"/>
    <w:rsid w:val="005740FC"/>
    <w:rsid w:val="00574D77"/>
    <w:rsid w:val="005768A1"/>
    <w:rsid w:val="00576D32"/>
    <w:rsid w:val="00585FDC"/>
    <w:rsid w:val="00590320"/>
    <w:rsid w:val="00597F23"/>
    <w:rsid w:val="005A06DE"/>
    <w:rsid w:val="005A08A0"/>
    <w:rsid w:val="005A4B1F"/>
    <w:rsid w:val="005A727E"/>
    <w:rsid w:val="005B01E5"/>
    <w:rsid w:val="005B445A"/>
    <w:rsid w:val="005C592E"/>
    <w:rsid w:val="005D3119"/>
    <w:rsid w:val="005D537D"/>
    <w:rsid w:val="005E280D"/>
    <w:rsid w:val="005E55AD"/>
    <w:rsid w:val="005E6016"/>
    <w:rsid w:val="005E7BAF"/>
    <w:rsid w:val="005F06DF"/>
    <w:rsid w:val="005F2991"/>
    <w:rsid w:val="005F2A26"/>
    <w:rsid w:val="005F636D"/>
    <w:rsid w:val="00601EC8"/>
    <w:rsid w:val="0060206E"/>
    <w:rsid w:val="00602B88"/>
    <w:rsid w:val="0060360B"/>
    <w:rsid w:val="0060414D"/>
    <w:rsid w:val="00605BD0"/>
    <w:rsid w:val="006106D2"/>
    <w:rsid w:val="00611B5B"/>
    <w:rsid w:val="00611F70"/>
    <w:rsid w:val="006172D5"/>
    <w:rsid w:val="0063331B"/>
    <w:rsid w:val="00633522"/>
    <w:rsid w:val="00637734"/>
    <w:rsid w:val="0064365E"/>
    <w:rsid w:val="00646753"/>
    <w:rsid w:val="00650F6C"/>
    <w:rsid w:val="00654BD0"/>
    <w:rsid w:val="00654C8A"/>
    <w:rsid w:val="006607A5"/>
    <w:rsid w:val="006620C8"/>
    <w:rsid w:val="0066258C"/>
    <w:rsid w:val="00666196"/>
    <w:rsid w:val="00667083"/>
    <w:rsid w:val="00667AF9"/>
    <w:rsid w:val="00673B90"/>
    <w:rsid w:val="00675794"/>
    <w:rsid w:val="00680FFE"/>
    <w:rsid w:val="006850EE"/>
    <w:rsid w:val="00692431"/>
    <w:rsid w:val="0069413D"/>
    <w:rsid w:val="006953FD"/>
    <w:rsid w:val="006955A3"/>
    <w:rsid w:val="00695EAD"/>
    <w:rsid w:val="006A0A41"/>
    <w:rsid w:val="006A2DD0"/>
    <w:rsid w:val="006B1B2C"/>
    <w:rsid w:val="006B538A"/>
    <w:rsid w:val="006B6ECE"/>
    <w:rsid w:val="006C6975"/>
    <w:rsid w:val="006D1316"/>
    <w:rsid w:val="006D1690"/>
    <w:rsid w:val="006D1DAB"/>
    <w:rsid w:val="006D4186"/>
    <w:rsid w:val="006E4C4F"/>
    <w:rsid w:val="006E4DE1"/>
    <w:rsid w:val="006F60CD"/>
    <w:rsid w:val="006F7C07"/>
    <w:rsid w:val="006F7E10"/>
    <w:rsid w:val="00701B54"/>
    <w:rsid w:val="00705CD2"/>
    <w:rsid w:val="00710DB7"/>
    <w:rsid w:val="00713317"/>
    <w:rsid w:val="007148C6"/>
    <w:rsid w:val="00720571"/>
    <w:rsid w:val="00721E6E"/>
    <w:rsid w:val="007242D7"/>
    <w:rsid w:val="0073134A"/>
    <w:rsid w:val="007361AA"/>
    <w:rsid w:val="0074269A"/>
    <w:rsid w:val="007476C7"/>
    <w:rsid w:val="007536D0"/>
    <w:rsid w:val="0075402F"/>
    <w:rsid w:val="00754A55"/>
    <w:rsid w:val="007711B0"/>
    <w:rsid w:val="00776875"/>
    <w:rsid w:val="00784426"/>
    <w:rsid w:val="007974C2"/>
    <w:rsid w:val="007979CA"/>
    <w:rsid w:val="007A3B1B"/>
    <w:rsid w:val="007A3C21"/>
    <w:rsid w:val="007A78EA"/>
    <w:rsid w:val="007B54C8"/>
    <w:rsid w:val="007B6089"/>
    <w:rsid w:val="007B673A"/>
    <w:rsid w:val="007C1219"/>
    <w:rsid w:val="007C2ACE"/>
    <w:rsid w:val="007C52B1"/>
    <w:rsid w:val="007D2AEF"/>
    <w:rsid w:val="007E5067"/>
    <w:rsid w:val="007E64DA"/>
    <w:rsid w:val="007E76E8"/>
    <w:rsid w:val="007F0654"/>
    <w:rsid w:val="007F1ACD"/>
    <w:rsid w:val="007F490E"/>
    <w:rsid w:val="007F58E5"/>
    <w:rsid w:val="007F6461"/>
    <w:rsid w:val="00806037"/>
    <w:rsid w:val="0080726E"/>
    <w:rsid w:val="00807ABD"/>
    <w:rsid w:val="00814F1C"/>
    <w:rsid w:val="00821A3D"/>
    <w:rsid w:val="008260FF"/>
    <w:rsid w:val="00833F87"/>
    <w:rsid w:val="0083496B"/>
    <w:rsid w:val="00836E2F"/>
    <w:rsid w:val="00837119"/>
    <w:rsid w:val="00837C28"/>
    <w:rsid w:val="00837EE9"/>
    <w:rsid w:val="00845892"/>
    <w:rsid w:val="0084619F"/>
    <w:rsid w:val="00850A59"/>
    <w:rsid w:val="00854D31"/>
    <w:rsid w:val="00856C36"/>
    <w:rsid w:val="00861079"/>
    <w:rsid w:val="00862FDF"/>
    <w:rsid w:val="008659CF"/>
    <w:rsid w:val="00866757"/>
    <w:rsid w:val="008670D7"/>
    <w:rsid w:val="00872BD7"/>
    <w:rsid w:val="00872E99"/>
    <w:rsid w:val="008742F5"/>
    <w:rsid w:val="0087474C"/>
    <w:rsid w:val="008758BA"/>
    <w:rsid w:val="00875EC8"/>
    <w:rsid w:val="008850E5"/>
    <w:rsid w:val="00887080"/>
    <w:rsid w:val="00887C10"/>
    <w:rsid w:val="00894F50"/>
    <w:rsid w:val="008A0AF6"/>
    <w:rsid w:val="008A107C"/>
    <w:rsid w:val="008A3853"/>
    <w:rsid w:val="008A6E2D"/>
    <w:rsid w:val="008B2C2C"/>
    <w:rsid w:val="008B76B1"/>
    <w:rsid w:val="008C18F6"/>
    <w:rsid w:val="008C1A6B"/>
    <w:rsid w:val="008C2A47"/>
    <w:rsid w:val="008C41E1"/>
    <w:rsid w:val="008C531A"/>
    <w:rsid w:val="008D15DD"/>
    <w:rsid w:val="008D468F"/>
    <w:rsid w:val="008D605A"/>
    <w:rsid w:val="008D7915"/>
    <w:rsid w:val="008E12D3"/>
    <w:rsid w:val="008E79E6"/>
    <w:rsid w:val="008F1F34"/>
    <w:rsid w:val="008F4B7B"/>
    <w:rsid w:val="008F7C32"/>
    <w:rsid w:val="00905ADE"/>
    <w:rsid w:val="009160BD"/>
    <w:rsid w:val="00917F39"/>
    <w:rsid w:val="00931330"/>
    <w:rsid w:val="009336EE"/>
    <w:rsid w:val="009345C1"/>
    <w:rsid w:val="0093794B"/>
    <w:rsid w:val="00937AC0"/>
    <w:rsid w:val="00941CE3"/>
    <w:rsid w:val="00942CB9"/>
    <w:rsid w:val="00944FD9"/>
    <w:rsid w:val="009459D5"/>
    <w:rsid w:val="00946561"/>
    <w:rsid w:val="00946B53"/>
    <w:rsid w:val="00946E99"/>
    <w:rsid w:val="0094779D"/>
    <w:rsid w:val="0095174F"/>
    <w:rsid w:val="00951CA6"/>
    <w:rsid w:val="00956AB6"/>
    <w:rsid w:val="00960793"/>
    <w:rsid w:val="00960B88"/>
    <w:rsid w:val="009617FF"/>
    <w:rsid w:val="0098127D"/>
    <w:rsid w:val="0098381F"/>
    <w:rsid w:val="00991104"/>
    <w:rsid w:val="00992145"/>
    <w:rsid w:val="0099298B"/>
    <w:rsid w:val="009A016F"/>
    <w:rsid w:val="009A4BF8"/>
    <w:rsid w:val="009A58AC"/>
    <w:rsid w:val="009B117E"/>
    <w:rsid w:val="009B6516"/>
    <w:rsid w:val="009C22FD"/>
    <w:rsid w:val="009C5777"/>
    <w:rsid w:val="009D172A"/>
    <w:rsid w:val="009D3891"/>
    <w:rsid w:val="009D619A"/>
    <w:rsid w:val="009E44F4"/>
    <w:rsid w:val="009E4C7A"/>
    <w:rsid w:val="009F5428"/>
    <w:rsid w:val="009F556A"/>
    <w:rsid w:val="009F68D5"/>
    <w:rsid w:val="00A06619"/>
    <w:rsid w:val="00A07530"/>
    <w:rsid w:val="00A079B6"/>
    <w:rsid w:val="00A2453A"/>
    <w:rsid w:val="00A27226"/>
    <w:rsid w:val="00A27672"/>
    <w:rsid w:val="00A320CF"/>
    <w:rsid w:val="00A34E2A"/>
    <w:rsid w:val="00A373FC"/>
    <w:rsid w:val="00A42012"/>
    <w:rsid w:val="00A42269"/>
    <w:rsid w:val="00A42E7D"/>
    <w:rsid w:val="00A4344A"/>
    <w:rsid w:val="00A527FB"/>
    <w:rsid w:val="00A57F45"/>
    <w:rsid w:val="00A65FBD"/>
    <w:rsid w:val="00A709D2"/>
    <w:rsid w:val="00A7248F"/>
    <w:rsid w:val="00A7307E"/>
    <w:rsid w:val="00A8112E"/>
    <w:rsid w:val="00A82297"/>
    <w:rsid w:val="00A823E3"/>
    <w:rsid w:val="00A97AB0"/>
    <w:rsid w:val="00AA6BE5"/>
    <w:rsid w:val="00AB4566"/>
    <w:rsid w:val="00AB627F"/>
    <w:rsid w:val="00AC355C"/>
    <w:rsid w:val="00AC4124"/>
    <w:rsid w:val="00AD2ABF"/>
    <w:rsid w:val="00AD7F8A"/>
    <w:rsid w:val="00AE04AB"/>
    <w:rsid w:val="00AE20B6"/>
    <w:rsid w:val="00AE3191"/>
    <w:rsid w:val="00AF1F3A"/>
    <w:rsid w:val="00AF3034"/>
    <w:rsid w:val="00AF4AF1"/>
    <w:rsid w:val="00AF774D"/>
    <w:rsid w:val="00B0641C"/>
    <w:rsid w:val="00B07806"/>
    <w:rsid w:val="00B07E52"/>
    <w:rsid w:val="00B11F5F"/>
    <w:rsid w:val="00B140F7"/>
    <w:rsid w:val="00B16429"/>
    <w:rsid w:val="00B21486"/>
    <w:rsid w:val="00B22456"/>
    <w:rsid w:val="00B25F3B"/>
    <w:rsid w:val="00B270EF"/>
    <w:rsid w:val="00B303C7"/>
    <w:rsid w:val="00B32B15"/>
    <w:rsid w:val="00B36BC6"/>
    <w:rsid w:val="00B43B3E"/>
    <w:rsid w:val="00B44E6A"/>
    <w:rsid w:val="00B54BE7"/>
    <w:rsid w:val="00B55974"/>
    <w:rsid w:val="00B665BD"/>
    <w:rsid w:val="00B6712F"/>
    <w:rsid w:val="00B70DA9"/>
    <w:rsid w:val="00B72AB9"/>
    <w:rsid w:val="00B72F19"/>
    <w:rsid w:val="00B7598E"/>
    <w:rsid w:val="00B762B2"/>
    <w:rsid w:val="00B7767F"/>
    <w:rsid w:val="00B7795D"/>
    <w:rsid w:val="00B83087"/>
    <w:rsid w:val="00B9436F"/>
    <w:rsid w:val="00B94415"/>
    <w:rsid w:val="00B95401"/>
    <w:rsid w:val="00B97289"/>
    <w:rsid w:val="00BB252B"/>
    <w:rsid w:val="00BB321E"/>
    <w:rsid w:val="00BB4D91"/>
    <w:rsid w:val="00BC13FA"/>
    <w:rsid w:val="00BC1422"/>
    <w:rsid w:val="00BC53C9"/>
    <w:rsid w:val="00BC692C"/>
    <w:rsid w:val="00BC6B03"/>
    <w:rsid w:val="00BC7169"/>
    <w:rsid w:val="00BC7707"/>
    <w:rsid w:val="00BD0198"/>
    <w:rsid w:val="00BD2869"/>
    <w:rsid w:val="00BD444E"/>
    <w:rsid w:val="00BD77D3"/>
    <w:rsid w:val="00BD7D92"/>
    <w:rsid w:val="00BE2286"/>
    <w:rsid w:val="00BF4DA6"/>
    <w:rsid w:val="00C00031"/>
    <w:rsid w:val="00C03286"/>
    <w:rsid w:val="00C04361"/>
    <w:rsid w:val="00C1149E"/>
    <w:rsid w:val="00C13397"/>
    <w:rsid w:val="00C14C78"/>
    <w:rsid w:val="00C14C82"/>
    <w:rsid w:val="00C1645A"/>
    <w:rsid w:val="00C16D1D"/>
    <w:rsid w:val="00C16E33"/>
    <w:rsid w:val="00C2699D"/>
    <w:rsid w:val="00C26D81"/>
    <w:rsid w:val="00C27660"/>
    <w:rsid w:val="00C36468"/>
    <w:rsid w:val="00C409E9"/>
    <w:rsid w:val="00C41FD6"/>
    <w:rsid w:val="00C45FE1"/>
    <w:rsid w:val="00C47702"/>
    <w:rsid w:val="00C52EC7"/>
    <w:rsid w:val="00C534E5"/>
    <w:rsid w:val="00C5364B"/>
    <w:rsid w:val="00C54348"/>
    <w:rsid w:val="00C55FA5"/>
    <w:rsid w:val="00C60650"/>
    <w:rsid w:val="00C64AA6"/>
    <w:rsid w:val="00C65560"/>
    <w:rsid w:val="00C678F3"/>
    <w:rsid w:val="00C7050C"/>
    <w:rsid w:val="00C7177B"/>
    <w:rsid w:val="00C71AD8"/>
    <w:rsid w:val="00C83591"/>
    <w:rsid w:val="00C868D9"/>
    <w:rsid w:val="00C86D6E"/>
    <w:rsid w:val="00C96D8D"/>
    <w:rsid w:val="00C97348"/>
    <w:rsid w:val="00CA0A6A"/>
    <w:rsid w:val="00CA52AC"/>
    <w:rsid w:val="00CA6C86"/>
    <w:rsid w:val="00CA6ECA"/>
    <w:rsid w:val="00CB0A81"/>
    <w:rsid w:val="00CB3228"/>
    <w:rsid w:val="00CB40D3"/>
    <w:rsid w:val="00CB7688"/>
    <w:rsid w:val="00CB796E"/>
    <w:rsid w:val="00CC10BF"/>
    <w:rsid w:val="00CC67B9"/>
    <w:rsid w:val="00CD0D86"/>
    <w:rsid w:val="00CD174E"/>
    <w:rsid w:val="00CF4B61"/>
    <w:rsid w:val="00CF742D"/>
    <w:rsid w:val="00D01369"/>
    <w:rsid w:val="00D02037"/>
    <w:rsid w:val="00D0501B"/>
    <w:rsid w:val="00D10F32"/>
    <w:rsid w:val="00D11823"/>
    <w:rsid w:val="00D14D79"/>
    <w:rsid w:val="00D172CF"/>
    <w:rsid w:val="00D241B6"/>
    <w:rsid w:val="00D25F80"/>
    <w:rsid w:val="00D344B1"/>
    <w:rsid w:val="00D423F7"/>
    <w:rsid w:val="00D44246"/>
    <w:rsid w:val="00D52E31"/>
    <w:rsid w:val="00D540FB"/>
    <w:rsid w:val="00D6505D"/>
    <w:rsid w:val="00D677BC"/>
    <w:rsid w:val="00D73EE2"/>
    <w:rsid w:val="00D7407D"/>
    <w:rsid w:val="00D77139"/>
    <w:rsid w:val="00D80BD1"/>
    <w:rsid w:val="00D80DF0"/>
    <w:rsid w:val="00D82355"/>
    <w:rsid w:val="00D85B01"/>
    <w:rsid w:val="00DA1CDD"/>
    <w:rsid w:val="00DA6C4E"/>
    <w:rsid w:val="00DA7A2A"/>
    <w:rsid w:val="00DB1EDA"/>
    <w:rsid w:val="00DB1FB3"/>
    <w:rsid w:val="00DB74DE"/>
    <w:rsid w:val="00DC22E5"/>
    <w:rsid w:val="00DC3D35"/>
    <w:rsid w:val="00DC6062"/>
    <w:rsid w:val="00DD0771"/>
    <w:rsid w:val="00DE0257"/>
    <w:rsid w:val="00DE0967"/>
    <w:rsid w:val="00DE1127"/>
    <w:rsid w:val="00DE7815"/>
    <w:rsid w:val="00DF0A49"/>
    <w:rsid w:val="00DF1BFB"/>
    <w:rsid w:val="00DF62CD"/>
    <w:rsid w:val="00E020F7"/>
    <w:rsid w:val="00E02C2D"/>
    <w:rsid w:val="00E0371E"/>
    <w:rsid w:val="00E03D08"/>
    <w:rsid w:val="00E03F6B"/>
    <w:rsid w:val="00E04744"/>
    <w:rsid w:val="00E0554A"/>
    <w:rsid w:val="00E200DC"/>
    <w:rsid w:val="00E20BBE"/>
    <w:rsid w:val="00E25491"/>
    <w:rsid w:val="00E360C8"/>
    <w:rsid w:val="00E37BEF"/>
    <w:rsid w:val="00E437AB"/>
    <w:rsid w:val="00E46297"/>
    <w:rsid w:val="00E47D7F"/>
    <w:rsid w:val="00E53832"/>
    <w:rsid w:val="00E56FB9"/>
    <w:rsid w:val="00E600B4"/>
    <w:rsid w:val="00E651B8"/>
    <w:rsid w:val="00E674BC"/>
    <w:rsid w:val="00E679C5"/>
    <w:rsid w:val="00E73B88"/>
    <w:rsid w:val="00E74286"/>
    <w:rsid w:val="00E801A1"/>
    <w:rsid w:val="00E83526"/>
    <w:rsid w:val="00E83C72"/>
    <w:rsid w:val="00E8451D"/>
    <w:rsid w:val="00E912BA"/>
    <w:rsid w:val="00E917B4"/>
    <w:rsid w:val="00E9675F"/>
    <w:rsid w:val="00E97730"/>
    <w:rsid w:val="00EA07A5"/>
    <w:rsid w:val="00EA12E3"/>
    <w:rsid w:val="00EA5B36"/>
    <w:rsid w:val="00EB38FD"/>
    <w:rsid w:val="00EC2B1B"/>
    <w:rsid w:val="00EC6F0B"/>
    <w:rsid w:val="00ED4F94"/>
    <w:rsid w:val="00ED6C49"/>
    <w:rsid w:val="00EE1EC7"/>
    <w:rsid w:val="00EE4494"/>
    <w:rsid w:val="00EE6D93"/>
    <w:rsid w:val="00EF34D7"/>
    <w:rsid w:val="00EF649C"/>
    <w:rsid w:val="00F05CB8"/>
    <w:rsid w:val="00F066D4"/>
    <w:rsid w:val="00F16723"/>
    <w:rsid w:val="00F20EEC"/>
    <w:rsid w:val="00F23CC2"/>
    <w:rsid w:val="00F30C20"/>
    <w:rsid w:val="00F46EC1"/>
    <w:rsid w:val="00F50C94"/>
    <w:rsid w:val="00F5132B"/>
    <w:rsid w:val="00F51E0B"/>
    <w:rsid w:val="00F536B1"/>
    <w:rsid w:val="00F6406F"/>
    <w:rsid w:val="00F66B2A"/>
    <w:rsid w:val="00F7064A"/>
    <w:rsid w:val="00F812E2"/>
    <w:rsid w:val="00F839E8"/>
    <w:rsid w:val="00F879E6"/>
    <w:rsid w:val="00FA3B79"/>
    <w:rsid w:val="00FA767D"/>
    <w:rsid w:val="00FC0925"/>
    <w:rsid w:val="00FC0D7D"/>
    <w:rsid w:val="00FC1380"/>
    <w:rsid w:val="00FC2E3B"/>
    <w:rsid w:val="00FC41D9"/>
    <w:rsid w:val="00FC51A0"/>
    <w:rsid w:val="00FD0B8A"/>
    <w:rsid w:val="00FD1369"/>
    <w:rsid w:val="00FD7D20"/>
    <w:rsid w:val="00FE14DF"/>
    <w:rsid w:val="00FE2DC4"/>
    <w:rsid w:val="00FF2A0F"/>
    <w:rsid w:val="00FF7C64"/>
    <w:rsid w:val="012B358F"/>
    <w:rsid w:val="053E51AE"/>
    <w:rsid w:val="085269F3"/>
    <w:rsid w:val="0B5844DC"/>
    <w:rsid w:val="0C2E3190"/>
    <w:rsid w:val="0EF651E4"/>
    <w:rsid w:val="107B45B9"/>
    <w:rsid w:val="10AE2E42"/>
    <w:rsid w:val="10C716A5"/>
    <w:rsid w:val="13E63BFD"/>
    <w:rsid w:val="1A400518"/>
    <w:rsid w:val="1A9C498E"/>
    <w:rsid w:val="1C502600"/>
    <w:rsid w:val="24C820E3"/>
    <w:rsid w:val="28AE13E7"/>
    <w:rsid w:val="29E6470E"/>
    <w:rsid w:val="2D6A247A"/>
    <w:rsid w:val="30E11D06"/>
    <w:rsid w:val="31A55C61"/>
    <w:rsid w:val="324D48E5"/>
    <w:rsid w:val="342E54E9"/>
    <w:rsid w:val="348A726B"/>
    <w:rsid w:val="352C626D"/>
    <w:rsid w:val="399A7C25"/>
    <w:rsid w:val="439B6892"/>
    <w:rsid w:val="44913191"/>
    <w:rsid w:val="4AE95F03"/>
    <w:rsid w:val="4FEC7FD7"/>
    <w:rsid w:val="51E14775"/>
    <w:rsid w:val="53820605"/>
    <w:rsid w:val="547A1F76"/>
    <w:rsid w:val="57982CC9"/>
    <w:rsid w:val="5B9249D9"/>
    <w:rsid w:val="680903B9"/>
    <w:rsid w:val="695A5E78"/>
    <w:rsid w:val="6AF67311"/>
    <w:rsid w:val="6E6909D7"/>
    <w:rsid w:val="75E56724"/>
    <w:rsid w:val="7A4A44CE"/>
    <w:rsid w:val="7D5543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20"/>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qFormat/>
    <w:uiPriority w:val="99"/>
    <w:pPr>
      <w:jc w:val="left"/>
    </w:pPr>
    <w:rPr>
      <w:sz w:val="24"/>
      <w:szCs w:val="20"/>
    </w:rPr>
  </w:style>
  <w:style w:type="paragraph" w:styleId="6">
    <w:name w:val="Balloon Text"/>
    <w:basedOn w:val="1"/>
    <w:link w:val="24"/>
    <w:qFormat/>
    <w:uiPriority w:val="99"/>
    <w:rPr>
      <w:sz w:val="2"/>
    </w:rPr>
  </w:style>
  <w:style w:type="paragraph" w:styleId="7">
    <w:name w:val="footer"/>
    <w:basedOn w:val="1"/>
    <w:link w:val="25"/>
    <w:qFormat/>
    <w:uiPriority w:val="99"/>
    <w:pPr>
      <w:tabs>
        <w:tab w:val="center" w:pos="4153"/>
        <w:tab w:val="right" w:pos="8306"/>
      </w:tabs>
      <w:snapToGrid w:val="0"/>
      <w:jc w:val="left"/>
    </w:pPr>
    <w:rPr>
      <w:sz w:val="18"/>
      <w:szCs w:val="18"/>
    </w:rPr>
  </w:style>
  <w:style w:type="paragraph" w:styleId="8">
    <w:name w:val="header"/>
    <w:basedOn w:val="1"/>
    <w:link w:val="26"/>
    <w:qFormat/>
    <w:uiPriority w:val="99"/>
    <w:pPr>
      <w:pBdr>
        <w:bottom w:val="single" w:color="auto" w:sz="6" w:space="1"/>
      </w:pBdr>
      <w:tabs>
        <w:tab w:val="center" w:pos="4153"/>
        <w:tab w:val="right" w:pos="8306"/>
      </w:tabs>
      <w:snapToGrid w:val="0"/>
      <w:jc w:val="center"/>
    </w:pPr>
    <w:rPr>
      <w:sz w:val="18"/>
      <w:szCs w:val="20"/>
    </w:rPr>
  </w:style>
  <w:style w:type="paragraph" w:styleId="9">
    <w:name w:val="Normal (Web)"/>
    <w:basedOn w:val="1"/>
    <w:qFormat/>
    <w:uiPriority w:val="0"/>
    <w:pPr>
      <w:widowControl/>
      <w:jc w:val="left"/>
    </w:pPr>
    <w:rPr>
      <w:rFonts w:ascii="宋体" w:hAnsi="宋体" w:cs="宋体"/>
      <w:kern w:val="0"/>
      <w:sz w:val="24"/>
    </w:rPr>
  </w:style>
  <w:style w:type="paragraph" w:styleId="10">
    <w:name w:val="Title"/>
    <w:basedOn w:val="1"/>
    <w:next w:val="1"/>
    <w:link w:val="27"/>
    <w:qFormat/>
    <w:uiPriority w:val="99"/>
    <w:pPr>
      <w:adjustRightInd w:val="0"/>
      <w:snapToGrid w:val="0"/>
      <w:spacing w:line="800" w:lineRule="exact"/>
      <w:jc w:val="center"/>
    </w:pPr>
    <w:rPr>
      <w:rFonts w:ascii="方正小标宋简体" w:hAnsi="华文中宋" w:eastAsia="方正小标宋简体"/>
      <w:sz w:val="44"/>
      <w:szCs w:val="20"/>
    </w:rPr>
  </w:style>
  <w:style w:type="paragraph" w:styleId="11">
    <w:name w:val="annotation subject"/>
    <w:basedOn w:val="5"/>
    <w:next w:val="5"/>
    <w:link w:val="23"/>
    <w:qFormat/>
    <w:uiPriority w:val="99"/>
    <w:rPr>
      <w:b/>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99"/>
    <w:rPr>
      <w:rFonts w:cs="Times New Roman"/>
      <w:b/>
    </w:rPr>
  </w:style>
  <w:style w:type="character" w:styleId="16">
    <w:name w:val="page number"/>
    <w:qFormat/>
    <w:uiPriority w:val="99"/>
    <w:rPr>
      <w:rFonts w:cs="Times New Roman"/>
    </w:rPr>
  </w:style>
  <w:style w:type="character" w:styleId="17">
    <w:name w:val="Emphasis"/>
    <w:qFormat/>
    <w:uiPriority w:val="99"/>
    <w:rPr>
      <w:rFonts w:cs="Times New Roman"/>
      <w:i/>
    </w:r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rPr>
  </w:style>
  <w:style w:type="character" w:customStyle="1" w:styleId="20">
    <w:name w:val="标题 2 Char"/>
    <w:link w:val="3"/>
    <w:semiHidden/>
    <w:qFormat/>
    <w:locked/>
    <w:uiPriority w:val="99"/>
    <w:rPr>
      <w:rFonts w:ascii="Cambria" w:hAnsi="Cambria" w:eastAsia="宋体"/>
      <w:b/>
      <w:kern w:val="2"/>
      <w:sz w:val="32"/>
    </w:rPr>
  </w:style>
  <w:style w:type="character" w:customStyle="1" w:styleId="21">
    <w:name w:val="标题 3 Char"/>
    <w:link w:val="4"/>
    <w:semiHidden/>
    <w:qFormat/>
    <w:locked/>
    <w:uiPriority w:val="99"/>
    <w:rPr>
      <w:b/>
      <w:kern w:val="2"/>
      <w:sz w:val="32"/>
    </w:rPr>
  </w:style>
  <w:style w:type="character" w:customStyle="1" w:styleId="22">
    <w:name w:val="批注文字 Char"/>
    <w:link w:val="5"/>
    <w:qFormat/>
    <w:locked/>
    <w:uiPriority w:val="99"/>
    <w:rPr>
      <w:rFonts w:eastAsia="宋体"/>
      <w:kern w:val="2"/>
      <w:sz w:val="24"/>
      <w:lang w:val="en-US" w:eastAsia="zh-CN"/>
    </w:rPr>
  </w:style>
  <w:style w:type="character" w:customStyle="1" w:styleId="23">
    <w:name w:val="批注主题 Char"/>
    <w:link w:val="11"/>
    <w:qFormat/>
    <w:locked/>
    <w:uiPriority w:val="99"/>
    <w:rPr>
      <w:rFonts w:eastAsia="宋体"/>
      <w:b/>
      <w:kern w:val="2"/>
      <w:sz w:val="24"/>
      <w:lang w:val="en-US" w:eastAsia="zh-CN"/>
    </w:rPr>
  </w:style>
  <w:style w:type="character" w:customStyle="1" w:styleId="24">
    <w:name w:val="批注框文本 Char"/>
    <w:link w:val="6"/>
    <w:semiHidden/>
    <w:qFormat/>
    <w:locked/>
    <w:uiPriority w:val="99"/>
    <w:rPr>
      <w:kern w:val="2"/>
      <w:sz w:val="2"/>
    </w:rPr>
  </w:style>
  <w:style w:type="character" w:customStyle="1" w:styleId="25">
    <w:name w:val="页脚 Char"/>
    <w:link w:val="7"/>
    <w:semiHidden/>
    <w:qFormat/>
    <w:locked/>
    <w:uiPriority w:val="99"/>
    <w:rPr>
      <w:kern w:val="2"/>
      <w:sz w:val="18"/>
    </w:rPr>
  </w:style>
  <w:style w:type="character" w:customStyle="1" w:styleId="26">
    <w:name w:val="页眉 Char"/>
    <w:link w:val="8"/>
    <w:qFormat/>
    <w:locked/>
    <w:uiPriority w:val="99"/>
    <w:rPr>
      <w:rFonts w:eastAsia="宋体"/>
      <w:kern w:val="2"/>
      <w:sz w:val="18"/>
      <w:lang w:val="en-US" w:eastAsia="zh-CN"/>
    </w:rPr>
  </w:style>
  <w:style w:type="character" w:customStyle="1" w:styleId="27">
    <w:name w:val="标题 Char"/>
    <w:link w:val="10"/>
    <w:qFormat/>
    <w:locked/>
    <w:uiPriority w:val="99"/>
    <w:rPr>
      <w:rFonts w:ascii="方正小标宋简体" w:hAnsi="华文中宋" w:eastAsia="方正小标宋简体"/>
      <w:kern w:val="2"/>
      <w:sz w:val="44"/>
      <w:lang w:eastAsia="zh-CN"/>
    </w:rPr>
  </w:style>
  <w:style w:type="paragraph" w:customStyle="1" w:styleId="2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默认段落字体 Para Char Char Char Char"/>
    <w:basedOn w:val="4"/>
    <w:qFormat/>
    <w:uiPriority w:val="99"/>
    <w:pPr>
      <w:spacing w:line="240" w:lineRule="atLeast"/>
      <w:jc w:val="left"/>
    </w:pPr>
    <w:rPr>
      <w:kern w:val="0"/>
      <w:sz w:val="24"/>
      <w:szCs w:val="21"/>
    </w:rPr>
  </w:style>
  <w:style w:type="paragraph" w:customStyle="1" w:styleId="30">
    <w:name w:val="msolistparagraph"/>
    <w:basedOn w:val="1"/>
    <w:qFormat/>
    <w:uiPriority w:val="99"/>
    <w:pPr>
      <w:widowControl/>
      <w:spacing w:before="100" w:beforeAutospacing="1" w:after="100" w:afterAutospacing="1"/>
      <w:jc w:val="left"/>
    </w:pPr>
    <w:rPr>
      <w:rFonts w:ascii="宋体" w:hAnsi="宋体" w:cs="宋体"/>
      <w:kern w:val="0"/>
      <w:sz w:val="24"/>
    </w:rPr>
  </w:style>
  <w:style w:type="character" w:customStyle="1" w:styleId="31">
    <w:name w:val="Title Char1"/>
    <w:qFormat/>
    <w:uiPriority w:val="99"/>
    <w:rPr>
      <w:rFonts w:ascii="Cambria" w:hAnsi="Cambria"/>
      <w:b/>
      <w:kern w:val="2"/>
      <w:sz w:val="32"/>
    </w:rPr>
  </w:style>
  <w:style w:type="paragraph" w:customStyle="1" w:styleId="32">
    <w:name w:val="List Paragraph1"/>
    <w:basedOn w:val="1"/>
    <w:qFormat/>
    <w:uiPriority w:val="99"/>
    <w:pPr>
      <w:ind w:firstLine="420" w:firstLineChars="200"/>
    </w:pPr>
  </w:style>
  <w:style w:type="character" w:customStyle="1" w:styleId="33">
    <w:name w:val="5-内文 Char"/>
    <w:link w:val="34"/>
    <w:qFormat/>
    <w:locked/>
    <w:uiPriority w:val="99"/>
    <w:rPr>
      <w:rFonts w:eastAsia="仿宋_GB2312"/>
      <w:sz w:val="28"/>
    </w:rPr>
  </w:style>
  <w:style w:type="paragraph" w:customStyle="1" w:styleId="34">
    <w:name w:val="5-内文"/>
    <w:basedOn w:val="1"/>
    <w:link w:val="33"/>
    <w:qFormat/>
    <w:uiPriority w:val="99"/>
    <w:pPr>
      <w:spacing w:beforeLines="25" w:afterLines="25" w:line="300" w:lineRule="auto"/>
      <w:ind w:firstLine="200" w:firstLineChars="200"/>
    </w:pPr>
    <w:rPr>
      <w:rFonts w:eastAsia="仿宋_GB2312"/>
      <w:kern w:val="0"/>
      <w:sz w:val="28"/>
      <w:szCs w:val="20"/>
    </w:rPr>
  </w:style>
  <w:style w:type="character" w:customStyle="1" w:styleId="35">
    <w:name w:val="批注框文本 字符"/>
    <w:qFormat/>
    <w:uiPriority w:val="99"/>
    <w:rPr>
      <w:kern w:val="2"/>
      <w:sz w:val="18"/>
    </w:rPr>
  </w:style>
  <w:style w:type="paragraph" w:customStyle="1" w:styleId="3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3BE0CF-8767-4721-8920-0B58EB77C52C}">
  <ds:schemaRefs/>
</ds:datastoreItem>
</file>

<file path=docProps/app.xml><?xml version="1.0" encoding="utf-8"?>
<Properties xmlns="http://schemas.openxmlformats.org/officeDocument/2006/extended-properties" xmlns:vt="http://schemas.openxmlformats.org/officeDocument/2006/docPropsVTypes">
  <Template>Normal.dotm</Template>
  <Company>高等教育出版社</Company>
  <Pages>15</Pages>
  <Words>1188</Words>
  <Characters>6777</Characters>
  <Lines>56</Lines>
  <Paragraphs>15</Paragraphs>
  <TotalTime>254</TotalTime>
  <ScaleCrop>false</ScaleCrop>
  <LinksUpToDate>false</LinksUpToDate>
  <CharactersWithSpaces>7950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2019-03-09T07:28:00Z</dcterms:created>
  <dc:creator>a</dc:creator>
  <cp:lastModifiedBy>匆匆那年1395574511</cp:lastModifiedBy>
  <cp:lastPrinted>2018-03-22T08:47:00Z</cp:lastPrinted>
  <dcterms:modified xsi:type="dcterms:W3CDTF">2019-12-19T02:06:46Z</dcterms:modified>
  <dc:title>2013年全国职业院校技能大赛</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