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468" w:afterLines="150" w:line="480" w:lineRule="auto"/>
        <w:ind w:firstLine="1446" w:firstLineChars="300"/>
        <w:contextualSpacing/>
        <w:jc w:val="both"/>
        <w:rPr>
          <w:rFonts w:hint="eastAsia" w:ascii="方正粗黑宋简体" w:hAnsi="方正粗黑宋简体" w:eastAsia="方正粗黑宋简体" w:cs="Times New Roman"/>
          <w:b/>
          <w:sz w:val="48"/>
          <w:szCs w:val="48"/>
        </w:rPr>
      </w:pPr>
      <w:r>
        <w:rPr>
          <w:rFonts w:hint="eastAsia" w:ascii="方正粗黑宋简体" w:hAnsi="方正粗黑宋简体" w:eastAsia="方正粗黑宋简体" w:cs="Times New Roman"/>
          <w:b/>
          <w:sz w:val="48"/>
          <w:szCs w:val="48"/>
        </w:rPr>
        <w:t>2020年河北省高等职业院校</w:t>
      </w:r>
    </w:p>
    <w:p>
      <w:pPr>
        <w:snapToGrid w:val="0"/>
        <w:spacing w:before="156" w:beforeLines="50" w:after="156" w:afterLines="50" w:line="360" w:lineRule="auto"/>
        <w:ind w:firstLine="883" w:firstLineChars="200"/>
        <w:contextualSpacing/>
        <w:jc w:val="center"/>
        <w:rPr>
          <w:rFonts w:hint="default" w:ascii="方正粗黑宋简体" w:hAnsi="方正粗黑宋简体" w:eastAsia="方正粗黑宋简体" w:cs="Times New Roman"/>
          <w:b/>
          <w:sz w:val="44"/>
          <w:szCs w:val="44"/>
          <w:lang w:val="en-US"/>
        </w:rPr>
      </w:pPr>
      <w:r>
        <w:rPr>
          <w:rFonts w:hint="eastAsia" w:ascii="方正粗黑宋简体" w:hAnsi="方正粗黑宋简体" w:eastAsia="方正粗黑宋简体" w:cs="Times New Roman"/>
          <w:b/>
          <w:sz w:val="44"/>
          <w:szCs w:val="44"/>
          <w:lang w:val="en-US" w:eastAsia="zh-CN"/>
        </w:rPr>
        <w:t>城市轨道交通车辆技术大赛规程</w:t>
      </w:r>
    </w:p>
    <w:p>
      <w:pPr>
        <w:snapToGrid w:val="0"/>
        <w:spacing w:before="156" w:beforeLines="50" w:after="468" w:afterLines="150" w:line="288" w:lineRule="auto"/>
        <w:contextualSpacing/>
        <w:outlineLvl w:val="0"/>
        <w:rPr>
          <w:rFonts w:cs="仿宋" w:asciiTheme="minorEastAsia" w:hAnsiTheme="minorEastAsia"/>
          <w:b/>
          <w:sz w:val="28"/>
          <w:szCs w:val="28"/>
        </w:rPr>
      </w:pPr>
      <w:bookmarkStart w:id="0" w:name="_Toc19784927"/>
      <w:r>
        <w:rPr>
          <w:rFonts w:hint="eastAsia" w:cs="仿宋" w:asciiTheme="minorEastAsia" w:hAnsiTheme="minorEastAsia"/>
          <w:b/>
          <w:sz w:val="28"/>
          <w:szCs w:val="28"/>
        </w:rPr>
        <w:t>一、赛项名称</w:t>
      </w:r>
      <w:bookmarkEnd w:id="0"/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赛项名称：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项目一：河北省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城市轨道交通车辆驾驶职业技能大赛；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项目二：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河北省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城市轨道交通车辆整备作业职业技能大赛；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项目三：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河北省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城市轨道交通车辆检修作业职业技能大赛。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赛项组别：高职组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专业类别：交通运输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举办单位：河北省教育厅职成教处、河北省交通职业教育集团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承办单位：河北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轨道运输</w:t>
      </w:r>
      <w:r>
        <w:rPr>
          <w:rFonts w:hint="eastAsia" w:asciiTheme="minorEastAsia" w:hAnsiTheme="minorEastAsia"/>
          <w:color w:val="000000"/>
          <w:sz w:val="24"/>
          <w:szCs w:val="24"/>
        </w:rPr>
        <w:t>职业技术学院</w:t>
      </w:r>
    </w:p>
    <w:p>
      <w:pPr>
        <w:snapToGrid w:val="0"/>
        <w:spacing w:before="156" w:beforeLines="50" w:after="468" w:afterLines="150" w:line="288" w:lineRule="auto"/>
        <w:contextualSpacing/>
        <w:outlineLvl w:val="0"/>
        <w:rPr>
          <w:rFonts w:cs="仿宋" w:asciiTheme="minorEastAsia" w:hAnsiTheme="minorEastAsia"/>
          <w:b/>
          <w:sz w:val="28"/>
          <w:szCs w:val="28"/>
        </w:rPr>
      </w:pPr>
      <w:bookmarkStart w:id="1" w:name="_Toc19784928"/>
      <w:r>
        <w:rPr>
          <w:rFonts w:hint="eastAsia" w:cs="仿宋" w:asciiTheme="minorEastAsia" w:hAnsiTheme="minorEastAsia"/>
          <w:b/>
          <w:sz w:val="28"/>
          <w:szCs w:val="28"/>
        </w:rPr>
        <w:t>二、竞赛目的</w:t>
      </w:r>
      <w:bookmarkEnd w:id="1"/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本赛项以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城市轨道交通车辆技术专业为主，使学生能够掌握城轨列车驾驶、整备作业、车辆维护保养检修调试等操作流程和操作要求，</w:t>
      </w:r>
      <w:r>
        <w:rPr>
          <w:rFonts w:hint="eastAsia" w:asciiTheme="minorEastAsia" w:hAnsiTheme="minorEastAsia"/>
          <w:color w:val="000000"/>
          <w:sz w:val="24"/>
          <w:szCs w:val="24"/>
        </w:rPr>
        <w:t>全面考查参赛选手对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车辆</w:t>
      </w:r>
      <w:r>
        <w:rPr>
          <w:rFonts w:hint="eastAsia" w:asciiTheme="minorEastAsia" w:hAnsiTheme="minorEastAsia"/>
          <w:color w:val="000000"/>
          <w:sz w:val="24"/>
          <w:szCs w:val="24"/>
        </w:rPr>
        <w:t>的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驾驶</w:t>
      </w:r>
      <w:r>
        <w:rPr>
          <w:rFonts w:hint="eastAsia" w:asciiTheme="minorEastAsia" w:hAnsi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整备、车辆</w:t>
      </w:r>
      <w:r>
        <w:rPr>
          <w:rFonts w:hint="eastAsia" w:asciiTheme="minorEastAsia" w:hAnsiTheme="minorEastAsia"/>
          <w:color w:val="000000"/>
          <w:sz w:val="24"/>
          <w:szCs w:val="24"/>
        </w:rPr>
        <w:t>设备维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保以及城轨</w:t>
      </w:r>
      <w:r>
        <w:rPr>
          <w:rFonts w:hint="eastAsia" w:asciiTheme="minorEastAsia" w:hAnsiTheme="minorEastAsia"/>
          <w:color w:val="000000"/>
          <w:sz w:val="24"/>
          <w:szCs w:val="24"/>
        </w:rPr>
        <w:t>职业素养等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方面的作业</w:t>
      </w:r>
      <w:r>
        <w:rPr>
          <w:rFonts w:hint="eastAsia" w:asciiTheme="minorEastAsia" w:hAnsiTheme="minorEastAsia"/>
          <w:color w:val="000000"/>
          <w:sz w:val="24"/>
          <w:szCs w:val="24"/>
        </w:rPr>
        <w:t>技能。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本赛项将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</w:t>
      </w:r>
      <w:r>
        <w:rPr>
          <w:rFonts w:hint="eastAsia" w:asciiTheme="minorEastAsia" w:hAnsiTheme="minorEastAsia"/>
          <w:color w:val="000000"/>
          <w:sz w:val="24"/>
          <w:szCs w:val="24"/>
        </w:rPr>
        <w:t>行业需求和企业人才需求以及最新的产业技术融入比赛内容，推动职业院校教学改革和校企合作，为进一步深化产教融合、校企合作,更快推进城市轨道交通行业技术技能型人才培养步伐,进一步提升高职院校城市轨道交通类专业建设和发展水平,促进职业教育与社会需求的紧密对接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</w:rPr>
        <w:t>从而提升学生专业能力和职业素养。</w:t>
      </w:r>
    </w:p>
    <w:p>
      <w:pPr>
        <w:snapToGrid w:val="0"/>
        <w:spacing w:before="156" w:beforeLines="50" w:after="468" w:afterLines="150" w:line="288" w:lineRule="auto"/>
        <w:contextualSpacing/>
        <w:outlineLvl w:val="0"/>
        <w:rPr>
          <w:rFonts w:cs="仿宋" w:asciiTheme="minorEastAsia" w:hAnsiTheme="minorEastAsia"/>
          <w:b/>
          <w:color w:val="auto"/>
          <w:sz w:val="28"/>
          <w:szCs w:val="28"/>
        </w:rPr>
      </w:pPr>
      <w:bookmarkStart w:id="2" w:name="_Toc19784929"/>
      <w:r>
        <w:rPr>
          <w:rFonts w:hint="eastAsia" w:cs="仿宋" w:asciiTheme="minorEastAsia" w:hAnsiTheme="minorEastAsia"/>
          <w:b/>
          <w:color w:val="auto"/>
          <w:sz w:val="28"/>
          <w:szCs w:val="28"/>
        </w:rPr>
        <w:t>三、竞赛内容与时间</w:t>
      </w:r>
      <w:bookmarkEnd w:id="2"/>
    </w:p>
    <w:p>
      <w:pPr>
        <w:spacing w:line="360" w:lineRule="auto"/>
        <w:jc w:val="left"/>
        <w:outlineLvl w:val="1"/>
        <w:rPr>
          <w:rFonts w:asciiTheme="minorEastAsia" w:hAnsiTheme="minorEastAsia"/>
          <w:color w:val="auto"/>
          <w:sz w:val="24"/>
          <w:szCs w:val="24"/>
        </w:rPr>
      </w:pPr>
      <w:bookmarkStart w:id="3" w:name="_Toc19784930"/>
      <w:r>
        <w:rPr>
          <w:rFonts w:hint="eastAsia" w:asciiTheme="minorEastAsia" w:hAnsiTheme="minorEastAsia"/>
          <w:color w:val="auto"/>
          <w:sz w:val="24"/>
          <w:szCs w:val="24"/>
        </w:rPr>
        <w:t>（一）竞赛内容</w:t>
      </w:r>
      <w:bookmarkEnd w:id="3"/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竞</w:t>
      </w:r>
      <w:r>
        <w:rPr>
          <w:rFonts w:hint="eastAsia" w:asciiTheme="minorEastAsia" w:hAnsiTheme="minorEastAsia"/>
          <w:color w:val="000000"/>
          <w:sz w:val="24"/>
          <w:szCs w:val="24"/>
        </w:rPr>
        <w:t>赛内容主要包括：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本次大赛由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城市轨道交通车辆驾驶职业技能大赛、城市轨道交通车辆整备作业职业技能大赛、城市轨道交通车辆检修作业职业技能大赛三个赛项组成。每个赛项由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城轨车辆专业</w:t>
      </w:r>
      <w:r>
        <w:rPr>
          <w:rFonts w:hint="eastAsia" w:asciiTheme="minorEastAsia" w:hAnsiTheme="minorEastAsia"/>
          <w:color w:val="000000"/>
          <w:sz w:val="24"/>
          <w:szCs w:val="24"/>
        </w:rPr>
        <w:t>理论知识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</w:t>
      </w:r>
      <w:r>
        <w:rPr>
          <w:rFonts w:hint="eastAsia" w:asciiTheme="minorEastAsia" w:hAnsiTheme="minorEastAsia"/>
          <w:color w:val="000000"/>
          <w:sz w:val="24"/>
          <w:szCs w:val="24"/>
        </w:rPr>
        <w:t>和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/>
          <w:color w:val="000000"/>
          <w:sz w:val="24"/>
          <w:szCs w:val="24"/>
        </w:rPr>
        <w:t>操作技能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竞赛两部分组成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城轨车辆专业</w:t>
      </w:r>
      <w:r>
        <w:rPr>
          <w:rFonts w:hint="eastAsia" w:asciiTheme="minorEastAsia" w:hAnsiTheme="minorEastAsia"/>
          <w:color w:val="000000"/>
          <w:sz w:val="24"/>
          <w:szCs w:val="24"/>
        </w:rPr>
        <w:t>理论知识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竞赛三个赛项的考核内容相同。</w:t>
      </w:r>
      <w:r>
        <w:rPr>
          <w:rFonts w:hint="eastAsia" w:asciiTheme="minorEastAsia" w:hAnsiTheme="minorEastAsia"/>
          <w:color w:val="000000"/>
          <w:sz w:val="24"/>
          <w:szCs w:val="24"/>
        </w:rPr>
        <w:t>理论知识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</w:t>
      </w:r>
      <w:r>
        <w:rPr>
          <w:rFonts w:hint="eastAsia" w:asciiTheme="minorEastAsia" w:hAnsiTheme="minorEastAsia"/>
          <w:color w:val="000000"/>
          <w:sz w:val="24"/>
          <w:szCs w:val="24"/>
        </w:rPr>
        <w:t>以《中华人民共和国安全生产法》、《国家城市轨道交通运营突发事件应急预案》、交通运输部行业标准《城市轨道交通列车驾驶员技能和素质要求 第1部分：地铁、轻轨和单轨》、《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教育部</w:t>
      </w:r>
      <w:r>
        <w:rPr>
          <w:rFonts w:hint="eastAsia" w:asciiTheme="minorEastAsia" w:hAnsiTheme="minorEastAsia"/>
          <w:color w:val="000000"/>
          <w:sz w:val="24"/>
          <w:szCs w:val="24"/>
        </w:rPr>
        <w:t>城市轨道交通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车辆技术专业教学标准</w:t>
      </w:r>
      <w:r>
        <w:rPr>
          <w:rFonts w:hint="eastAsia" w:asciiTheme="minorEastAsia" w:hAnsiTheme="minorEastAsia"/>
          <w:color w:val="000000"/>
          <w:sz w:val="24"/>
          <w:szCs w:val="24"/>
        </w:rPr>
        <w:t>》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000000"/>
          <w:sz w:val="24"/>
          <w:szCs w:val="24"/>
        </w:rPr>
        <w:t>《城市轨道交通运营管理规范》等法律法规和标准规范为依据。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城市轨道交通车辆驾驶职业技能大赛</w:t>
      </w:r>
      <w:r>
        <w:rPr>
          <w:rFonts w:hint="eastAsia" w:asciiTheme="minorEastAsia" w:hAnsiTheme="minorEastAsia"/>
          <w:color w:val="000000"/>
          <w:sz w:val="24"/>
          <w:szCs w:val="24"/>
        </w:rPr>
        <w:t>操作技能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竞赛内容：城轨列车整备作业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/>
          <w:color w:val="000000"/>
          <w:sz w:val="24"/>
          <w:szCs w:val="24"/>
        </w:rPr>
        <w:t>驾驶技能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城市轨道交通车辆整备作业职业技能大赛</w:t>
      </w:r>
      <w:r>
        <w:rPr>
          <w:rFonts w:hint="eastAsia" w:asciiTheme="minorEastAsia" w:hAnsiTheme="minorEastAsia"/>
          <w:color w:val="000000"/>
          <w:sz w:val="24"/>
          <w:szCs w:val="24"/>
        </w:rPr>
        <w:t>技能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竞赛内容：城轨列车整备作业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+受电弓检查调试。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城市轨道交通车辆检修作业职业技能大赛</w:t>
      </w:r>
      <w:r>
        <w:rPr>
          <w:rFonts w:hint="eastAsia" w:asciiTheme="minorEastAsia" w:hAnsiTheme="minorEastAsia"/>
          <w:color w:val="000000"/>
          <w:sz w:val="24"/>
          <w:szCs w:val="24"/>
        </w:rPr>
        <w:t>技能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竞赛内容：城轨列车整备作业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+塞拉门检查调试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以上三个赛项</w:t>
      </w:r>
      <w:r>
        <w:rPr>
          <w:rFonts w:hint="eastAsia" w:asciiTheme="minorEastAsia" w:hAnsiTheme="minorEastAsia"/>
          <w:color w:val="auto"/>
          <w:sz w:val="24"/>
          <w:szCs w:val="24"/>
        </w:rPr>
        <w:t>考核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均包含</w:t>
      </w:r>
      <w:r>
        <w:rPr>
          <w:rFonts w:hint="eastAsia" w:asciiTheme="minorEastAsia" w:hAnsiTheme="minorEastAsia"/>
          <w:color w:val="auto"/>
          <w:sz w:val="24"/>
          <w:szCs w:val="24"/>
        </w:rPr>
        <w:t>操作安全规范、文明竞赛、工位环境整洁、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劳动保护</w:t>
      </w:r>
      <w:r>
        <w:rPr>
          <w:rFonts w:hint="eastAsia" w:asciiTheme="minorEastAsia" w:hAnsiTheme="minorEastAsia"/>
          <w:color w:val="auto"/>
          <w:sz w:val="24"/>
          <w:szCs w:val="24"/>
        </w:rPr>
        <w:t>等。</w:t>
      </w:r>
    </w:p>
    <w:p>
      <w:pPr>
        <w:spacing w:before="156" w:beforeLines="50" w:after="156" w:afterLines="50" w:line="360" w:lineRule="auto"/>
        <w:outlineLvl w:val="1"/>
        <w:rPr>
          <w:sz w:val="24"/>
          <w:szCs w:val="24"/>
        </w:rPr>
      </w:pPr>
      <w:bookmarkStart w:id="4" w:name="_Toc19784931"/>
      <w:r>
        <w:rPr>
          <w:rFonts w:hint="eastAsia"/>
          <w:sz w:val="24"/>
          <w:szCs w:val="24"/>
        </w:rPr>
        <w:t>（二）比赛时间与赛程安排</w:t>
      </w:r>
      <w:bookmarkEnd w:id="4"/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1.竞赛时间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具体的竞赛日期由河北省职业院校技能大赛执委会另行通知。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2.赛程安排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竞赛期间的日程安排见表1。</w:t>
      </w:r>
    </w:p>
    <w:p>
      <w:pPr>
        <w:spacing w:line="480" w:lineRule="exact"/>
        <w:jc w:val="center"/>
        <w:rPr>
          <w:rFonts w:hint="eastAsia" w:ascii="仿宋_GB2312" w:eastAsia="仿宋_GB2312"/>
          <w:sz w:val="24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表1  竞赛日程表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44"/>
        <w:gridCol w:w="2160"/>
        <w:gridCol w:w="269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 程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ind w:left="-13" w:leftChars="-47" w:right="-71" w:rightChars="-34" w:hanging="86" w:hangingChars="41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 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事项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9" w:beforeLines="35" w:line="30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12月11日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各参赛队报到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轨道运输</w:t>
            </w:r>
            <w:r>
              <w:rPr>
                <w:rFonts w:hint="eastAsia" w:ascii="仿宋" w:hAnsi="仿宋" w:eastAsia="仿宋" w:cs="仿宋"/>
                <w:szCs w:val="21"/>
              </w:rPr>
              <w:t>职业技术学院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城轨系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9" w:beforeLines="35"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14:00-14:30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裁判、各</w:t>
            </w:r>
            <w:r>
              <w:rPr>
                <w:rFonts w:hint="eastAsia" w:ascii="仿宋" w:hAnsi="仿宋" w:eastAsia="仿宋" w:cs="仿宋"/>
                <w:szCs w:val="21"/>
              </w:rPr>
              <w:t>领队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参</w:t>
            </w:r>
            <w:r>
              <w:rPr>
                <w:rFonts w:hint="eastAsia" w:ascii="仿宋" w:hAnsi="仿宋" w:eastAsia="仿宋" w:cs="仿宋"/>
                <w:szCs w:val="21"/>
              </w:rPr>
              <w:t>会（赛场纪律和赛场要求、场次抽签）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轨道运输</w:t>
            </w:r>
            <w:r>
              <w:rPr>
                <w:rFonts w:hint="eastAsia" w:ascii="仿宋" w:hAnsi="仿宋" w:eastAsia="仿宋" w:cs="仿宋"/>
                <w:szCs w:val="21"/>
              </w:rPr>
              <w:t>职业技术学院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城轨系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9" w:beforeLines="35"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场地参观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9" w:beforeLines="35"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理论考试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理论考试考场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9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12月12日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8：30-16:30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城市轨道交通车辆驾驶作业</w:t>
            </w:r>
          </w:p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裁判组、监督组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8:30-16:30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城市轨道交通车辆整备作业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裁判组、监督组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8:30-16:30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城市轨道交通车辆检修作业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裁判组、监督组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6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16：40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评分核分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裁判组、监督组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3" w:leftChars="-47" w:right="-71" w:rightChars="-34" w:hanging="86" w:hangingChars="41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17：00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3" w:hanging="8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宣布成绩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竞赛场地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组织筹备组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裁判组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保障组</w:t>
            </w:r>
          </w:p>
        </w:tc>
      </w:tr>
    </w:tbl>
    <w:p>
      <w:pPr>
        <w:spacing w:line="360" w:lineRule="auto"/>
        <w:ind w:firstLine="465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说明：具体时间安排以赛项通知为准。</w:t>
      </w:r>
    </w:p>
    <w:p>
      <w:pPr>
        <w:spacing w:line="360" w:lineRule="auto"/>
        <w:outlineLvl w:val="0"/>
        <w:rPr>
          <w:rFonts w:cs="仿宋" w:asciiTheme="minorEastAsia" w:hAnsiTheme="minorEastAsia"/>
          <w:b/>
          <w:sz w:val="28"/>
          <w:szCs w:val="28"/>
        </w:rPr>
      </w:pPr>
      <w:bookmarkStart w:id="5" w:name="_Toc19784936"/>
      <w:r>
        <w:rPr>
          <w:rFonts w:hint="eastAsia" w:cs="仿宋" w:asciiTheme="minorEastAsia" w:hAnsiTheme="minorEastAsia"/>
          <w:b/>
          <w:sz w:val="28"/>
          <w:szCs w:val="28"/>
          <w:lang w:val="en-US" w:eastAsia="zh-CN"/>
        </w:rPr>
        <w:t>四</w:t>
      </w:r>
      <w:r>
        <w:rPr>
          <w:rFonts w:hint="eastAsia" w:cs="仿宋" w:asciiTheme="minorEastAsia" w:hAnsiTheme="minorEastAsia"/>
          <w:b/>
          <w:sz w:val="28"/>
          <w:szCs w:val="28"/>
        </w:rPr>
        <w:t>、竞赛规则</w:t>
      </w:r>
      <w:bookmarkEnd w:id="5"/>
    </w:p>
    <w:p>
      <w:pPr>
        <w:spacing w:line="360" w:lineRule="auto"/>
        <w:jc w:val="left"/>
        <w:outlineLvl w:val="1"/>
        <w:rPr>
          <w:rFonts w:asciiTheme="minorEastAsia" w:hAnsiTheme="minorEastAsia"/>
          <w:bCs/>
          <w:sz w:val="24"/>
        </w:rPr>
      </w:pPr>
      <w:bookmarkStart w:id="6" w:name="_Toc19784937"/>
      <w:r>
        <w:rPr>
          <w:rFonts w:hint="eastAsia" w:asciiTheme="minorEastAsia" w:hAnsiTheme="minorEastAsia"/>
          <w:bCs/>
          <w:sz w:val="24"/>
        </w:rPr>
        <w:t>（一）报名资格及报名要求</w:t>
      </w:r>
      <w:bookmarkEnd w:id="6"/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1.参赛队及参赛选手报名条件详见组队条件。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人员变更：参赛选手和指导教师报名获得确认后不得随意更换。如备赛过程中参赛选手和指导教师因故无法参赛，须由学校主管部门于相应赛项开赛时间10个工作日之前出具书面说明，经大赛组委会核实后予以更换，补充人员需满足本赛项参赛选手资格并接受审核；选手因特殊原因不能参加比赛时，则视为自动放弃竞赛；竞赛开始后，参赛队不得更换参赛选手，若有参赛队员缺席，不得补充参赛选手。未经核实擅自更换选手，比赛成绩无效。</w:t>
      </w:r>
    </w:p>
    <w:p>
      <w:pPr>
        <w:spacing w:line="360" w:lineRule="auto"/>
        <w:outlineLvl w:val="1"/>
        <w:rPr>
          <w:rFonts w:asciiTheme="minorEastAsia" w:hAnsiTheme="minorEastAsia"/>
          <w:bCs/>
          <w:sz w:val="24"/>
        </w:rPr>
      </w:pPr>
      <w:bookmarkStart w:id="7" w:name="_Toc19784938"/>
      <w:r>
        <w:rPr>
          <w:rFonts w:hint="eastAsia" w:asciiTheme="minorEastAsia" w:hAnsiTheme="minorEastAsia"/>
          <w:bCs/>
          <w:sz w:val="24"/>
        </w:rPr>
        <w:t>（二）熟悉场地</w:t>
      </w:r>
      <w:bookmarkEnd w:id="7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1.参赛选手应在竞赛日程规定的时间熟悉竞赛场地。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2.参赛队熟悉竞赛场地后，认为所提供的设备、工具等不符合竞赛规定或有异议时，参赛队领队必须在2小时内提出书面报告，送交赛项执委会进行处理，超过时效将不予受理。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8" w:name="_Toc19784939"/>
      <w:r>
        <w:rPr>
          <w:rFonts w:hint="eastAsia" w:asciiTheme="minorEastAsia" w:hAnsiTheme="minorEastAsia"/>
          <w:color w:val="000000"/>
          <w:sz w:val="24"/>
          <w:szCs w:val="24"/>
        </w:rPr>
        <w:t>（三）竞赛场次</w:t>
      </w:r>
      <w:bookmarkEnd w:id="8"/>
    </w:p>
    <w:p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比赛分场次进行，各参赛队应按照竞赛日程表参加公开抽签，确定比赛场次。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9" w:name="_Toc19784940"/>
      <w:r>
        <w:rPr>
          <w:rFonts w:hint="eastAsia" w:asciiTheme="minorEastAsia" w:hAnsiTheme="minorEastAsia"/>
          <w:color w:val="000000"/>
          <w:sz w:val="24"/>
          <w:szCs w:val="24"/>
        </w:rPr>
        <w:t>（四）检录与加密解密</w:t>
      </w:r>
      <w:bookmarkEnd w:id="9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1.检录：正式竞赛前，参赛队按领队抽签顺序分场次参加检录，选手必须携带身份证、学生证、参赛证（简称三证）。三证不全者原则上不能通过检录，特殊情况须经所在学校主管部门、公安机关出具有效证明。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抽签</w:t>
      </w:r>
      <w:r>
        <w:rPr>
          <w:rFonts w:hint="eastAsia" w:asciiTheme="minorEastAsia" w:hAnsiTheme="minorEastAsia"/>
          <w:color w:val="000000"/>
          <w:sz w:val="24"/>
          <w:szCs w:val="24"/>
        </w:rPr>
        <w:t>：通过检录的选手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通过抽签获得参赛顺序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抽签号</w:t>
      </w:r>
      <w:r>
        <w:rPr>
          <w:rFonts w:hint="eastAsia" w:asciiTheme="minorEastAsia" w:hAnsiTheme="minorEastAsia"/>
          <w:color w:val="000000"/>
          <w:sz w:val="24"/>
          <w:szCs w:val="24"/>
        </w:rPr>
        <w:t>号由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参赛</w:t>
      </w:r>
      <w:r>
        <w:rPr>
          <w:rFonts w:hint="eastAsia" w:asciiTheme="minorEastAsia" w:hAnsiTheme="minorEastAsia"/>
          <w:color w:val="000000"/>
          <w:sz w:val="24"/>
          <w:szCs w:val="24"/>
        </w:rPr>
        <w:t>选手亲自抽取。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3.正式比赛开始前参赛队确认设备及工具的完整性及安全性，如有异议及时反馈至裁判，根据实际情况进行检查或调整。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0" w:name="_Toc19784941"/>
      <w:r>
        <w:rPr>
          <w:rFonts w:hint="eastAsia" w:asciiTheme="minorEastAsia" w:hAnsiTheme="minorEastAsia"/>
          <w:color w:val="000000"/>
          <w:sz w:val="24"/>
          <w:szCs w:val="24"/>
        </w:rPr>
        <w:t>（五）正式比赛</w:t>
      </w:r>
      <w:bookmarkEnd w:id="10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1.选手凭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抽签</w:t>
      </w:r>
      <w:r>
        <w:rPr>
          <w:rFonts w:hint="eastAsia" w:asciiTheme="minorEastAsia" w:hAnsiTheme="minorEastAsia"/>
          <w:color w:val="000000"/>
          <w:sz w:val="24"/>
          <w:szCs w:val="24"/>
        </w:rPr>
        <w:t>号牌进入竞赛场地。裁判在选手候赛时间内将竞赛任务书下发到各工位，参赛选手根据任务书要求，自行分工，合理计划安排。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2.各参赛队统一听从裁判长发布竞赛开始指令后正式开始竞赛，合理利用现场提供的所有条件完成竞赛任务。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3.竞赛时间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：每个赛项竞赛时间均为</w:t>
      </w:r>
      <w:r>
        <w:rPr>
          <w:rFonts w:hint="eastAsia" w:asciiTheme="minorEastAsia" w:hAnsiTheme="minorEastAsia"/>
          <w:color w:val="000000"/>
          <w:sz w:val="24"/>
          <w:szCs w:val="24"/>
        </w:rPr>
        <w:t>连续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 w:val="24"/>
          <w:szCs w:val="24"/>
        </w:rPr>
        <w:t>小时。食品、饮水等由赛场统一提供，选手休息、饮食或如厕时间均计算在竞赛时间内。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.竞赛过程中，选手须严格遵守安全操作规范，以确保参赛人身及设备安全。选手因个人误操作造成人身安全事故和设备故障时，裁判长有权终止该队竞赛；如非选手个人因素出现设备故障而无法竞赛，由裁判长视具体情况做出裁决(调换到备份工位)；如裁判长确定设备故障可由技术支持人员排除故障后继续竞赛，将给参赛队补足所耽误的竞赛时间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5.参赛选手在比赛过程中可提出设备、器件更换要求。更换的设备、器件经裁判组检测后，如为非人为损坏，经裁判长同意，给予补时，否则每次按规定扣分。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6.参赛选手须在比赛工位上所指定的计算机文件夹内存储比赛文档。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7.参赛队若提前结束竞赛，应举手向裁判员示意，竞赛结束时间由现场裁判记录，参赛队结束竞赛后不得再进行任何操作。</w:t>
      </w:r>
    </w:p>
    <w:p>
      <w:pPr>
        <w:spacing w:line="360" w:lineRule="auto"/>
        <w:ind w:firstLine="46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8.裁判长在竞赛结束前 30 分钟、10 分钟分别进行竞赛剩余时间提醒，裁判长发布竞赛结束指令后所有参赛队立即停止操作，做好工位清理（经裁判长确认给予补时的参赛队可顺延至补时结束）。</w:t>
      </w:r>
    </w:p>
    <w:p>
      <w:pPr>
        <w:spacing w:line="360" w:lineRule="auto"/>
        <w:ind w:firstLine="46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9.参赛队须按照程序提交竞赛结果，现场裁判在竞赛结果的规定位置做标记，并与参赛队一起签字确认。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10.竞赛期间参赛选手不得自行离场，不得携带手机及其它电子设备。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1" w:name="_Toc19784942"/>
      <w:r>
        <w:rPr>
          <w:rFonts w:hint="eastAsia" w:asciiTheme="minorEastAsia" w:hAnsiTheme="minorEastAsia"/>
          <w:color w:val="000000"/>
          <w:sz w:val="24"/>
          <w:szCs w:val="24"/>
        </w:rPr>
        <w:t>（六）成绩评定</w:t>
      </w:r>
      <w:bookmarkEnd w:id="11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1.竞赛采用过程评分和结果评分相结合方式。过程评分针对竞赛过程中操作规范、职业素养进行评判，结果评分针对赛项各任务模块的完成情况进行评判。裁判应在相应评分表处签字。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2.成绩评定后，由裁判长和监督组长共同签字后，由专人送保密室封存。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2" w:name="_Toc19784943"/>
      <w:r>
        <w:rPr>
          <w:rFonts w:hint="eastAsia" w:asciiTheme="minorEastAsia" w:hAnsiTheme="minorEastAsia"/>
          <w:color w:val="000000"/>
          <w:sz w:val="24"/>
          <w:szCs w:val="24"/>
        </w:rPr>
        <w:t>（七）成绩复核与公布</w:t>
      </w:r>
      <w:bookmarkEnd w:id="12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1.为保障成绩评判的准确性，监督组对所有参赛队伍（选手）成绩进行复核。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2.监督组需将复检中发现的错误以书面方式及时告知裁判长，由裁判长更正成绩并签字确认。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3.复核、抽检错误率超过 5%的，则认定为非小概率事件，裁判组需对所有成绩进行复核。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4.竞赛成绩经复核无误后，由总裁判长、监督人员审核签字后确定。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5.赛项成绩无异议后，在闭赛式上予以公布。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3" w:name="_Toc19784944"/>
      <w:r>
        <w:rPr>
          <w:rFonts w:hint="eastAsia" w:asciiTheme="minorEastAsia" w:hAnsiTheme="minorEastAsia"/>
          <w:color w:val="000000"/>
          <w:sz w:val="24"/>
          <w:szCs w:val="24"/>
        </w:rPr>
        <w:t>（八）竞赛纪律</w:t>
      </w:r>
      <w:bookmarkEnd w:id="13"/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1.参赛队须按照大赛赛程安排前往指定地点参加比赛。</w:t>
      </w:r>
      <w:bookmarkStart w:id="14" w:name="OLE_LINK1"/>
      <w:r>
        <w:rPr>
          <w:rFonts w:hint="eastAsia" w:asciiTheme="minorEastAsia" w:hAnsiTheme="minorEastAsia"/>
          <w:color w:val="000000"/>
          <w:sz w:val="24"/>
          <w:szCs w:val="24"/>
        </w:rPr>
        <w:t>各参赛选手凭有效证件参加比赛，如有弄虚作假、冒名顶替者，将取消选手本人及所在参赛队的比赛资格。参赛队内选手着装要统一，须符合安全生产要求，并且不能带有所在院校的标记，否则成绩无效。参赛选手在竞赛过程中须主动配合裁判工作，服从裁判安排，如果对竞赛的裁决有异议，须通过领队以书面形式向仲裁组提出申诉。</w:t>
      </w:r>
    </w:p>
    <w:bookmarkEnd w:id="14"/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2.所有有关专家和裁判将签订保密协议,严守保密纪律，不得私自透露赛题非公开部分的内容。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3.任何人不得以任何方式暗示、指导、帮助、影响参赛选手。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.竞赛过程中，除参加当场次竞赛的选手、执行裁判员、现场工作人员和经批准的人员外，其他人员一律不得进入竞赛现场，参赛人员竞赛完毕应及时退出竞赛现场。对不听劝阻、无理取闹者追究责任，并通报批评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5.裁判员、仲裁组成员、其他工作人员违反工作守则，经大赛组委会核实后视情节轻重予以警告处分或取消其任职资格。</w:t>
      </w:r>
    </w:p>
    <w:p>
      <w:pPr>
        <w:spacing w:line="360" w:lineRule="auto"/>
        <w:ind w:firstLine="46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6.对违反竞赛各种纪律的参赛选手及所在代表队和单位，视情节轻重、后果影响予以取消竞赛评奖资格或通报批评。</w:t>
      </w:r>
    </w:p>
    <w:p>
      <w:pPr>
        <w:spacing w:line="360" w:lineRule="auto"/>
        <w:outlineLvl w:val="0"/>
        <w:rPr>
          <w:rFonts w:cs="仿宋" w:asciiTheme="minorEastAsia" w:hAnsiTheme="minorEastAsia"/>
          <w:b/>
          <w:sz w:val="28"/>
          <w:szCs w:val="28"/>
        </w:rPr>
      </w:pPr>
      <w:bookmarkStart w:id="15" w:name="_Toc19784945"/>
      <w:r>
        <w:rPr>
          <w:rFonts w:hint="eastAsia" w:cs="仿宋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cs="仿宋" w:asciiTheme="minorEastAsia" w:hAnsiTheme="minorEastAsia"/>
          <w:b/>
          <w:sz w:val="28"/>
          <w:szCs w:val="28"/>
        </w:rPr>
        <w:t>、竞赛环境</w:t>
      </w:r>
      <w:bookmarkEnd w:id="15"/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6" w:name="_Toc19784946"/>
      <w:r>
        <w:rPr>
          <w:rFonts w:hint="eastAsia" w:asciiTheme="minorEastAsia" w:hAnsiTheme="minorEastAsia"/>
          <w:color w:val="000000"/>
          <w:sz w:val="24"/>
          <w:szCs w:val="24"/>
        </w:rPr>
        <w:t>（一）竞赛场地</w:t>
      </w:r>
      <w:bookmarkEnd w:id="16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竞赛现场设置竞赛区、裁判区、服务区、技术支持区。现场保证良好的采光、照明和通风；提供稳定的水、电和供电应急设备。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7" w:name="_Toc19784947"/>
      <w:r>
        <w:rPr>
          <w:rFonts w:hint="eastAsia" w:asciiTheme="minorEastAsia" w:hAnsiTheme="minorEastAsia"/>
          <w:color w:val="000000"/>
          <w:sz w:val="24"/>
          <w:szCs w:val="24"/>
        </w:rPr>
        <w:t>（二）竞赛设备</w:t>
      </w:r>
      <w:bookmarkEnd w:id="17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所有竞赛设备由赛项执委会负责提供和保障，竞赛区按照参赛队数量准备比赛所需的软硬件平台，为参赛队提供标准竞赛设备。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8" w:name="_Toc19784948"/>
      <w:r>
        <w:rPr>
          <w:rFonts w:hint="eastAsia" w:asciiTheme="minorEastAsia" w:hAnsiTheme="minorEastAsia"/>
          <w:color w:val="000000"/>
          <w:sz w:val="24"/>
          <w:szCs w:val="24"/>
        </w:rPr>
        <w:t>（三）竞赛工位</w:t>
      </w:r>
      <w:bookmarkEnd w:id="18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竞赛现场各个工作区配备单相 220V/3.5A 以上交流电源。每个比赛工位上标明编号。每个比赛间配有工作台，用于摆放计算机和其它调试设备工具等。配备3把工作凳。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19" w:name="_Toc19784949"/>
      <w:r>
        <w:rPr>
          <w:rFonts w:hint="eastAsia" w:asciiTheme="minorEastAsia" w:hAnsiTheme="minorEastAsia"/>
          <w:color w:val="000000"/>
          <w:sz w:val="24"/>
          <w:szCs w:val="24"/>
        </w:rPr>
        <w:t>（四）医疗保障</w:t>
      </w:r>
      <w:bookmarkEnd w:id="19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服务区提供医疗等服务保障。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20" w:name="_Toc19784950"/>
      <w:r>
        <w:rPr>
          <w:rFonts w:hint="eastAsia" w:asciiTheme="minorEastAsia" w:hAnsiTheme="minorEastAsia"/>
          <w:color w:val="000000"/>
          <w:sz w:val="24"/>
          <w:szCs w:val="24"/>
        </w:rPr>
        <w:t>（五）赛场开放</w:t>
      </w:r>
      <w:bookmarkEnd w:id="20"/>
    </w:p>
    <w:p>
      <w:pPr>
        <w:spacing w:line="360" w:lineRule="auto"/>
        <w:ind w:firstLine="46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竞赛环境依据竞赛需求设计，在竞赛不被干扰的前提下赛场面向媒体、参赛院校指导教师、领导等开放。允许其在规定的时段内沿指定路线进行现场参观。</w:t>
      </w:r>
    </w:p>
    <w:p>
      <w:pPr>
        <w:spacing w:line="360" w:lineRule="auto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  <w:lang w:val="en-US" w:eastAsia="zh-CN"/>
        </w:rPr>
        <w:t>六</w:t>
      </w:r>
      <w:bookmarkStart w:id="22" w:name="_GoBack"/>
      <w:bookmarkEnd w:id="22"/>
      <w:r>
        <w:rPr>
          <w:rFonts w:hint="eastAsia" w:cs="仿宋" w:asciiTheme="minorEastAsia" w:hAnsiTheme="minorEastAsia"/>
          <w:b/>
          <w:sz w:val="28"/>
          <w:szCs w:val="28"/>
        </w:rPr>
        <w:t>、技术规范</w:t>
      </w:r>
    </w:p>
    <w:p>
      <w:pPr>
        <w:spacing w:line="360" w:lineRule="auto"/>
        <w:outlineLvl w:val="1"/>
        <w:rPr>
          <w:rFonts w:asciiTheme="minorEastAsia" w:hAnsiTheme="minorEastAsia"/>
          <w:color w:val="000000"/>
          <w:sz w:val="24"/>
          <w:szCs w:val="24"/>
        </w:rPr>
      </w:pPr>
      <w:bookmarkStart w:id="21" w:name="_Toc19784952"/>
      <w:r>
        <w:rPr>
          <w:rFonts w:hint="eastAsia" w:asciiTheme="minorEastAsia" w:hAnsiTheme="minorEastAsia"/>
          <w:color w:val="000000"/>
          <w:sz w:val="24"/>
          <w:szCs w:val="24"/>
        </w:rPr>
        <w:t>比赛流程规范</w:t>
      </w:r>
      <w:bookmarkEnd w:id="21"/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1.比赛前仔细检查工位工具等是否齐全，确认完好无损后签工位号。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2.仔细检查任务书，如出现任务书缺页、字迹不清等问题，请及时向裁判示意，更换任务书。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参赛选手提交的答题卡（截图\照片、视频资料）与任务书上只能按要求填写工位号等进行识别，不得填写指定内容之外的任何识别性标记。如果出现地区、校名、姓名等其他任何与竞赛队有关的识别信息，一经发现，竞赛试卷和作品作废，比赛按零分处理，并且提请大赛组委会进行处罚。</w:t>
      </w:r>
    </w:p>
    <w:p>
      <w:pPr>
        <w:spacing w:line="360" w:lineRule="auto"/>
        <w:ind w:firstLine="465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4.竞赛任务书、竞赛答题卡、竞赛工具、竞赛器材及竞赛材料等不得带出竞赛场地，一经发现，竞赛作品作废，比赛按零分处理。</w:t>
      </w:r>
    </w:p>
    <w:p>
      <w:pPr>
        <w:spacing w:line="360" w:lineRule="auto"/>
        <w:ind w:firstLine="46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5.各任务中要求的截图\照片必须按照题目要求进行命名。提交的截图/照片必须保持清晰，若因照片模糊、排版错乱影响评分，责任自负。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5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zzw</dc:creator>
  <cp:lastModifiedBy>祝-</cp:lastModifiedBy>
  <dcterms:modified xsi:type="dcterms:W3CDTF">2019-11-15T01:48:05Z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