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9" w:beforeLines="50" w:after="159" w:afterLines="50" w:line="288" w:lineRule="auto"/>
        <w:contextualSpacing/>
        <w:jc w:val="left"/>
        <w:rPr>
          <w:rFonts w:asciiTheme="minorEastAsia" w:hAnsiTheme="minorEastAsia" w:eastAsiaTheme="minorEastAsia"/>
          <w:b/>
          <w:sz w:val="32"/>
          <w:szCs w:val="24"/>
        </w:rPr>
      </w:pPr>
      <w:bookmarkStart w:id="0" w:name="_GoBack"/>
      <w:bookmarkEnd w:id="0"/>
    </w:p>
    <w:p>
      <w:pPr>
        <w:snapToGrid w:val="0"/>
        <w:spacing w:before="159" w:beforeLines="50" w:after="159" w:afterLines="50" w:line="288" w:lineRule="auto"/>
        <w:ind w:firstLine="640" w:firstLineChars="200"/>
        <w:contextualSpacing/>
        <w:jc w:val="center"/>
        <w:rPr>
          <w:rFonts w:hint="eastAsia" w:ascii="方正小标宋简体" w:hAnsi="方正小标宋简体" w:eastAsia="方正小标宋简体" w:cs="方正小标宋简体"/>
          <w:b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32"/>
          <w:szCs w:val="32"/>
          <w:shd w:val="clear" w:color="auto" w:fill="FFFFFF"/>
        </w:rPr>
        <w:t>2021年河北省职业院校（高职）模具数字化设计与制造工艺技能大赛赛项规程</w:t>
      </w:r>
    </w:p>
    <w:p>
      <w:pPr>
        <w:snapToGrid w:val="0"/>
        <w:spacing w:before="159" w:beforeLines="50" w:after="159" w:afterLines="50" w:line="288" w:lineRule="auto"/>
        <w:ind w:firstLine="482" w:firstLineChars="200"/>
        <w:contextualSpacing/>
        <w:rPr>
          <w:rFonts w:hint="eastAsia" w:cs="仿宋" w:asciiTheme="minorEastAsia" w:hAnsiTheme="minorEastAsia" w:eastAsiaTheme="minorEastAsia"/>
          <w:b/>
          <w:sz w:val="24"/>
          <w:szCs w:val="24"/>
        </w:rPr>
      </w:pPr>
    </w:p>
    <w:p>
      <w:pPr>
        <w:snapToGrid w:val="0"/>
        <w:spacing w:line="288" w:lineRule="auto"/>
        <w:ind w:firstLine="480" w:firstLineChars="200"/>
        <w:contextualSpacing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一、 比赛的职业、标准、形式和内容</w:t>
      </w:r>
    </w:p>
    <w:p>
      <w:pPr>
        <w:spacing w:line="288" w:lineRule="auto"/>
        <w:ind w:firstLine="480" w:firstLineChars="200"/>
        <w:contextualSpacing/>
        <w:rPr>
          <w:rStyle w:val="14"/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（一）职业：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模具</w:t>
      </w:r>
      <w:r>
        <w:rPr>
          <w:rFonts w:hint="eastAsia" w:ascii="仿宋_GB2312" w:hAnsi="仿宋_GB2312" w:eastAsia="仿宋_GB2312" w:cs="仿宋_GB2312"/>
          <w:sz w:val="24"/>
          <w:szCs w:val="24"/>
        </w:rPr>
        <w:t>设计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工程技术人员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模具</w:t>
      </w:r>
      <w:r>
        <w:rPr>
          <w:rFonts w:hint="eastAsia" w:ascii="仿宋_GB2312" w:hAnsi="仿宋_GB2312" w:eastAsia="仿宋_GB2312" w:cs="仿宋_GB2312"/>
          <w:sz w:val="24"/>
          <w:szCs w:val="24"/>
        </w:rPr>
        <w:t>工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铣</w:t>
      </w:r>
      <w:r>
        <w:rPr>
          <w:rFonts w:hint="eastAsia" w:ascii="仿宋_GB2312" w:hAnsi="仿宋_GB2312" w:eastAsia="仿宋_GB2312" w:cs="仿宋_GB2312"/>
          <w:sz w:val="24"/>
          <w:szCs w:val="24"/>
        </w:rPr>
        <w:t>工、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装配钳</w:t>
      </w:r>
      <w:r>
        <w:rPr>
          <w:rFonts w:hint="eastAsia" w:ascii="仿宋_GB2312" w:hAnsi="仿宋_GB2312" w:eastAsia="仿宋_GB2312" w:cs="仿宋_GB2312"/>
          <w:sz w:val="24"/>
          <w:szCs w:val="24"/>
        </w:rPr>
        <w:t>工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、塑料制品成型操作工</w:t>
      </w:r>
      <w:r>
        <w:rPr>
          <w:rFonts w:hint="eastAsia" w:ascii="仿宋_GB2312" w:hAnsi="仿宋_GB2312" w:eastAsia="仿宋_GB2312" w:cs="仿宋_GB2312"/>
          <w:sz w:val="24"/>
          <w:szCs w:val="24"/>
        </w:rPr>
        <w:t>等</w:t>
      </w:r>
      <w:r>
        <w:rPr>
          <w:rStyle w:val="14"/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spacing w:line="288" w:lineRule="auto"/>
        <w:ind w:firstLine="480" w:firstLineChars="200"/>
        <w:contextualSpacing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（二）标准：</w:t>
      </w:r>
    </w:p>
    <w:tbl>
      <w:tblPr>
        <w:tblStyle w:val="6"/>
        <w:tblW w:w="8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43"/>
        <w:gridCol w:w="4252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零部件名称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执行标准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模架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GB/T 12555-2006 塑料注射模模架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注射模技术条件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GB/T 12554-2006 塑料注射模技术条件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推杆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GB/T 4169.1-2006塑料射塑模具零件 第1部分：推杆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直导套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GB/T 4169.2-2006塑料射塑模具零件 第2部分：直导套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带头导套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GB/T 4169.3-2006塑料射塑模具零件 第3部分：带头导套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带头导柱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GB/T 4169.4-2006 塑料注射模零件 第4部分：带头导柱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有肩导柱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GB/T 4169.5-2006塑料射塑模具零件 第5部分：有肩导柱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垫块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GB/T 4169.6-2006塑料射塑模具零件 第6部分：垫块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推板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GB/T 4169.7-2006塑料注射模具零件 第7部分：推板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模板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GB/T 4169.8-2006塑料注射模模零件 第8部分：模板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限位钉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GB/T 4169.9-2006塑料注射模模零件 第9部分：限位钉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支承柱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GB/T 4169.10-2006塑料注射模模零件 第10部分：支承柱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定位元件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GB/T 4169.11-2006塑料注射模模零件 第11部分：圆形定位元件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14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锥板导套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GB/T 4169.12-2006塑料注射模模零件 第12部分：锥板导套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复位杆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GB/T 4169.13-2006塑料注射模模零件 第13部分：复位杆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16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推板导柱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GB/T 4169.14-2006塑料注射模零件 第14部分：推板导柱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17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扁推杆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GB/T 4169.15-2006塑料注射模模零件 第15部分：扁推杆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带肩推杆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GB/T 4169.16-2006塑料注射模模零件 第16部分：带肩推杆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19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推管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GB/T 4169.17-2006塑料注射模模零件 第17部分：推管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定位圈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GB/T 4169.18-2006塑料注射模模零件 第18部分：定位圈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21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浇口套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GB/T 4169.19-2006塑料注射模模零件 第19部分：浇口套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22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拉杆导柱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GB/T 4169.20-2006塑料注射模模零件 第20部分：拉杆导柱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23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定位件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GB/T 4169.21-2006 塑料注射模零件 第21部分：矩形定位件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24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接模扣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GB/T 4169.22-2006塑料注射模零件 第22部分：圆形接模扣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25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拉模扣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GB/T 4169.23-2006塑料注射模模零件 第23部分：矩形拉模扣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spacing w:line="288" w:lineRule="auto"/>
        <w:ind w:firstLine="480" w:firstLineChars="200"/>
        <w:contextualSpacing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288" w:lineRule="auto"/>
        <w:ind w:firstLine="480" w:firstLineChars="200"/>
        <w:contextualSpacing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（三）比赛形式</w:t>
      </w:r>
    </w:p>
    <w:p>
      <w:pPr>
        <w:pStyle w:val="16"/>
        <w:tabs>
          <w:tab w:val="left" w:pos="7310"/>
        </w:tabs>
        <w:spacing w:line="288" w:lineRule="auto"/>
        <w:ind w:firstLine="480"/>
        <w:contextualSpacing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.比赛要求在规定时间内</w:t>
      </w:r>
      <w:r>
        <w:rPr>
          <w:rFonts w:hint="eastAsia" w:ascii="仿宋_GB2312" w:hAnsi="仿宋_GB2312" w:eastAsia="仿宋_GB2312" w:cs="仿宋_GB2312"/>
          <w:sz w:val="24"/>
          <w:szCs w:val="24"/>
        </w:rPr>
        <w:t>，根据现代企业的生产条件和要求，完成包括企业真实生产模具成形调试、模具的优化设计、模具主要零件数控加工、模具装配调试。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比赛结束时间，停止一切操作；</w:t>
      </w:r>
    </w:p>
    <w:p>
      <w:pPr>
        <w:pStyle w:val="16"/>
        <w:tabs>
          <w:tab w:val="left" w:pos="7310"/>
        </w:tabs>
        <w:spacing w:line="288" w:lineRule="auto"/>
        <w:ind w:firstLine="480"/>
        <w:contextualSpacing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赛项上每所学校不得超过2个参赛队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每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人为1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队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，每队设指导教师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人；比赛时间为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小时。</w:t>
      </w:r>
    </w:p>
    <w:p>
      <w:pPr>
        <w:spacing w:line="288" w:lineRule="auto"/>
        <w:ind w:firstLine="480" w:firstLineChars="200"/>
        <w:contextualSpacing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（四）比赛内容</w:t>
      </w:r>
    </w:p>
    <w:p>
      <w:pPr>
        <w:spacing w:line="288" w:lineRule="auto"/>
        <w:ind w:firstLine="480" w:firstLineChars="200"/>
        <w:contextualSpacing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本赛项综合考核选手掌握模具数字化设计与制造技术的专业能力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和创新</w:t>
      </w:r>
      <w:r>
        <w:rPr>
          <w:rFonts w:hint="eastAsia" w:ascii="仿宋_GB2312" w:hAnsi="仿宋_GB2312" w:eastAsia="仿宋_GB2312" w:cs="仿宋_GB2312"/>
          <w:sz w:val="24"/>
          <w:szCs w:val="24"/>
        </w:rPr>
        <w:t>，团队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协</w:t>
      </w:r>
      <w:r>
        <w:rPr>
          <w:rFonts w:hint="eastAsia" w:ascii="仿宋_GB2312" w:hAnsi="仿宋_GB2312" w:eastAsia="仿宋_GB2312" w:cs="仿宋_GB2312"/>
          <w:sz w:val="24"/>
          <w:szCs w:val="24"/>
        </w:rPr>
        <w:t>作精神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、文明生产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具体包括：</w:t>
      </w:r>
    </w:p>
    <w:p>
      <w:pPr>
        <w:numPr>
          <w:ilvl w:val="0"/>
          <w:numId w:val="1"/>
        </w:numPr>
        <w:topLinePunct/>
        <w:spacing w:line="288" w:lineRule="auto"/>
        <w:ind w:left="0" w:firstLine="480" w:firstLineChars="200"/>
        <w:contextualSpacing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利用赛场CAD、CAE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CAM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软件设计制件与模具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设计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4小时）</w:t>
      </w:r>
    </w:p>
    <w:p>
      <w:pPr>
        <w:spacing w:line="288" w:lineRule="auto"/>
        <w:ind w:firstLine="480" w:firstLineChars="200"/>
        <w:contextualSpacing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选手依据平台提供的赛题要求和制件原始数据，进行制件和模具初始方案设计。应用注射模CAE软件对设计方案进行分析，并根据分析结果进行评价，生成分析报告并编制模具设计说明书。根据优化的设计方案完成模具3D结构设计和指定的模具零件的2D图绘制。</w:t>
      </w:r>
    </w:p>
    <w:p>
      <w:pPr>
        <w:spacing w:line="288" w:lineRule="auto"/>
        <w:ind w:firstLine="480" w:firstLineChars="200"/>
        <w:contextualSpacing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</w:rPr>
        <w:t>模具零件加工：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3小时）</w:t>
      </w:r>
    </w:p>
    <w:p>
      <w:pPr>
        <w:spacing w:line="288" w:lineRule="auto"/>
        <w:ind w:firstLine="480" w:firstLineChars="200"/>
        <w:contextualSpacing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填写</w:t>
      </w:r>
      <w:r>
        <w:rPr>
          <w:rFonts w:hint="eastAsia" w:ascii="仿宋_GB2312" w:hAnsi="仿宋_GB2312" w:eastAsia="仿宋_GB2312" w:cs="仿宋_GB2312"/>
          <w:sz w:val="24"/>
          <w:szCs w:val="24"/>
        </w:rPr>
        <w:t>型腔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、型芯、</w:t>
      </w:r>
      <w:r>
        <w:rPr>
          <w:rFonts w:hint="eastAsia" w:ascii="仿宋_GB2312" w:hAnsi="仿宋_GB2312" w:eastAsia="仿宋_GB2312" w:cs="仿宋_GB2312"/>
          <w:sz w:val="24"/>
          <w:szCs w:val="24"/>
        </w:rPr>
        <w:t>镶块成型零件加工工艺卡；借助赛场提供的CAM软件进行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型芯、</w:t>
      </w:r>
      <w:r>
        <w:rPr>
          <w:rFonts w:hint="eastAsia" w:ascii="仿宋_GB2312" w:hAnsi="仿宋_GB2312" w:eastAsia="仿宋_GB2312" w:cs="仿宋_GB2312"/>
          <w:sz w:val="24"/>
          <w:szCs w:val="24"/>
        </w:rPr>
        <w:t>型腔镶块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、斜顶等</w:t>
      </w:r>
      <w:r>
        <w:rPr>
          <w:rFonts w:hint="eastAsia" w:ascii="仿宋_GB2312" w:hAnsi="仿宋_GB2312" w:eastAsia="仿宋_GB2312" w:cs="仿宋_GB2312"/>
          <w:sz w:val="24"/>
          <w:szCs w:val="24"/>
        </w:rPr>
        <w:t>模具零件数控编程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并加工</w:t>
      </w:r>
      <w:r>
        <w:rPr>
          <w:rFonts w:hint="eastAsia" w:ascii="仿宋_GB2312" w:hAnsi="仿宋_GB2312" w:eastAsia="仿宋_GB2312" w:cs="仿宋_GB2312"/>
          <w:sz w:val="24"/>
          <w:szCs w:val="24"/>
        </w:rPr>
        <w:t>；</w:t>
      </w:r>
    </w:p>
    <w:p>
      <w:pPr>
        <w:numPr>
          <w:ilvl w:val="0"/>
          <w:numId w:val="0"/>
        </w:numPr>
        <w:topLinePunct/>
        <w:spacing w:line="288" w:lineRule="auto"/>
        <w:ind w:leftChars="200"/>
        <w:contextualSpacing/>
        <w:rPr>
          <w:rFonts w:hint="default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模具装配、调整：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2小时）</w:t>
      </w:r>
    </w:p>
    <w:p>
      <w:pPr>
        <w:spacing w:line="288" w:lineRule="auto"/>
        <w:ind w:firstLine="480" w:firstLineChars="200"/>
        <w:contextualSpacing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对型腔、型芯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、镶块、斜顶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成型零件的定位修配、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型芯、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型面抛光研磨； 模具总装配及调整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topLinePunct/>
        <w:spacing w:line="288" w:lineRule="auto"/>
        <w:ind w:leftChars="200"/>
        <w:contextualSpacing/>
        <w:rPr>
          <w:rFonts w:hint="default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试模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1小时）</w:t>
      </w:r>
    </w:p>
    <w:p>
      <w:pPr>
        <w:spacing w:line="288" w:lineRule="auto"/>
        <w:ind w:firstLine="480" w:firstLineChars="200"/>
        <w:contextualSpacing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现场填写试模成型的参数；模具在成型机上调试，成型加工出合格制件。</w:t>
      </w:r>
    </w:p>
    <w:p>
      <w:pPr>
        <w:spacing w:line="288" w:lineRule="auto"/>
        <w:ind w:firstLine="480" w:firstLineChars="200"/>
        <w:contextualSpacing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职业素养</w:t>
      </w:r>
    </w:p>
    <w:p>
      <w:pPr>
        <w:spacing w:line="288" w:lineRule="auto"/>
        <w:ind w:firstLine="480" w:firstLineChars="200"/>
        <w:contextualSpacing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竞赛过程中，对参赛选手的技术应用合理性、工具操作规范性、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设备操作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工艺规范性、耗材使用环保性、功耗控制节能性以及赛场安全、文明生产等进行综合评价。</w:t>
      </w:r>
    </w:p>
    <w:p>
      <w:pPr>
        <w:snapToGrid w:val="0"/>
        <w:spacing w:line="288" w:lineRule="auto"/>
        <w:ind w:firstLine="480" w:firstLineChars="200"/>
        <w:contextualSpacing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二、比赛的软硬件环境</w:t>
      </w:r>
    </w:p>
    <w:p>
      <w:pPr>
        <w:spacing w:line="288" w:lineRule="auto"/>
        <w:ind w:firstLine="482" w:firstLineChars="200"/>
        <w:contextualSpacing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（1）硬件环境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（每个竞赛位）</w:t>
      </w:r>
    </w:p>
    <w:tbl>
      <w:tblPr>
        <w:tblStyle w:val="6"/>
        <w:tblW w:w="8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680"/>
        <w:gridCol w:w="4965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器材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/>
              <w:contextualSpacing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规格/技术参数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每个工位配备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台，处理器：Intel酷睿i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；内存≥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；独立显卡，显存容量2GB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数控铣床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 X/Y/Z轴行程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0*400*500mm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2.主轴最高转速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:8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000rpm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3.台面尺寸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:40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0mm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4.X/Y/Z最高快速移动速度：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m/min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5.X/Y/Z最高进给移动速度：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m/min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6.承载能力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:6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00Kg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7.刀柄规格：BT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西门子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802D)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精密油电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注塑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成型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DLTZSCXJ-500B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2500×660×1600mm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锁模力：≥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0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拉杆间距：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60 mm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定位孔直径：￠1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mm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最大模厚：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 mm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最小模厚：180 mm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移模行程：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mm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(德立天牌）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钳工工作台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配备台虎钳、数控加工用刀架、锁刀器、台钻、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划线平台等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>
      <w:pPr>
        <w:spacing w:line="288" w:lineRule="auto"/>
        <w:ind w:firstLine="482" w:firstLineChars="200"/>
        <w:contextualSpacing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tbl>
      <w:tblPr>
        <w:tblStyle w:val="6"/>
        <w:tblpPr w:leftFromText="180" w:rightFromText="180" w:vertAnchor="text" w:horzAnchor="page" w:tblpX="1777" w:tblpY="491"/>
        <w:tblOverlap w:val="never"/>
        <w:tblW w:w="8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386"/>
        <w:gridCol w:w="3172"/>
        <w:gridCol w:w="3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6467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/>
              <w:contextualSpacing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/>
              <w:contextualSpacing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操作系统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/>
              <w:contextualSpacing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329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/>
              <w:contextualSpacing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Windows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/>
              <w:contextualSpacing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/>
              <w:contextualSpacing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应用软件</w:t>
            </w:r>
          </w:p>
        </w:tc>
        <w:tc>
          <w:tcPr>
            <w:tcW w:w="646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310"/>
              </w:tabs>
              <w:spacing w:before="0" w:beforeAutospacing="0" w:after="0" w:afterAutospacing="0" w:line="288" w:lineRule="auto"/>
              <w:ind w:left="0" w:right="0" w:firstLine="480" w:firstLineChars="200"/>
              <w:contextualSpacing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Win7操作系统；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WPS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中文版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/>
              <w:contextualSpacing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/>
              <w:contextualSpacing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646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310"/>
              </w:tabs>
              <w:spacing w:before="0" w:beforeAutospacing="0" w:after="0" w:afterAutospacing="0" w:line="288" w:lineRule="auto"/>
              <w:ind w:left="0" w:right="0" w:firstLine="480" w:firstLineChars="200"/>
              <w:contextualSpacing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西门子NX1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.0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UG1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.0 教育版（带标准模架及标准件库）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/>
              <w:contextualSpacing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/>
              <w:contextualSpacing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应用软件</w:t>
            </w:r>
          </w:p>
        </w:tc>
        <w:tc>
          <w:tcPr>
            <w:tcW w:w="646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310"/>
              </w:tabs>
              <w:spacing w:before="0" w:beforeAutospacing="0" w:after="0" w:afterAutospacing="0" w:line="288" w:lineRule="auto"/>
              <w:ind w:left="0" w:right="0" w:firstLine="480" w:firstLineChars="200"/>
              <w:contextualSpacing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Moldflow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/>
              <w:contextualSpacing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/>
              <w:contextualSpacing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应用软件</w:t>
            </w:r>
          </w:p>
        </w:tc>
        <w:tc>
          <w:tcPr>
            <w:tcW w:w="646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310"/>
              </w:tabs>
              <w:spacing w:before="0" w:beforeAutospacing="0" w:after="0" w:afterAutospacing="0" w:line="288" w:lineRule="auto"/>
              <w:ind w:left="0" w:right="0" w:firstLine="480" w:firstLineChars="200"/>
              <w:contextualSpacing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CAXA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电子图版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CAXA制造工程师201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</w:tr>
    </w:tbl>
    <w:p>
      <w:pPr>
        <w:spacing w:line="288" w:lineRule="auto"/>
        <w:ind w:firstLine="482" w:firstLineChars="200"/>
        <w:contextualSpacing/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2）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软件环境</w:t>
      </w:r>
    </w:p>
    <w:p>
      <w:pPr>
        <w:snapToGrid w:val="0"/>
        <w:spacing w:line="288" w:lineRule="auto"/>
        <w:ind w:firstLine="480" w:firstLineChars="200"/>
        <w:contextualSpacing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</w:p>
    <w:p>
      <w:pPr>
        <w:snapToGrid w:val="0"/>
        <w:spacing w:line="288" w:lineRule="auto"/>
        <w:ind w:firstLine="480" w:firstLineChars="200"/>
        <w:contextualSpacing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</w:p>
    <w:p>
      <w:pPr>
        <w:snapToGrid w:val="0"/>
        <w:spacing w:line="288" w:lineRule="auto"/>
        <w:ind w:firstLine="480" w:firstLineChars="200"/>
        <w:contextualSpacing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三、重要说明</w:t>
      </w:r>
    </w:p>
    <w:p>
      <w:pPr>
        <w:tabs>
          <w:tab w:val="left" w:pos="7310"/>
        </w:tabs>
        <w:spacing w:line="288" w:lineRule="auto"/>
        <w:ind w:firstLine="480" w:firstLineChars="200"/>
        <w:contextualSpacing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（1）检查硬件设备、竞赛工具、耗材、PC机等是否完好且数量齐全。</w:t>
      </w:r>
    </w:p>
    <w:p>
      <w:pPr>
        <w:tabs>
          <w:tab w:val="left" w:pos="7310"/>
        </w:tabs>
        <w:spacing w:line="288" w:lineRule="auto"/>
        <w:ind w:firstLine="480" w:firstLineChars="200"/>
        <w:contextualSpacing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（2）赛场已在计算机上安装比赛所需要的软件环境，检查电脑设备是否正常。</w:t>
      </w:r>
    </w:p>
    <w:p>
      <w:pPr>
        <w:tabs>
          <w:tab w:val="left" w:pos="7310"/>
        </w:tabs>
        <w:spacing w:line="288" w:lineRule="auto"/>
        <w:ind w:firstLine="480" w:firstLineChars="200"/>
        <w:contextualSpacing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（3）禁止携带和使用移动存储设备、通信工具及参考资料。</w:t>
      </w:r>
    </w:p>
    <w:p>
      <w:pPr>
        <w:tabs>
          <w:tab w:val="left" w:pos="7310"/>
        </w:tabs>
        <w:spacing w:line="288" w:lineRule="auto"/>
        <w:ind w:firstLine="480" w:firstLineChars="200"/>
        <w:contextualSpacing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（4）操作完成后，不要关闭任何设备，不要对设备随意添加密码，离开时将试卷留在考场。</w:t>
      </w:r>
    </w:p>
    <w:p>
      <w:pPr>
        <w:tabs>
          <w:tab w:val="left" w:pos="7310"/>
        </w:tabs>
        <w:spacing w:line="288" w:lineRule="auto"/>
        <w:ind w:firstLine="480" w:firstLineChars="200"/>
        <w:contextualSpacing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（5）不要损坏赛场准备的比赛所需要的竞赛设备、竞赛软件和竞赛材料等。</w:t>
      </w:r>
    </w:p>
    <w:p>
      <w:pPr>
        <w:tabs>
          <w:tab w:val="left" w:pos="7310"/>
        </w:tabs>
        <w:spacing w:line="288" w:lineRule="auto"/>
        <w:ind w:firstLine="480" w:firstLineChars="200"/>
        <w:contextualSpacing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（6）</w:t>
      </w:r>
      <w:r>
        <w:rPr>
          <w:rFonts w:hint="eastAsia" w:ascii="仿宋_GB2312" w:hAnsi="仿宋_GB2312" w:eastAsia="仿宋_GB2312" w:cs="仿宋_GB2312"/>
          <w:sz w:val="24"/>
          <w:szCs w:val="24"/>
        </w:rPr>
        <w:t>提供的材料根据大赛试题所列，足够每队使用，各参赛队不允许自带耗材。</w:t>
      </w:r>
    </w:p>
    <w:p>
      <w:pPr>
        <w:tabs>
          <w:tab w:val="left" w:pos="7310"/>
        </w:tabs>
        <w:spacing w:line="288" w:lineRule="auto"/>
        <w:ind w:firstLine="482" w:firstLineChars="200"/>
        <w:contextualSpacing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选手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自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带工具、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等（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具体明细见下面各清单列表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）</w:t>
      </w:r>
    </w:p>
    <w:p>
      <w:pPr>
        <w:jc w:val="center"/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  <w:t>自备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>劳保物品清单</w:t>
      </w:r>
    </w:p>
    <w:tbl>
      <w:tblPr>
        <w:tblStyle w:val="6"/>
        <w:tblW w:w="838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7"/>
        <w:gridCol w:w="1740"/>
        <w:gridCol w:w="1575"/>
        <w:gridCol w:w="1275"/>
        <w:gridCol w:w="913"/>
        <w:gridCol w:w="20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规格及型号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劳保鞋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竞赛现场检查列入文明生产考核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防护镜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付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口罩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副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0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意外伤害险保险单（复印件）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对应参赛选手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份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赛事期间有效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61" w:beforeLines="50"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24"/>
          <w:szCs w:val="24"/>
          <w:lang w:val="en-US" w:eastAsia="zh-CN" w:bidi="ar-SA"/>
        </w:rPr>
        <w:t>自备刀具清单</w:t>
      </w:r>
    </w:p>
    <w:tbl>
      <w:tblPr>
        <w:tblStyle w:val="7"/>
        <w:tblW w:w="8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401"/>
        <w:gridCol w:w="2849"/>
        <w:gridCol w:w="1365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序号</w:t>
            </w:r>
          </w:p>
        </w:tc>
        <w:tc>
          <w:tcPr>
            <w:tcW w:w="240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品　　名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规格型号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数量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/工位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硬质合金立铣刀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D10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D8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D6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D4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D2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硬质合金球头铣刀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D6R3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D4R2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D2R1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</w:t>
            </w:r>
          </w:p>
        </w:tc>
        <w:tc>
          <w:tcPr>
            <w:tcW w:w="2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中心钻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D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4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钻头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D2.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8、D2.9、D4.7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D5.2、D5.5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D6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D6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*120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D9.7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D11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5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绞刀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D3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D4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D5、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D6、D12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6</w:t>
            </w:r>
          </w:p>
        </w:tc>
        <w:tc>
          <w:tcPr>
            <w:tcW w:w="2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牙攻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M6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M8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spacing w:line="240" w:lineRule="auto"/>
        <w:ind w:firstLine="0" w:firstLineChars="0"/>
        <w:jc w:val="center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  <w:t>自备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>工量具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  <w:t>清单</w:t>
      </w:r>
    </w:p>
    <w:tbl>
      <w:tblPr>
        <w:tblStyle w:val="6"/>
        <w:tblpPr w:leftFromText="180" w:rightFromText="180" w:vertAnchor="text" w:horzAnchor="page" w:tblpXSpec="center" w:tblpY="31"/>
        <w:tblOverlap w:val="never"/>
        <w:tblW w:w="84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5535"/>
        <w:gridCol w:w="1365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序号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项目及规格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数量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/工位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标准垫铁供大赛选手加工使用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1盒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铜棒规格：D30X200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1根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刀架：供放置刀柄用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1个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4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小锉刀：修毛刺用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1套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5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机械式寻边器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1个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6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M6-M10螺纹扳手，手动攻螺纹用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1把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7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刀柄规格与数量：BT40刀柄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5个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8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刀柄夹头扳手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1个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9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BT40钻夹头刀柄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1个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10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钻夹头扳手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1个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11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卡套规格与数量：Φ10、Φ8，Φ6，Φ4，Φ2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各1个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12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百分表及表座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1套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13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液压虎钳及虎钳手柄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1个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14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活动扳手，供调整虎钳用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1套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15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油石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1块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16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毛刷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1把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17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梅花扳手24-27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1把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18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0-150带表卡尺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1把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19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0-25内径千分尺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1把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0-25外径千分尺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1把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21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eastAsia="zh-CN"/>
              </w:rPr>
              <w:t>板锉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</w:rPr>
              <w:t>1把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22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eastAsia="zh-CN"/>
              </w:rPr>
              <w:t>什锦锉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24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eastAsia="zh-CN"/>
              </w:rPr>
              <w:t>皮榔头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  <w:t>1个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</w:tbl>
    <w:p>
      <w:pPr>
        <w:snapToGrid w:val="0"/>
        <w:spacing w:line="288" w:lineRule="auto"/>
        <w:ind w:firstLine="480" w:firstLineChars="200"/>
        <w:contextualSpacing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</w:p>
    <w:p>
      <w:pPr>
        <w:snapToGrid w:val="0"/>
        <w:spacing w:line="288" w:lineRule="auto"/>
        <w:ind w:firstLine="480" w:firstLineChars="200"/>
        <w:contextualSpacing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四、相关知识技能点及参考资料</w:t>
      </w:r>
    </w:p>
    <w:p>
      <w:pPr>
        <w:tabs>
          <w:tab w:val="left" w:pos="7310"/>
        </w:tabs>
        <w:spacing w:line="288" w:lineRule="auto"/>
        <w:ind w:firstLine="480" w:firstLineChars="200"/>
        <w:contextualSpacing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（一）相关知识技能点</w:t>
      </w:r>
    </w:p>
    <w:p>
      <w:pPr>
        <w:tabs>
          <w:tab w:val="left" w:pos="7310"/>
        </w:tabs>
        <w:spacing w:line="288" w:lineRule="auto"/>
        <w:ind w:firstLine="480" w:firstLineChars="200"/>
        <w:contextualSpacing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1.常见塑料模具基础理论知识，包括塑料材料成型理论、模具钢材的选用、 </w:t>
      </w:r>
    </w:p>
    <w:p>
      <w:pPr>
        <w:tabs>
          <w:tab w:val="left" w:pos="7310"/>
        </w:tabs>
        <w:spacing w:line="288" w:lineRule="auto"/>
        <w:ind w:firstLine="480" w:firstLineChars="200"/>
        <w:contextualSpacing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注塑机的选择。 </w:t>
      </w:r>
    </w:p>
    <w:p>
      <w:pPr>
        <w:tabs>
          <w:tab w:val="left" w:pos="7310"/>
        </w:tabs>
        <w:spacing w:line="288" w:lineRule="auto"/>
        <w:ind w:firstLine="480" w:firstLineChars="200"/>
        <w:contextualSpacing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2.常用三维软件在模具设计中的应用知识，产品质量分析，产品拔模角度分 </w:t>
      </w:r>
    </w:p>
    <w:p>
      <w:pPr>
        <w:tabs>
          <w:tab w:val="left" w:pos="7310"/>
        </w:tabs>
        <w:spacing w:line="288" w:lineRule="auto"/>
        <w:contextualSpacing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析，分型面的选择，型芯型腔面的提取，曲面补孔命令，实体补孔命令，滑块的 三维设计，斜顶的设计，干涉体的提取，三维模架的选择等。 </w:t>
      </w:r>
    </w:p>
    <w:p>
      <w:pPr>
        <w:tabs>
          <w:tab w:val="left" w:pos="7310"/>
        </w:tabs>
        <w:spacing w:line="288" w:lineRule="auto"/>
        <w:ind w:firstLine="480" w:firstLineChars="200"/>
        <w:contextualSpacing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3.常见二维软件在模具设计中的应用知识：模架的选择，三维实体的二维转 </w:t>
      </w:r>
    </w:p>
    <w:p>
      <w:pPr>
        <w:tabs>
          <w:tab w:val="left" w:pos="7310"/>
        </w:tabs>
        <w:spacing w:line="288" w:lineRule="auto"/>
        <w:contextualSpacing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换能力，图层的设计，线型线宽的设计，二维设计软件中块的建立，装配图的建立，型芯型腔图的建立，各种标准件的调用与建立等等。 </w:t>
      </w:r>
    </w:p>
    <w:p>
      <w:pPr>
        <w:tabs>
          <w:tab w:val="left" w:pos="7310"/>
        </w:tabs>
        <w:spacing w:line="288" w:lineRule="auto"/>
        <w:ind w:firstLine="480" w:firstLineChars="200"/>
        <w:contextualSpacing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4.常见数控铣床操作与编程在模具设计与制造中的应用知识：工件的安装与找正，刀具的安装与调整，加工数据的传输能力，CAM 软件编程知识，刀具库的建立，切削参数的应用，粗加工方法参数设定，半精加工方法的使用，精加工方法的使用、清根方法的使用，各种孔加工方法的使用，G 代码的知识，模拟仿真与后处理知识。 </w:t>
      </w:r>
    </w:p>
    <w:p>
      <w:pPr>
        <w:tabs>
          <w:tab w:val="left" w:pos="7310"/>
        </w:tabs>
        <w:spacing w:line="288" w:lineRule="auto"/>
        <w:ind w:firstLine="480" w:firstLineChars="200"/>
        <w:contextualSpacing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5.模具 CAE 分析软件的应用知识：文件格式的转换能力，网格面的修复能力，水路设计能力，浇口位置的选择能力，充模分析能力，冷却分析与缩水变形分析能力，分析报告制定的能力。 </w:t>
      </w:r>
    </w:p>
    <w:p>
      <w:pPr>
        <w:tabs>
          <w:tab w:val="left" w:pos="7310"/>
        </w:tabs>
        <w:spacing w:line="288" w:lineRule="auto"/>
        <w:ind w:firstLine="480" w:firstLineChars="200"/>
        <w:contextualSpacing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6.钳工操作应用知识：机床夹具的调整能力，钻孔工具的使用，螺纹工具的使用能力，模具装配的能力。</w:t>
      </w:r>
    </w:p>
    <w:p>
      <w:pPr>
        <w:tabs>
          <w:tab w:val="left" w:pos="7310"/>
        </w:tabs>
        <w:spacing w:line="288" w:lineRule="auto"/>
        <w:ind w:firstLine="480" w:firstLineChars="200"/>
        <w:contextualSpacing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（二） 参考资料</w:t>
      </w:r>
    </w:p>
    <w:tbl>
      <w:tblPr>
        <w:tblStyle w:val="6"/>
        <w:tblW w:w="8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211"/>
        <w:gridCol w:w="5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资料类型</w:t>
            </w:r>
          </w:p>
        </w:tc>
        <w:tc>
          <w:tcPr>
            <w:tcW w:w="52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资料名称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课程教材</w:t>
            </w:r>
          </w:p>
        </w:tc>
        <w:tc>
          <w:tcPr>
            <w:tcW w:w="5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塑料成型工艺及模具设计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课程教材</w:t>
            </w:r>
          </w:p>
        </w:tc>
        <w:tc>
          <w:tcPr>
            <w:tcW w:w="5249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88" w:lineRule="auto"/>
              <w:ind w:left="0" w:right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模具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CAD/CAM/CAE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课程教材</w:t>
            </w:r>
          </w:p>
        </w:tc>
        <w:tc>
          <w:tcPr>
            <w:tcW w:w="52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模具零件数控加工技术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课程教材</w:t>
            </w:r>
          </w:p>
        </w:tc>
        <w:tc>
          <w:tcPr>
            <w:tcW w:w="52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模具制造技术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课程教材</w:t>
            </w:r>
          </w:p>
        </w:tc>
        <w:tc>
          <w:tcPr>
            <w:tcW w:w="52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注塑成型设备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》</w:t>
            </w:r>
          </w:p>
        </w:tc>
      </w:tr>
    </w:tbl>
    <w:p>
      <w:pPr>
        <w:snapToGrid w:val="0"/>
        <w:spacing w:line="288" w:lineRule="auto"/>
        <w:ind w:firstLine="480" w:firstLineChars="200"/>
        <w:contextualSpacing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green"/>
        </w:rPr>
      </w:pPr>
    </w:p>
    <w:p>
      <w:pPr>
        <w:snapToGrid w:val="0"/>
        <w:spacing w:line="288" w:lineRule="auto"/>
        <w:ind w:firstLine="480" w:firstLineChars="200"/>
        <w:contextualSpacing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五、评分规定</w:t>
      </w:r>
    </w:p>
    <w:p>
      <w:pPr>
        <w:spacing w:line="288" w:lineRule="auto"/>
        <w:ind w:firstLine="480" w:firstLineChars="200"/>
        <w:contextualSpacing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本届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模具数字化设计与制造工艺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大赛比赛时间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10小时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模具装配完成后进行制件成型试模，时间为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小时，为独立时间。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评分为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个部分：</w:t>
      </w:r>
      <w:r>
        <w:rPr>
          <w:rFonts w:hint="eastAsia" w:ascii="仿宋_GB2312" w:hAnsi="仿宋_GB2312" w:eastAsia="仿宋_GB2312" w:cs="仿宋_GB2312"/>
          <w:sz w:val="24"/>
          <w:szCs w:val="24"/>
        </w:rPr>
        <w:t>根据给定任务书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创新设计</w:t>
      </w:r>
      <w:r>
        <w:rPr>
          <w:rFonts w:hint="eastAsia" w:ascii="仿宋_GB2312" w:hAnsi="仿宋_GB2312" w:eastAsia="仿宋_GB2312" w:cs="仿宋_GB2312"/>
          <w:sz w:val="24"/>
          <w:szCs w:val="24"/>
        </w:rPr>
        <w:t>塑料产品部分的2D/3D图，利用赛场提供的半成品注塑模具、数控机床及相关软件平台完成产品及模具CAD设计分析→CAM编程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</w:rPr>
        <w:t>主要零件加工→模具装配→试模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职业素养，共计总分为100分。</w:t>
      </w:r>
    </w:p>
    <w:p>
      <w:pPr>
        <w:spacing w:line="288" w:lineRule="auto"/>
        <w:ind w:firstLine="480" w:firstLineChars="200"/>
        <w:contextualSpacing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（一）具体评分标准分别如下：</w:t>
      </w:r>
    </w:p>
    <w:tbl>
      <w:tblPr>
        <w:tblStyle w:val="6"/>
        <w:tblW w:w="91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945"/>
        <w:gridCol w:w="3172"/>
        <w:gridCol w:w="735"/>
        <w:gridCol w:w="2288"/>
        <w:gridCol w:w="7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24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一级指标</w:t>
            </w:r>
          </w:p>
        </w:tc>
        <w:tc>
          <w:tcPr>
            <w:tcW w:w="94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比例</w:t>
            </w:r>
          </w:p>
        </w:tc>
        <w:tc>
          <w:tcPr>
            <w:tcW w:w="317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 w:firstLine="720" w:firstLineChars="3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二级指标</w:t>
            </w:r>
          </w:p>
        </w:tc>
        <w:tc>
          <w:tcPr>
            <w:tcW w:w="73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比例</w:t>
            </w:r>
          </w:p>
        </w:tc>
        <w:tc>
          <w:tcPr>
            <w:tcW w:w="228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级指标</w:t>
            </w:r>
          </w:p>
        </w:tc>
        <w:tc>
          <w:tcPr>
            <w:tcW w:w="750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12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塑料制品及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模具CAD设计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30%</w:t>
            </w:r>
          </w:p>
        </w:tc>
        <w:tc>
          <w:tcPr>
            <w:tcW w:w="31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  <w:tab w:val="left" w:pos="5040"/>
                <w:tab w:val="left" w:pos="68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产品造型创新设计、模具3D总装配图、主流道结构尺寸合理、分流道位置、形状、大小合理、浇口位置、形状、大小合理，零件之间不干涉。</w:t>
            </w:r>
          </w:p>
        </w:tc>
        <w:tc>
          <w:tcPr>
            <w:tcW w:w="73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</w:t>
            </w:r>
          </w:p>
        </w:tc>
        <w:tc>
          <w:tcPr>
            <w:tcW w:w="22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  <w:tab w:val="left" w:pos="5040"/>
                <w:tab w:val="left" w:pos="68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塑料产品创新设计</w:t>
            </w:r>
          </w:p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  <w:tab w:val="left" w:pos="5040"/>
                <w:tab w:val="left" w:pos="68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  <w:tab w:val="left" w:pos="5040"/>
                <w:tab w:val="left" w:pos="68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模具 3D 总装配图</w:t>
            </w:r>
          </w:p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绘制成型零件2D工程图、包括尺寸标注与技术要求、标题栏、模具设计说明书等。</w:t>
            </w:r>
          </w:p>
        </w:tc>
        <w:tc>
          <w:tcPr>
            <w:tcW w:w="73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</w:t>
            </w:r>
          </w:p>
        </w:tc>
        <w:tc>
          <w:tcPr>
            <w:tcW w:w="22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  <w:tab w:val="left" w:pos="5040"/>
                <w:tab w:val="left" w:pos="68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模具 2D 装配图</w:t>
            </w:r>
          </w:p>
        </w:tc>
        <w:tc>
          <w:tcPr>
            <w:tcW w:w="75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  <w:tab w:val="left" w:pos="5040"/>
                <w:tab w:val="left" w:pos="68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型芯、型腔工程图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设计说明书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CAE分析与优化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15%</w:t>
            </w:r>
          </w:p>
        </w:tc>
        <w:tc>
          <w:tcPr>
            <w:tcW w:w="31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制品导出文件、网格质量、 </w:t>
            </w:r>
          </w:p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浇注系统设计等</w:t>
            </w:r>
          </w:p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</w:t>
            </w:r>
          </w:p>
        </w:tc>
        <w:tc>
          <w:tcPr>
            <w:tcW w:w="22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网格划分、流道设计</w:t>
            </w:r>
          </w:p>
        </w:tc>
        <w:tc>
          <w:tcPr>
            <w:tcW w:w="75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分析运行、结果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CAE 报告文件及优化、翘曲分析</w:t>
            </w:r>
          </w:p>
        </w:tc>
        <w:tc>
          <w:tcPr>
            <w:tcW w:w="73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</w:t>
            </w:r>
          </w:p>
        </w:tc>
        <w:tc>
          <w:tcPr>
            <w:tcW w:w="22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CAE报告文件及优化</w:t>
            </w:r>
          </w:p>
        </w:tc>
        <w:tc>
          <w:tcPr>
            <w:tcW w:w="75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翘曲分析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2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成形零件加工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20%</w:t>
            </w:r>
          </w:p>
        </w:tc>
        <w:tc>
          <w:tcPr>
            <w:tcW w:w="31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成型零件数控加工、加工步距选择是否合理、精加工加工方式选择是否合理、是否有局部精加工刀路、精加工刀路是否有重叠、退刀方式及参数是否合理。</w:t>
            </w:r>
          </w:p>
        </w:tc>
        <w:tc>
          <w:tcPr>
            <w:tcW w:w="73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20%</w:t>
            </w:r>
          </w:p>
        </w:tc>
        <w:tc>
          <w:tcPr>
            <w:tcW w:w="22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刀路和 CNC 表单</w:t>
            </w:r>
          </w:p>
        </w:tc>
        <w:tc>
          <w:tcPr>
            <w:tcW w:w="75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零件精度和表面质量</w:t>
            </w:r>
          </w:p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  <w:jc w:val="center"/>
        </w:trPr>
        <w:tc>
          <w:tcPr>
            <w:tcW w:w="12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模具装配与塑件质量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25%</w:t>
            </w:r>
          </w:p>
        </w:tc>
        <w:tc>
          <w:tcPr>
            <w:tcW w:w="31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模具分型面合模精度；移动机构的运动精度；顶杆能否顶出、模具零件之间配合；成型尺寸精度；</w:t>
            </w:r>
          </w:p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型面粗糙度滑块及斜顶的运动精度。</w:t>
            </w:r>
          </w:p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成型尺寸精度；</w:t>
            </w:r>
          </w:p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型面粗糙度</w:t>
            </w:r>
          </w:p>
        </w:tc>
        <w:tc>
          <w:tcPr>
            <w:tcW w:w="73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</w:t>
            </w:r>
          </w:p>
        </w:tc>
        <w:tc>
          <w:tcPr>
            <w:tcW w:w="228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零部件修配质量</w:t>
            </w:r>
          </w:p>
        </w:tc>
        <w:tc>
          <w:tcPr>
            <w:tcW w:w="75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模具装配完整与运动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制件成形质量检测、塑件的尺寸、飞边、凹陷、缩痕、银丝等。</w:t>
            </w:r>
          </w:p>
        </w:tc>
        <w:tc>
          <w:tcPr>
            <w:tcW w:w="73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</w:t>
            </w:r>
          </w:p>
        </w:tc>
        <w:tc>
          <w:tcPr>
            <w:tcW w:w="228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制件尺寸符合图纸要求 </w:t>
            </w:r>
          </w:p>
        </w:tc>
        <w:tc>
          <w:tcPr>
            <w:tcW w:w="75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表面质量和飞边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2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竞赛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过程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现场评分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</w:t>
            </w:r>
          </w:p>
        </w:tc>
        <w:tc>
          <w:tcPr>
            <w:tcW w:w="31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安全文明生产、安全操作机床、断刀情况、工具、量具、刀具的摆放、是否戴手套对刀、主轴不停，装夹工件，粗暴装配模等</w:t>
            </w:r>
          </w:p>
        </w:tc>
        <w:tc>
          <w:tcPr>
            <w:tcW w:w="73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10%</w:t>
            </w:r>
          </w:p>
        </w:tc>
        <w:tc>
          <w:tcPr>
            <w:tcW w:w="228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操作文明、规范</w:t>
            </w:r>
          </w:p>
        </w:tc>
        <w:tc>
          <w:tcPr>
            <w:tcW w:w="75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exact"/>
          <w:jc w:val="center"/>
        </w:trPr>
        <w:tc>
          <w:tcPr>
            <w:tcW w:w="124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7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绿色环保，循环利用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1246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总分</w:t>
            </w:r>
          </w:p>
        </w:tc>
        <w:tc>
          <w:tcPr>
            <w:tcW w:w="945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100%</w:t>
            </w:r>
          </w:p>
        </w:tc>
      </w:tr>
    </w:tbl>
    <w:p>
      <w:pPr>
        <w:tabs>
          <w:tab w:val="left" w:pos="7310"/>
        </w:tabs>
        <w:spacing w:line="288" w:lineRule="auto"/>
        <w:ind w:firstLine="480" w:firstLineChars="200"/>
        <w:contextualSpacing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napToGrid w:val="0"/>
        <w:spacing w:line="288" w:lineRule="auto"/>
        <w:ind w:firstLine="480" w:firstLineChars="200"/>
        <w:contextualSpacing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 xml:space="preserve">六、竞赛方式 </w:t>
      </w:r>
    </w:p>
    <w:p>
      <w:pPr>
        <w:spacing w:line="288" w:lineRule="auto"/>
        <w:ind w:firstLine="480" w:firstLineChars="200"/>
        <w:contextualSpacing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（一）竞赛以团队方式进行，不计选手个人成绩，统计竞赛队的总成绩进行排序。</w:t>
      </w:r>
    </w:p>
    <w:p>
      <w:pPr>
        <w:spacing w:line="288" w:lineRule="auto"/>
        <w:ind w:firstLine="480" w:firstLineChars="200"/>
        <w:contextualSpacing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（二）竞赛队伍组成 </w:t>
      </w:r>
    </w:p>
    <w:p>
      <w:pPr>
        <w:spacing w:line="288" w:lineRule="auto"/>
        <w:ind w:firstLine="480" w:firstLineChars="200"/>
        <w:contextualSpacing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按照冀教职成【2019】24号的有关要求选拔选手及组织参赛队。每支参赛队由 2名比赛选手组成，2名选手须为同校在籍学生，性别和年级不限。参赛队的2名选手需分工协作、共同完成竞赛任务，具体分工由各参赛队自主决定。每队可配 2 名指导老师，指导老师应为本校专职教师。 </w:t>
      </w:r>
    </w:p>
    <w:p>
      <w:pPr>
        <w:numPr>
          <w:ilvl w:val="0"/>
          <w:numId w:val="2"/>
        </w:numPr>
        <w:spacing w:line="288" w:lineRule="auto"/>
        <w:ind w:firstLine="480" w:firstLineChars="200"/>
        <w:contextualSpacing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比赛根据实际参赛人数分多场进行每天一般不得超过 2 场；每天采用不同赛题，同一天的多场比赛采用相同赛题。第一场比赛开始后应对同一天后续几场比赛的选手进行封闭，承办院校如参赛必须安排首场比赛。确保所有选手比赛前不知道任何赛题信息。 参赛队场次按照竞赛日程表组织各领队提前公开抽签（会议或网络形式抽签），确定各队参赛场次。 </w:t>
      </w:r>
    </w:p>
    <w:p>
      <w:pPr>
        <w:spacing w:line="288" w:lineRule="auto"/>
        <w:ind w:firstLine="480" w:firstLineChars="200"/>
        <w:contextualSpacing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竞赛日程:</w:t>
      </w:r>
    </w:p>
    <w:tbl>
      <w:tblPr>
        <w:tblStyle w:val="6"/>
        <w:tblW w:w="8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819"/>
        <w:gridCol w:w="5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日 期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时 间</w:t>
            </w:r>
          </w:p>
        </w:tc>
        <w:tc>
          <w:tcPr>
            <w:tcW w:w="53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赛前准备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8:00—16:00</w:t>
            </w:r>
          </w:p>
        </w:tc>
        <w:tc>
          <w:tcPr>
            <w:tcW w:w="53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裁判工作培训、验收赛场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4月28日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8:00—12:00</w:t>
            </w:r>
          </w:p>
        </w:tc>
        <w:tc>
          <w:tcPr>
            <w:tcW w:w="53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各参赛队办理报到手续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13:30—14:30</w:t>
            </w:r>
          </w:p>
        </w:tc>
        <w:tc>
          <w:tcPr>
            <w:tcW w:w="53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0" w:firstLineChars="5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赛前说明会，抽签仪式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14:30- 15:00</w:t>
            </w:r>
          </w:p>
        </w:tc>
        <w:tc>
          <w:tcPr>
            <w:tcW w:w="53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熟悉比赛场地（第一批）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15:00- 15:30</w:t>
            </w:r>
          </w:p>
        </w:tc>
        <w:tc>
          <w:tcPr>
            <w:tcW w:w="53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熟悉比赛场地（第二批）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15:30- 16:00</w:t>
            </w:r>
          </w:p>
        </w:tc>
        <w:tc>
          <w:tcPr>
            <w:tcW w:w="53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熟悉比赛场地（第三批）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16:00- 16:30</w:t>
            </w:r>
          </w:p>
        </w:tc>
        <w:tc>
          <w:tcPr>
            <w:tcW w:w="53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熟悉比赛场地（第四批）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4月29日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53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全部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竞赛相关人员到达竞赛场地并检录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:00</w:t>
            </w:r>
          </w:p>
        </w:tc>
        <w:tc>
          <w:tcPr>
            <w:tcW w:w="53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竞赛队伍工位抽签赛前准备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仿宋" w:hAnsi="仿宋" w:eastAsia="仿宋" w:cs="宋体"/>
                <w:sz w:val="24"/>
                <w:szCs w:val="24"/>
              </w:rPr>
              <w:t>:00-1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" w:hAnsi="仿宋" w:eastAsia="仿宋" w:cs="宋体"/>
                <w:sz w:val="24"/>
                <w:szCs w:val="24"/>
              </w:rPr>
              <w:t>:00</w:t>
            </w:r>
          </w:p>
        </w:tc>
        <w:tc>
          <w:tcPr>
            <w:tcW w:w="53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第1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阶段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竞赛时间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default" w:ascii="仿宋" w:hAnsi="仿宋" w:eastAsia="仿宋" w:cs="宋体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仿宋" w:hAnsi="仿宋" w:eastAsia="仿宋" w:cs="宋体"/>
                <w:sz w:val="24"/>
                <w:szCs w:val="24"/>
              </w:rPr>
              <w:t>0-1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仿宋" w:hAnsi="仿宋" w:eastAsia="仿宋" w:cs="宋体"/>
                <w:sz w:val="24"/>
                <w:szCs w:val="24"/>
              </w:rPr>
              <w:t>:00</w:t>
            </w:r>
          </w:p>
        </w:tc>
        <w:tc>
          <w:tcPr>
            <w:tcW w:w="53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第2阶段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相关人员到达竞赛场地并检录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仿宋" w:hAnsi="仿宋" w:eastAsia="仿宋" w:cs="宋体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仿宋" w:hAnsi="仿宋" w:eastAsia="仿宋" w:cs="宋体"/>
                <w:sz w:val="24"/>
                <w:szCs w:val="24"/>
              </w:rPr>
              <w:t>0-1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仿宋" w:hAnsi="仿宋" w:eastAsia="仿宋" w:cs="宋体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53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2阶段A组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竞赛队伍工位抽签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仿宋" w:hAnsi="仿宋" w:eastAsia="仿宋" w:cs="宋体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" w:hAnsi="仿宋" w:eastAsia="仿宋" w:cs="宋体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仿宋" w:hAnsi="仿宋" w:eastAsia="仿宋" w:cs="宋体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53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2阶段A组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竞赛时间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:4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3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竞赛设备恢复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00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4月30日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53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2阶段B组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相关人员到达竞赛场地并检录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:00</w:t>
            </w:r>
          </w:p>
        </w:tc>
        <w:tc>
          <w:tcPr>
            <w:tcW w:w="53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2阶段B组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竞赛队伍工位抽签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仿宋" w:hAnsi="仿宋" w:eastAsia="仿宋" w:cs="宋体"/>
                <w:sz w:val="24"/>
                <w:szCs w:val="24"/>
              </w:rPr>
              <w:t>:00-1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仿宋" w:hAnsi="仿宋" w:eastAsia="仿宋" w:cs="宋体"/>
                <w:sz w:val="24"/>
                <w:szCs w:val="24"/>
              </w:rPr>
              <w:t>:00</w:t>
            </w:r>
          </w:p>
        </w:tc>
        <w:tc>
          <w:tcPr>
            <w:tcW w:w="53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2阶段B组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竞赛时间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5月1日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:00</w:t>
            </w:r>
          </w:p>
        </w:tc>
        <w:tc>
          <w:tcPr>
            <w:tcW w:w="53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赛后总结，公布比赛结果，赛事点评。</w:t>
            </w:r>
          </w:p>
        </w:tc>
      </w:tr>
    </w:tbl>
    <w:p>
      <w:pPr>
        <w:numPr>
          <w:ilvl w:val="0"/>
          <w:numId w:val="0"/>
        </w:numPr>
        <w:spacing w:line="288" w:lineRule="auto"/>
        <w:contextualSpacing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</w:p>
    <w:p>
      <w:pPr>
        <w:snapToGrid w:val="0"/>
        <w:spacing w:line="288" w:lineRule="auto"/>
        <w:ind w:firstLine="480" w:firstLineChars="200"/>
        <w:contextualSpacing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七、申诉与仲裁</w:t>
      </w:r>
    </w:p>
    <w:p>
      <w:pPr>
        <w:spacing w:line="288" w:lineRule="auto"/>
        <w:ind w:firstLine="480" w:firstLineChars="200"/>
        <w:contextualSpacing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（一）申诉</w:t>
      </w:r>
    </w:p>
    <w:p>
      <w:pPr>
        <w:tabs>
          <w:tab w:val="left" w:pos="7310"/>
        </w:tabs>
        <w:spacing w:line="288" w:lineRule="auto"/>
        <w:ind w:firstLine="480" w:firstLineChars="200"/>
        <w:contextualSpacing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（1）参赛队对不符合竞赛规定的软硬件设备，有失公正的评判，以及对工作人员的违规行为等，均可提出申诉；</w:t>
      </w:r>
    </w:p>
    <w:p>
      <w:pPr>
        <w:tabs>
          <w:tab w:val="left" w:pos="7310"/>
        </w:tabs>
        <w:spacing w:line="288" w:lineRule="auto"/>
        <w:ind w:firstLine="480" w:firstLineChars="200"/>
        <w:contextualSpacing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2）申诉时，应递交由参赛队领队亲笔签字同意的书面报告，报告应对申诉事件的现象、发生的时间、涉及的人员、申诉依据与理由等进行充分、实事求是的叙述。事实依据不充分、仅凭主观臆断的申诉不予受理；</w:t>
      </w:r>
    </w:p>
    <w:p>
      <w:pPr>
        <w:tabs>
          <w:tab w:val="left" w:pos="7310"/>
        </w:tabs>
        <w:spacing w:line="288" w:lineRule="auto"/>
        <w:ind w:firstLine="480" w:firstLineChars="200"/>
        <w:contextualSpacing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（3）申诉时效：竞赛结束后1小时内提出，超过时效将不予受理申诉；</w:t>
      </w:r>
    </w:p>
    <w:p>
      <w:pPr>
        <w:tabs>
          <w:tab w:val="left" w:pos="7310"/>
        </w:tabs>
        <w:spacing w:line="288" w:lineRule="auto"/>
        <w:ind w:firstLine="480" w:firstLineChars="200"/>
        <w:contextualSpacing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（4）申诉处理：赛场专设仲裁工作组受理申诉，收到申诉报告之后，根据申诉事由进行审查，3小时内书面通知申诉方，告知申诉处理结果；</w:t>
      </w:r>
    </w:p>
    <w:p>
      <w:pPr>
        <w:tabs>
          <w:tab w:val="left" w:pos="7310"/>
        </w:tabs>
        <w:spacing w:line="288" w:lineRule="auto"/>
        <w:ind w:firstLine="480" w:firstLineChars="200"/>
        <w:contextualSpacing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（5）申诉人不得无故拒不接受处理结果，不允许采取过激行为刁难、攻击工作人员，否则视为放弃申诉。</w:t>
      </w:r>
    </w:p>
    <w:p>
      <w:pPr>
        <w:spacing w:line="288" w:lineRule="auto"/>
        <w:ind w:firstLine="480" w:firstLineChars="200"/>
        <w:contextualSpacing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（二）仲裁</w:t>
      </w:r>
    </w:p>
    <w:p>
      <w:pPr>
        <w:tabs>
          <w:tab w:val="left" w:pos="7310"/>
        </w:tabs>
        <w:spacing w:line="288" w:lineRule="auto"/>
        <w:ind w:firstLine="480" w:firstLineChars="200"/>
        <w:contextualSpacing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（1）组委会下设仲裁工作组，负责受理竞赛中出现的所有申诉并进行仲裁，以保证竞赛的顺利进行和竞赛结果公平、公正；</w:t>
      </w:r>
    </w:p>
    <w:p>
      <w:pPr>
        <w:tabs>
          <w:tab w:val="left" w:pos="7310"/>
        </w:tabs>
        <w:spacing w:line="288" w:lineRule="auto"/>
        <w:ind w:firstLine="480" w:firstLineChars="200"/>
        <w:contextualSpacing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（2）仲裁工作组的裁决为最终裁决，参赛队不得因申诉或对处理意见不服而停止比赛或滋事，否则按弃权处理。</w:t>
      </w:r>
    </w:p>
    <w:p>
      <w:pPr>
        <w:snapToGrid w:val="0"/>
        <w:spacing w:line="288" w:lineRule="auto"/>
        <w:ind w:firstLine="480" w:firstLineChars="200"/>
        <w:contextualSpacing/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 xml:space="preserve">八、其他 </w:t>
      </w:r>
    </w:p>
    <w:p>
      <w:pPr>
        <w:spacing w:line="288" w:lineRule="auto"/>
        <w:ind w:firstLine="480" w:firstLineChars="200"/>
        <w:contextualSpacing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1.参赛选手及相关工作人员，由赛项承办院校统一安排食宿，费用自理。 </w:t>
      </w:r>
    </w:p>
    <w:p>
      <w:pPr>
        <w:spacing w:line="288" w:lineRule="auto"/>
        <w:ind w:firstLine="480" w:firstLineChars="200"/>
        <w:contextualSpacing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2.本技术文件的最终解释权归大赛组织委员会。</w:t>
      </w:r>
    </w:p>
    <w:p>
      <w:pPr>
        <w:spacing w:line="288" w:lineRule="auto"/>
        <w:ind w:firstLine="480" w:firstLineChars="200"/>
        <w:contextualSpacing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644" w:bottom="1440" w:left="1644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8E4ED8"/>
    <w:multiLevelType w:val="multilevel"/>
    <w:tmpl w:val="268E4ED8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013E292"/>
    <w:multiLevelType w:val="singleLevel"/>
    <w:tmpl w:val="3013E29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63"/>
    <w:rsid w:val="00001776"/>
    <w:rsid w:val="0000687E"/>
    <w:rsid w:val="00011BB0"/>
    <w:rsid w:val="00016982"/>
    <w:rsid w:val="00032414"/>
    <w:rsid w:val="000336F6"/>
    <w:rsid w:val="000412A0"/>
    <w:rsid w:val="00080AAD"/>
    <w:rsid w:val="000B35DF"/>
    <w:rsid w:val="000C0138"/>
    <w:rsid w:val="000C768F"/>
    <w:rsid w:val="000D0B2D"/>
    <w:rsid w:val="000D7113"/>
    <w:rsid w:val="000E439C"/>
    <w:rsid w:val="000F20A3"/>
    <w:rsid w:val="000F49EE"/>
    <w:rsid w:val="000F7452"/>
    <w:rsid w:val="00106D3D"/>
    <w:rsid w:val="00152CCB"/>
    <w:rsid w:val="00174DD3"/>
    <w:rsid w:val="00181181"/>
    <w:rsid w:val="001A10DB"/>
    <w:rsid w:val="001A58ED"/>
    <w:rsid w:val="001B10B6"/>
    <w:rsid w:val="001C6476"/>
    <w:rsid w:val="001E3987"/>
    <w:rsid w:val="00267381"/>
    <w:rsid w:val="002A1780"/>
    <w:rsid w:val="002B3C21"/>
    <w:rsid w:val="002B680C"/>
    <w:rsid w:val="002F57E3"/>
    <w:rsid w:val="002F5FAE"/>
    <w:rsid w:val="00301E4D"/>
    <w:rsid w:val="003050AD"/>
    <w:rsid w:val="003065E9"/>
    <w:rsid w:val="0031087C"/>
    <w:rsid w:val="00311332"/>
    <w:rsid w:val="00333DE5"/>
    <w:rsid w:val="00337C41"/>
    <w:rsid w:val="00343D8A"/>
    <w:rsid w:val="00362853"/>
    <w:rsid w:val="00373823"/>
    <w:rsid w:val="003763A7"/>
    <w:rsid w:val="00381A53"/>
    <w:rsid w:val="003835C2"/>
    <w:rsid w:val="00386117"/>
    <w:rsid w:val="003B24D0"/>
    <w:rsid w:val="003B5B1B"/>
    <w:rsid w:val="003D47FF"/>
    <w:rsid w:val="003D5B7A"/>
    <w:rsid w:val="003E1285"/>
    <w:rsid w:val="003E2AB7"/>
    <w:rsid w:val="003E48F6"/>
    <w:rsid w:val="003E6DDC"/>
    <w:rsid w:val="003E765C"/>
    <w:rsid w:val="00402B81"/>
    <w:rsid w:val="00402D63"/>
    <w:rsid w:val="0041767B"/>
    <w:rsid w:val="00431A29"/>
    <w:rsid w:val="00443800"/>
    <w:rsid w:val="00470F2E"/>
    <w:rsid w:val="00477587"/>
    <w:rsid w:val="00481FEC"/>
    <w:rsid w:val="0048284E"/>
    <w:rsid w:val="004B75F8"/>
    <w:rsid w:val="004C0750"/>
    <w:rsid w:val="004D0F67"/>
    <w:rsid w:val="004D1A6D"/>
    <w:rsid w:val="004E560B"/>
    <w:rsid w:val="00512527"/>
    <w:rsid w:val="005157A5"/>
    <w:rsid w:val="005367B3"/>
    <w:rsid w:val="00546E49"/>
    <w:rsid w:val="00572B68"/>
    <w:rsid w:val="00576109"/>
    <w:rsid w:val="00576488"/>
    <w:rsid w:val="00597443"/>
    <w:rsid w:val="005A2396"/>
    <w:rsid w:val="005C56E2"/>
    <w:rsid w:val="005C6C69"/>
    <w:rsid w:val="005D2A3A"/>
    <w:rsid w:val="005D37D3"/>
    <w:rsid w:val="005F0D82"/>
    <w:rsid w:val="005F2AA1"/>
    <w:rsid w:val="00600875"/>
    <w:rsid w:val="00601498"/>
    <w:rsid w:val="00620D89"/>
    <w:rsid w:val="00641DCC"/>
    <w:rsid w:val="0066316A"/>
    <w:rsid w:val="00672BB0"/>
    <w:rsid w:val="00693428"/>
    <w:rsid w:val="00695751"/>
    <w:rsid w:val="006A23C3"/>
    <w:rsid w:val="006B19AA"/>
    <w:rsid w:val="006B373E"/>
    <w:rsid w:val="006B4A1E"/>
    <w:rsid w:val="006B5D2D"/>
    <w:rsid w:val="006D6D7A"/>
    <w:rsid w:val="006E43DF"/>
    <w:rsid w:val="007039B8"/>
    <w:rsid w:val="00703F60"/>
    <w:rsid w:val="00711BDB"/>
    <w:rsid w:val="00714B76"/>
    <w:rsid w:val="00737F7A"/>
    <w:rsid w:val="00741BC9"/>
    <w:rsid w:val="0079410F"/>
    <w:rsid w:val="007C7838"/>
    <w:rsid w:val="007D082B"/>
    <w:rsid w:val="007D2A64"/>
    <w:rsid w:val="007D7B9A"/>
    <w:rsid w:val="007E0ED0"/>
    <w:rsid w:val="007E1300"/>
    <w:rsid w:val="007E364E"/>
    <w:rsid w:val="007F4739"/>
    <w:rsid w:val="0081431E"/>
    <w:rsid w:val="00836321"/>
    <w:rsid w:val="00846DA8"/>
    <w:rsid w:val="00851677"/>
    <w:rsid w:val="0085358B"/>
    <w:rsid w:val="00860864"/>
    <w:rsid w:val="00862A0C"/>
    <w:rsid w:val="00863C5D"/>
    <w:rsid w:val="00864466"/>
    <w:rsid w:val="008714B2"/>
    <w:rsid w:val="008768BC"/>
    <w:rsid w:val="0089604F"/>
    <w:rsid w:val="008B02BD"/>
    <w:rsid w:val="008B3732"/>
    <w:rsid w:val="008C702B"/>
    <w:rsid w:val="008D54F9"/>
    <w:rsid w:val="008E0C56"/>
    <w:rsid w:val="008F4D49"/>
    <w:rsid w:val="0092401A"/>
    <w:rsid w:val="0093298F"/>
    <w:rsid w:val="009334A9"/>
    <w:rsid w:val="00974DE5"/>
    <w:rsid w:val="009763E1"/>
    <w:rsid w:val="009A1E9B"/>
    <w:rsid w:val="009C0C83"/>
    <w:rsid w:val="009C4AAA"/>
    <w:rsid w:val="009D07C4"/>
    <w:rsid w:val="009D7447"/>
    <w:rsid w:val="009E2232"/>
    <w:rsid w:val="009E4806"/>
    <w:rsid w:val="009E4D3B"/>
    <w:rsid w:val="009F3B15"/>
    <w:rsid w:val="009F3F15"/>
    <w:rsid w:val="00A005E9"/>
    <w:rsid w:val="00A04380"/>
    <w:rsid w:val="00A10F6A"/>
    <w:rsid w:val="00A15D3C"/>
    <w:rsid w:val="00A17AAA"/>
    <w:rsid w:val="00A258D1"/>
    <w:rsid w:val="00A2762B"/>
    <w:rsid w:val="00A32F66"/>
    <w:rsid w:val="00A47A39"/>
    <w:rsid w:val="00A47B29"/>
    <w:rsid w:val="00A62A7D"/>
    <w:rsid w:val="00A76130"/>
    <w:rsid w:val="00A80012"/>
    <w:rsid w:val="00A911A4"/>
    <w:rsid w:val="00A92B9D"/>
    <w:rsid w:val="00AC7CF0"/>
    <w:rsid w:val="00AD14F9"/>
    <w:rsid w:val="00AF6679"/>
    <w:rsid w:val="00B0669B"/>
    <w:rsid w:val="00B07E67"/>
    <w:rsid w:val="00B316F4"/>
    <w:rsid w:val="00B3412D"/>
    <w:rsid w:val="00B34BB0"/>
    <w:rsid w:val="00B553F7"/>
    <w:rsid w:val="00B613C2"/>
    <w:rsid w:val="00B85E48"/>
    <w:rsid w:val="00BA0532"/>
    <w:rsid w:val="00BA22CC"/>
    <w:rsid w:val="00BB6052"/>
    <w:rsid w:val="00BC0172"/>
    <w:rsid w:val="00BE3CCB"/>
    <w:rsid w:val="00BE6782"/>
    <w:rsid w:val="00BF6EA6"/>
    <w:rsid w:val="00C03E63"/>
    <w:rsid w:val="00C0459D"/>
    <w:rsid w:val="00C122D0"/>
    <w:rsid w:val="00C14882"/>
    <w:rsid w:val="00C33B98"/>
    <w:rsid w:val="00C363A1"/>
    <w:rsid w:val="00C41C6B"/>
    <w:rsid w:val="00C41EE1"/>
    <w:rsid w:val="00C54BC0"/>
    <w:rsid w:val="00C73F19"/>
    <w:rsid w:val="00C76C25"/>
    <w:rsid w:val="00C76F12"/>
    <w:rsid w:val="00C82F64"/>
    <w:rsid w:val="00CA7552"/>
    <w:rsid w:val="00CB3E53"/>
    <w:rsid w:val="00CE450C"/>
    <w:rsid w:val="00D03346"/>
    <w:rsid w:val="00D31DE3"/>
    <w:rsid w:val="00D47872"/>
    <w:rsid w:val="00D701DE"/>
    <w:rsid w:val="00D83B4B"/>
    <w:rsid w:val="00D85EED"/>
    <w:rsid w:val="00D877EB"/>
    <w:rsid w:val="00DC5F79"/>
    <w:rsid w:val="00DC5FF0"/>
    <w:rsid w:val="00DC6C66"/>
    <w:rsid w:val="00DD43F6"/>
    <w:rsid w:val="00E007A3"/>
    <w:rsid w:val="00E048DA"/>
    <w:rsid w:val="00E24325"/>
    <w:rsid w:val="00E31469"/>
    <w:rsid w:val="00E372E6"/>
    <w:rsid w:val="00E51ABA"/>
    <w:rsid w:val="00E63FAA"/>
    <w:rsid w:val="00E80E9C"/>
    <w:rsid w:val="00EB1EC1"/>
    <w:rsid w:val="00EB6F8A"/>
    <w:rsid w:val="00EB734D"/>
    <w:rsid w:val="00EC6D72"/>
    <w:rsid w:val="00ED30E6"/>
    <w:rsid w:val="00F062EE"/>
    <w:rsid w:val="00F12324"/>
    <w:rsid w:val="00F12B39"/>
    <w:rsid w:val="00F12CD0"/>
    <w:rsid w:val="00F16414"/>
    <w:rsid w:val="00F3184A"/>
    <w:rsid w:val="00F35A91"/>
    <w:rsid w:val="00F40EE0"/>
    <w:rsid w:val="00F55866"/>
    <w:rsid w:val="00F636CC"/>
    <w:rsid w:val="00F679B2"/>
    <w:rsid w:val="00F81DAD"/>
    <w:rsid w:val="00F90E57"/>
    <w:rsid w:val="00F92279"/>
    <w:rsid w:val="00FC29CF"/>
    <w:rsid w:val="00FD20CE"/>
    <w:rsid w:val="00FE1888"/>
    <w:rsid w:val="010D1C3F"/>
    <w:rsid w:val="01AD6A0E"/>
    <w:rsid w:val="04A779F2"/>
    <w:rsid w:val="04B608DA"/>
    <w:rsid w:val="05692EF9"/>
    <w:rsid w:val="064C6BC2"/>
    <w:rsid w:val="072D2AC2"/>
    <w:rsid w:val="0A960CB0"/>
    <w:rsid w:val="0BBB1031"/>
    <w:rsid w:val="15F57603"/>
    <w:rsid w:val="180B0C7B"/>
    <w:rsid w:val="19872C7D"/>
    <w:rsid w:val="1ABF6B7F"/>
    <w:rsid w:val="1B086BC9"/>
    <w:rsid w:val="1BA76C01"/>
    <w:rsid w:val="1C185C7D"/>
    <w:rsid w:val="1D840FB2"/>
    <w:rsid w:val="1E777A3A"/>
    <w:rsid w:val="1E9B0E60"/>
    <w:rsid w:val="21FC7DAC"/>
    <w:rsid w:val="244E2E89"/>
    <w:rsid w:val="258E1F36"/>
    <w:rsid w:val="2B226492"/>
    <w:rsid w:val="307D4E00"/>
    <w:rsid w:val="33265D24"/>
    <w:rsid w:val="368E4919"/>
    <w:rsid w:val="369E28CB"/>
    <w:rsid w:val="37083571"/>
    <w:rsid w:val="37641C2F"/>
    <w:rsid w:val="39283D4D"/>
    <w:rsid w:val="3B3971AB"/>
    <w:rsid w:val="3BD76B9D"/>
    <w:rsid w:val="3E235422"/>
    <w:rsid w:val="3F3D285E"/>
    <w:rsid w:val="3F564C91"/>
    <w:rsid w:val="405051E4"/>
    <w:rsid w:val="412B4840"/>
    <w:rsid w:val="464829A1"/>
    <w:rsid w:val="468C1F87"/>
    <w:rsid w:val="46CF6E51"/>
    <w:rsid w:val="48323545"/>
    <w:rsid w:val="487C5DAB"/>
    <w:rsid w:val="49945658"/>
    <w:rsid w:val="5178058D"/>
    <w:rsid w:val="51B6759A"/>
    <w:rsid w:val="5DA40216"/>
    <w:rsid w:val="5FE93EF2"/>
    <w:rsid w:val="60D42E68"/>
    <w:rsid w:val="61377AD5"/>
    <w:rsid w:val="638E1D21"/>
    <w:rsid w:val="641A34F9"/>
    <w:rsid w:val="66A25C08"/>
    <w:rsid w:val="68905A91"/>
    <w:rsid w:val="6A1A50A6"/>
    <w:rsid w:val="6BFD13F7"/>
    <w:rsid w:val="6DA2215B"/>
    <w:rsid w:val="6DD66FD6"/>
    <w:rsid w:val="6E441E03"/>
    <w:rsid w:val="71D85B5C"/>
    <w:rsid w:val="72A262B6"/>
    <w:rsid w:val="758C3433"/>
    <w:rsid w:val="76F45141"/>
    <w:rsid w:val="79E075E3"/>
    <w:rsid w:val="7B3E71B4"/>
    <w:rsid w:val="7C5171DB"/>
    <w:rsid w:val="7DE84CB5"/>
    <w:rsid w:val="7F5B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5"/>
    <w:basedOn w:val="1"/>
    <w:next w:val="1"/>
    <w:link w:val="18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99"/>
    <w:rPr>
      <w:b/>
      <w:bCs/>
    </w:rPr>
  </w:style>
  <w:style w:type="character" w:styleId="10">
    <w:name w:val="page number"/>
    <w:qFormat/>
    <w:uiPriority w:val="0"/>
    <w:rPr>
      <w:rFonts w:cs="Times New Roman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2 字符"/>
    <w:basedOn w:val="8"/>
    <w:link w:val="2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4">
    <w:name w:val="3zw1"/>
    <w:qFormat/>
    <w:uiPriority w:val="99"/>
    <w:rPr>
      <w:rFonts w:cs="Times New Roman"/>
      <w:color w:val="000000"/>
      <w:sz w:val="21"/>
      <w:szCs w:val="21"/>
    </w:rPr>
  </w:style>
  <w:style w:type="paragraph" w:styleId="1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List Paragraph1"/>
    <w:basedOn w:val="1"/>
    <w:qFormat/>
    <w:uiPriority w:val="99"/>
    <w:pPr>
      <w:topLinePunct/>
      <w:ind w:firstLine="420" w:firstLineChars="200"/>
    </w:pPr>
    <w:rPr>
      <w:rFonts w:ascii="宋体" w:hAnsi="宋体"/>
      <w:szCs w:val="20"/>
    </w:rPr>
  </w:style>
  <w:style w:type="paragraph" w:customStyle="1" w:styleId="17">
    <w:name w:val="彩色列表 - 着色 11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character" w:customStyle="1" w:styleId="18">
    <w:name w:val="标题 5 字符1"/>
    <w:basedOn w:val="8"/>
    <w:link w:val="3"/>
    <w:semiHidden/>
    <w:qFormat/>
    <w:uiPriority w:val="9"/>
    <w:rPr>
      <w:rFonts w:ascii="Calibri" w:hAnsi="Calibri" w:eastAsia="宋体" w:cs="Times New Roman"/>
      <w:b/>
      <w:bCs/>
      <w:sz w:val="28"/>
      <w:szCs w:val="28"/>
    </w:rPr>
  </w:style>
  <w:style w:type="character" w:customStyle="1" w:styleId="19">
    <w:name w:val="标题 5 字符"/>
    <w:qFormat/>
    <w:uiPriority w:val="0"/>
    <w:rPr>
      <w:rFonts w:ascii="Times New Roman" w:hAnsi="Times New Roman"/>
      <w:b/>
      <w:bCs/>
      <w:kern w:val="2"/>
      <w:sz w:val="28"/>
      <w:szCs w:val="28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647</Words>
  <Characters>3691</Characters>
  <Lines>30</Lines>
  <Paragraphs>8</Paragraphs>
  <TotalTime>18</TotalTime>
  <ScaleCrop>false</ScaleCrop>
  <LinksUpToDate>false</LinksUpToDate>
  <CharactersWithSpaces>4330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2019-03-19T13:41:00Z</dcterms:created>
  <dc:creator>Windows 用户</dc:creator>
  <cp:lastModifiedBy>张敬芳</cp:lastModifiedBy>
  <dcterms:modified xsi:type="dcterms:W3CDTF">2021-04-10T08:17:12Z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A39B1FA891FD4FDFBE7A1E896C8E4F29</vt:lpwstr>
  </property>
</Properties>
</file>