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Times New Roman" w:hAnsi="Times New Roman" w:eastAsia="黑体" w:cs="Times New Roman"/>
          <w:b/>
          <w:kern w:val="2"/>
          <w:sz w:val="36"/>
          <w:szCs w:val="36"/>
          <w:lang w:eastAsia="zh-CN"/>
        </w:rPr>
      </w:pPr>
      <w:r>
        <w:rPr>
          <w:rFonts w:ascii="Times New Roman" w:hAnsi="Times New Roman" w:eastAsia="黑体" w:cs="Times New Roman"/>
          <w:b/>
          <w:kern w:val="2"/>
          <w:sz w:val="36"/>
          <w:szCs w:val="36"/>
          <w:lang w:eastAsia="zh-CN"/>
        </w:rPr>
        <w:t>2021年化学实验室技术河北省省赛</w:t>
      </w:r>
    </w:p>
    <w:p>
      <w:pPr>
        <w:snapToGrid w:val="0"/>
        <w:spacing w:line="540" w:lineRule="exact"/>
        <w:jc w:val="center"/>
        <w:rPr>
          <w:rFonts w:ascii="Times New Roman" w:hAnsi="Times New Roman" w:eastAsia="黑体" w:cs="Times New Roman"/>
          <w:b/>
          <w:kern w:val="2"/>
          <w:sz w:val="36"/>
          <w:szCs w:val="36"/>
          <w:lang w:eastAsia="zh-CN"/>
        </w:rPr>
      </w:pPr>
      <w:r>
        <w:rPr>
          <w:rFonts w:ascii="Times New Roman" w:hAnsi="Times New Roman" w:eastAsia="黑体" w:cs="Times New Roman"/>
          <w:b/>
          <w:kern w:val="2"/>
          <w:sz w:val="36"/>
          <w:szCs w:val="36"/>
          <w:lang w:eastAsia="zh-CN"/>
        </w:rPr>
        <w:t>赛项规程</w:t>
      </w:r>
    </w:p>
    <w:p>
      <w:pPr>
        <w:spacing w:line="560" w:lineRule="exact"/>
        <w:ind w:firstLine="562" w:firstLineChars="200"/>
        <w:jc w:val="both"/>
        <w:rPr>
          <w:rFonts w:ascii="Times New Roman" w:hAnsi="Times New Roman" w:eastAsia="仿宋_GB2312" w:cs="Times New Roman"/>
          <w:b/>
          <w:kern w:val="2"/>
          <w:sz w:val="28"/>
          <w:szCs w:val="28"/>
          <w:lang w:eastAsia="zh-CN"/>
        </w:rPr>
      </w:pPr>
      <w:bookmarkStart w:id="0" w:name="_Toc51745438"/>
      <w:r>
        <w:rPr>
          <w:rFonts w:ascii="Times New Roman" w:hAnsi="仿宋_GB2312" w:eastAsia="仿宋_GB2312" w:cs="Times New Roman"/>
          <w:b/>
          <w:kern w:val="2"/>
          <w:sz w:val="28"/>
          <w:szCs w:val="28"/>
          <w:lang w:eastAsia="zh-CN"/>
        </w:rPr>
        <w:t>一、赛项简介</w:t>
      </w:r>
      <w:bookmarkEnd w:id="0"/>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1" w:name="_bookmark1"/>
      <w:bookmarkEnd w:id="1"/>
      <w:bookmarkStart w:id="2" w:name="_Toc51745439"/>
      <w:r>
        <w:rPr>
          <w:rFonts w:ascii="Times New Roman" w:hAnsi="仿宋_GB2312" w:eastAsia="仿宋_GB2312" w:cs="Times New Roman"/>
          <w:b/>
          <w:bCs/>
          <w:kern w:val="2"/>
          <w:sz w:val="28"/>
          <w:szCs w:val="28"/>
          <w:lang w:eastAsia="zh-CN"/>
        </w:rPr>
        <w:t>（一）赛项名称</w:t>
      </w:r>
      <w:bookmarkEnd w:id="2"/>
    </w:p>
    <w:p>
      <w:pPr>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赛项编号：</w:t>
      </w:r>
      <w:r>
        <w:rPr>
          <w:rFonts w:ascii="Times New Roman" w:hAnsi="Times New Roman" w:eastAsia="仿宋_GB2312" w:cs="Times New Roman"/>
          <w:kern w:val="2"/>
          <w:sz w:val="28"/>
          <w:szCs w:val="28"/>
          <w:lang w:eastAsia="zh-CN"/>
        </w:rPr>
        <w:t>GZ-2020014</w:t>
      </w:r>
    </w:p>
    <w:p>
      <w:pPr>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赛项名称：化学实验技术</w:t>
      </w:r>
    </w:p>
    <w:p>
      <w:pPr>
        <w:tabs>
          <w:tab w:val="left" w:pos="8571"/>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英文名称：</w:t>
      </w:r>
      <w:r>
        <w:rPr>
          <w:rFonts w:ascii="Times New Roman" w:hAnsi="Times New Roman" w:eastAsia="仿宋_GB2312" w:cs="Times New Roman"/>
          <w:kern w:val="2"/>
          <w:sz w:val="28"/>
          <w:szCs w:val="28"/>
          <w:lang w:eastAsia="zh-CN"/>
        </w:rPr>
        <w:t>Chemical Experimental Technology</w:t>
      </w:r>
    </w:p>
    <w:p>
      <w:pPr>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赛项组别：高职组</w:t>
      </w:r>
    </w:p>
    <w:p>
      <w:pPr>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赛项归属：生物与化工大类</w:t>
      </w:r>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3" w:name="_Toc51745440"/>
      <w:r>
        <w:rPr>
          <w:rFonts w:ascii="Times New Roman" w:hAnsi="仿宋_GB2312" w:eastAsia="仿宋_GB2312" w:cs="Times New Roman"/>
          <w:b/>
          <w:bCs/>
          <w:kern w:val="2"/>
          <w:sz w:val="28"/>
          <w:szCs w:val="28"/>
          <w:lang w:eastAsia="zh-CN"/>
        </w:rPr>
        <w:t>（二）赛项描述</w:t>
      </w:r>
      <w:bookmarkEnd w:id="3"/>
    </w:p>
    <w:p>
      <w:pPr>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化学实验技术是利用现代化学技术对各类天然或合成材料进行定性与定量分析、制备与合成，及其物理与化学性能测量的专门技术技能。</w:t>
      </w:r>
    </w:p>
    <w:p>
      <w:pPr>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化学实验技术人员适于在企业质量控制部门、研究和开发部门的化学实验室，或在不同行业企业的环保部门工作，应能独立地进行合成、质量控制、分析任务，制定实验室的工作计划，记录工作过程和评价工作结果。在工作中必须遵守有关劳动安全、健康保护、环境保护以及质量保证等的条例和规定。</w:t>
      </w:r>
    </w:p>
    <w:p>
      <w:pPr>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本赛项由</w:t>
      </w:r>
      <w:r>
        <w:rPr>
          <w:rFonts w:hint="eastAsia" w:ascii="Times New Roman" w:hAnsi="仿宋_GB2312" w:eastAsia="仿宋_GB2312" w:cs="Times New Roman"/>
          <w:kern w:val="2"/>
          <w:sz w:val="28"/>
          <w:szCs w:val="28"/>
          <w:lang w:val="en-US" w:eastAsia="zh-CN"/>
        </w:rPr>
        <w:t>两</w:t>
      </w:r>
      <w:r>
        <w:rPr>
          <w:rFonts w:ascii="Times New Roman" w:hAnsi="仿宋_GB2312" w:eastAsia="仿宋_GB2312" w:cs="Times New Roman"/>
          <w:kern w:val="2"/>
          <w:sz w:val="28"/>
          <w:szCs w:val="28"/>
          <w:lang w:eastAsia="zh-CN"/>
        </w:rPr>
        <w:t>个模块组成，涉及物质的定性分析、定量分析、制备和质量控制。通过实际操作模块来评估选手的知识理解和技能掌握，不再单独举行理论测试。</w:t>
      </w:r>
      <w:bookmarkStart w:id="58" w:name="_GoBack"/>
      <w:bookmarkEnd w:id="58"/>
    </w:p>
    <w:p>
      <w:pPr>
        <w:spacing w:line="560" w:lineRule="exact"/>
        <w:ind w:firstLine="562" w:firstLineChars="200"/>
        <w:jc w:val="both"/>
        <w:rPr>
          <w:rFonts w:ascii="Times New Roman" w:hAnsi="Times New Roman" w:eastAsia="仿宋_GB2312" w:cs="Times New Roman"/>
          <w:b/>
          <w:kern w:val="2"/>
          <w:sz w:val="28"/>
          <w:szCs w:val="28"/>
          <w:lang w:eastAsia="zh-CN"/>
        </w:rPr>
      </w:pPr>
      <w:bookmarkStart w:id="4" w:name="_Toc51712776"/>
      <w:bookmarkStart w:id="5" w:name="_Toc51745442"/>
      <w:bookmarkStart w:id="6" w:name="_Toc1123"/>
      <w:bookmarkStart w:id="7" w:name="_Toc511975433"/>
      <w:bookmarkStart w:id="8" w:name="_Toc481314001"/>
      <w:bookmarkStart w:id="9" w:name="_Toc511975571"/>
      <w:r>
        <w:rPr>
          <w:rFonts w:ascii="Times New Roman" w:hAnsi="仿宋_GB2312" w:eastAsia="仿宋_GB2312" w:cs="Times New Roman"/>
          <w:b/>
          <w:kern w:val="2"/>
          <w:sz w:val="28"/>
          <w:szCs w:val="28"/>
          <w:lang w:eastAsia="zh-CN"/>
        </w:rPr>
        <w:t>二、竞赛目的</w:t>
      </w:r>
      <w:bookmarkEnd w:id="4"/>
      <w:bookmarkEnd w:id="5"/>
    </w:p>
    <w:p>
      <w:pPr>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本赛项是根据《教育部关于举办</w:t>
      </w:r>
      <w:r>
        <w:rPr>
          <w:rFonts w:ascii="Times New Roman" w:hAnsi="Times New Roman" w:eastAsia="仿宋_GB2312" w:cs="Times New Roman"/>
          <w:kern w:val="2"/>
          <w:sz w:val="28"/>
          <w:szCs w:val="28"/>
          <w:lang w:eastAsia="zh-CN"/>
        </w:rPr>
        <w:t>2020</w:t>
      </w:r>
      <w:r>
        <w:rPr>
          <w:rFonts w:ascii="Times New Roman" w:hAnsi="仿宋_GB2312" w:eastAsia="仿宋_GB2312" w:cs="Times New Roman"/>
          <w:kern w:val="2"/>
          <w:sz w:val="28"/>
          <w:szCs w:val="28"/>
          <w:lang w:eastAsia="zh-CN"/>
        </w:rPr>
        <w:t>年全国职业院校技能大赛改革试点赛的通知》（教职成函〔</w:t>
      </w:r>
      <w:r>
        <w:rPr>
          <w:rFonts w:ascii="Times New Roman" w:hAnsi="Times New Roman" w:eastAsia="仿宋_GB2312" w:cs="Times New Roman"/>
          <w:kern w:val="2"/>
          <w:sz w:val="28"/>
          <w:szCs w:val="28"/>
          <w:lang w:eastAsia="zh-CN"/>
        </w:rPr>
        <w:t>2020</w:t>
      </w:r>
      <w:r>
        <w:rPr>
          <w:rFonts w:ascii="Times New Roman" w:hAnsi="仿宋_GB2312" w:eastAsia="仿宋_GB2312" w:cs="Times New Roman"/>
          <w:kern w:val="2"/>
          <w:sz w:val="28"/>
          <w:szCs w:val="28"/>
          <w:lang w:eastAsia="zh-CN"/>
        </w:rPr>
        <w:t>〕</w:t>
      </w:r>
      <w:r>
        <w:rPr>
          <w:rFonts w:ascii="Times New Roman" w:hAnsi="Times New Roman" w:eastAsia="仿宋_GB2312" w:cs="Times New Roman"/>
          <w:kern w:val="2"/>
          <w:sz w:val="28"/>
          <w:szCs w:val="28"/>
          <w:lang w:eastAsia="zh-CN"/>
        </w:rPr>
        <w:t>5</w:t>
      </w:r>
      <w:r>
        <w:rPr>
          <w:rFonts w:ascii="Times New Roman" w:hAnsi="仿宋_GB2312" w:eastAsia="仿宋_GB2312" w:cs="Times New Roman"/>
          <w:kern w:val="2"/>
          <w:sz w:val="28"/>
          <w:szCs w:val="28"/>
          <w:lang w:eastAsia="zh-CN"/>
        </w:rPr>
        <w:t>号）精神，以检验教学成果、体现世赛理念、促进职业教育高质量发展为指导思想，瞄准世界高水平，营造崇尚技能氛围，推动专业教学改革与发展，实现课程内容与职业标准对接，培育学生工匠精神，提升学生化学实验技术能力而设置。</w:t>
      </w:r>
    </w:p>
    <w:p>
      <w:pPr>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通过技能竞赛考查学生掌握物质制备和分析的基本理论知识；考查学生执行国家及行业标准规范的能力、科学的实验工作方法和实验技巧；考查学生实事求是的科学态度，严谨细致的工作作风，清洁整齐的良好工作习惯；考查学生职业健康、安全、环保意识。</w:t>
      </w:r>
    </w:p>
    <w:p>
      <w:pPr>
        <w:spacing w:line="560" w:lineRule="exact"/>
        <w:ind w:firstLine="562" w:firstLineChars="200"/>
        <w:jc w:val="both"/>
        <w:rPr>
          <w:rFonts w:ascii="Times New Roman" w:hAnsi="Times New Roman" w:eastAsia="仿宋_GB2312" w:cs="Times New Roman"/>
          <w:b/>
          <w:kern w:val="2"/>
          <w:sz w:val="28"/>
          <w:szCs w:val="28"/>
          <w:lang w:eastAsia="zh-CN"/>
        </w:rPr>
      </w:pPr>
      <w:bookmarkStart w:id="10" w:name="_Toc511975570"/>
      <w:bookmarkStart w:id="11" w:name="_Toc511975432"/>
      <w:bookmarkStart w:id="12" w:name="_Toc23595"/>
      <w:bookmarkStart w:id="13" w:name="_Toc51712777"/>
      <w:bookmarkStart w:id="14" w:name="_Toc51745443"/>
      <w:r>
        <w:rPr>
          <w:rFonts w:ascii="Times New Roman" w:hAnsi="仿宋_GB2312" w:eastAsia="仿宋_GB2312" w:cs="Times New Roman"/>
          <w:b/>
          <w:kern w:val="2"/>
          <w:sz w:val="28"/>
          <w:szCs w:val="28"/>
          <w:lang w:eastAsia="zh-CN"/>
        </w:rPr>
        <w:t>三、竞赛</w:t>
      </w:r>
      <w:bookmarkEnd w:id="10"/>
      <w:bookmarkEnd w:id="11"/>
      <w:bookmarkEnd w:id="12"/>
      <w:r>
        <w:rPr>
          <w:rFonts w:ascii="Times New Roman" w:hAnsi="仿宋_GB2312" w:eastAsia="仿宋_GB2312" w:cs="Times New Roman"/>
          <w:b/>
          <w:kern w:val="2"/>
          <w:sz w:val="28"/>
          <w:szCs w:val="28"/>
          <w:lang w:eastAsia="zh-CN"/>
        </w:rPr>
        <w:t>内容</w:t>
      </w:r>
      <w:bookmarkEnd w:id="13"/>
      <w:bookmarkEnd w:id="14"/>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15" w:name="_Toc51745444"/>
      <w:bookmarkStart w:id="16" w:name="_Toc51712778"/>
      <w:r>
        <w:rPr>
          <w:rFonts w:ascii="Times New Roman" w:hAnsi="仿宋_GB2312" w:eastAsia="仿宋_GB2312" w:cs="Times New Roman"/>
          <w:b/>
          <w:bCs/>
          <w:kern w:val="2"/>
          <w:sz w:val="28"/>
          <w:szCs w:val="28"/>
          <w:lang w:eastAsia="zh-CN"/>
        </w:rPr>
        <w:t>（一）考核内容</w:t>
      </w:r>
      <w:bookmarkEnd w:id="15"/>
      <w:bookmarkEnd w:id="16"/>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考核内容将涵盖化学实验技术人员特定职能和整体角色的执行，可能包括：</w:t>
      </w:r>
    </w:p>
    <w:p>
      <w:pPr>
        <w:pStyle w:val="27"/>
        <w:numPr>
          <w:ilvl w:val="0"/>
          <w:numId w:val="1"/>
        </w:numPr>
        <w:adjustRightInd/>
        <w:spacing w:line="560" w:lineRule="exact"/>
        <w:ind w:left="1056" w:hanging="220"/>
        <w:jc w:val="both"/>
        <w:rPr>
          <w:rFonts w:ascii="Times New Roman" w:eastAsia="仿宋_GB2312" w:cs="Times New Roman"/>
          <w:color w:val="auto"/>
          <w:sz w:val="28"/>
          <w:szCs w:val="28"/>
        </w:rPr>
      </w:pPr>
      <w:r>
        <w:rPr>
          <w:rFonts w:ascii="Times New Roman" w:hAnsi="仿宋_GB2312" w:eastAsia="仿宋_GB2312" w:cs="Times New Roman"/>
          <w:kern w:val="2"/>
          <w:sz w:val="28"/>
          <w:szCs w:val="28"/>
        </w:rPr>
        <w:t>取</w:t>
      </w:r>
      <w:r>
        <w:rPr>
          <w:rFonts w:ascii="Times New Roman" w:hAnsi="仿宋_GB2312" w:eastAsia="仿宋_GB2312" w:cs="Times New Roman"/>
          <w:color w:val="auto"/>
          <w:sz w:val="28"/>
          <w:szCs w:val="28"/>
        </w:rPr>
        <w:t>样</w:t>
      </w:r>
    </w:p>
    <w:p>
      <w:pPr>
        <w:pStyle w:val="27"/>
        <w:numPr>
          <w:ilvl w:val="0"/>
          <w:numId w:val="1"/>
        </w:numPr>
        <w:adjustRightInd/>
        <w:spacing w:line="560" w:lineRule="exact"/>
        <w:ind w:left="1056" w:hanging="220"/>
        <w:jc w:val="both"/>
        <w:rPr>
          <w:rFonts w:ascii="Times New Roman" w:eastAsia="仿宋_GB2312" w:cs="Times New Roman"/>
          <w:color w:val="auto"/>
          <w:sz w:val="28"/>
          <w:szCs w:val="28"/>
        </w:rPr>
      </w:pPr>
      <w:r>
        <w:rPr>
          <w:rFonts w:ascii="Times New Roman" w:hAnsi="仿宋_GB2312" w:eastAsia="仿宋_GB2312" w:cs="Times New Roman"/>
          <w:color w:val="auto"/>
          <w:sz w:val="28"/>
          <w:szCs w:val="28"/>
        </w:rPr>
        <w:t>样品制备</w:t>
      </w:r>
    </w:p>
    <w:p>
      <w:pPr>
        <w:pStyle w:val="27"/>
        <w:numPr>
          <w:ilvl w:val="0"/>
          <w:numId w:val="1"/>
        </w:numPr>
        <w:adjustRightInd/>
        <w:spacing w:line="560" w:lineRule="exact"/>
        <w:ind w:left="1056" w:hanging="220"/>
        <w:jc w:val="both"/>
        <w:rPr>
          <w:rFonts w:ascii="Times New Roman" w:eastAsia="仿宋_GB2312" w:cs="Times New Roman"/>
          <w:color w:val="auto"/>
          <w:sz w:val="28"/>
          <w:szCs w:val="28"/>
        </w:rPr>
      </w:pPr>
      <w:r>
        <w:rPr>
          <w:rFonts w:ascii="Times New Roman" w:hAnsi="仿宋_GB2312" w:eastAsia="仿宋_GB2312" w:cs="Times New Roman"/>
          <w:color w:val="auto"/>
          <w:sz w:val="28"/>
          <w:szCs w:val="28"/>
        </w:rPr>
        <w:t>物性常数和化学参数识别</w:t>
      </w:r>
    </w:p>
    <w:p>
      <w:pPr>
        <w:pStyle w:val="27"/>
        <w:numPr>
          <w:ilvl w:val="0"/>
          <w:numId w:val="1"/>
        </w:numPr>
        <w:adjustRightInd/>
        <w:spacing w:line="560" w:lineRule="exact"/>
        <w:ind w:left="1056" w:hanging="220"/>
        <w:jc w:val="both"/>
        <w:rPr>
          <w:rFonts w:ascii="Times New Roman" w:eastAsia="仿宋_GB2312" w:cs="Times New Roman"/>
          <w:color w:val="auto"/>
          <w:sz w:val="28"/>
          <w:szCs w:val="28"/>
        </w:rPr>
      </w:pPr>
      <w:r>
        <w:rPr>
          <w:rFonts w:ascii="Times New Roman" w:hAnsi="仿宋_GB2312" w:eastAsia="仿宋_GB2312" w:cs="Times New Roman"/>
          <w:color w:val="auto"/>
          <w:sz w:val="28"/>
          <w:szCs w:val="28"/>
        </w:rPr>
        <w:t>定性分析</w:t>
      </w:r>
    </w:p>
    <w:p>
      <w:pPr>
        <w:pStyle w:val="27"/>
        <w:numPr>
          <w:ilvl w:val="0"/>
          <w:numId w:val="1"/>
        </w:numPr>
        <w:adjustRightInd/>
        <w:spacing w:line="560" w:lineRule="exact"/>
        <w:ind w:left="1056" w:hanging="220"/>
        <w:jc w:val="both"/>
        <w:rPr>
          <w:rFonts w:ascii="Times New Roman" w:eastAsia="仿宋_GB2312" w:cs="Times New Roman"/>
          <w:color w:val="auto"/>
          <w:sz w:val="28"/>
          <w:szCs w:val="28"/>
        </w:rPr>
      </w:pPr>
      <w:r>
        <w:rPr>
          <w:rFonts w:ascii="Times New Roman" w:hAnsi="仿宋_GB2312" w:eastAsia="仿宋_GB2312" w:cs="Times New Roman"/>
          <w:color w:val="auto"/>
          <w:sz w:val="28"/>
          <w:szCs w:val="28"/>
        </w:rPr>
        <w:t>定量分析</w:t>
      </w:r>
    </w:p>
    <w:p>
      <w:pPr>
        <w:pStyle w:val="27"/>
        <w:numPr>
          <w:ilvl w:val="0"/>
          <w:numId w:val="1"/>
        </w:numPr>
        <w:adjustRightInd/>
        <w:spacing w:line="560" w:lineRule="exact"/>
        <w:ind w:left="1056" w:hanging="220"/>
        <w:jc w:val="both"/>
        <w:rPr>
          <w:rFonts w:ascii="Times New Roman" w:eastAsia="仿宋_GB2312" w:cs="Times New Roman"/>
          <w:color w:val="auto"/>
          <w:sz w:val="28"/>
          <w:szCs w:val="28"/>
        </w:rPr>
      </w:pPr>
      <w:r>
        <w:rPr>
          <w:rFonts w:ascii="Times New Roman" w:hAnsi="仿宋_GB2312" w:eastAsia="仿宋_GB2312" w:cs="Times New Roman"/>
          <w:color w:val="auto"/>
          <w:sz w:val="28"/>
          <w:szCs w:val="28"/>
        </w:rPr>
        <w:t>滴定分析</w:t>
      </w:r>
    </w:p>
    <w:p>
      <w:pPr>
        <w:pStyle w:val="27"/>
        <w:numPr>
          <w:ilvl w:val="0"/>
          <w:numId w:val="1"/>
        </w:numPr>
        <w:adjustRightInd/>
        <w:spacing w:line="560" w:lineRule="exact"/>
        <w:ind w:left="1056" w:hanging="220"/>
        <w:jc w:val="both"/>
        <w:rPr>
          <w:rFonts w:ascii="Times New Roman" w:eastAsia="仿宋_GB2312" w:cs="Times New Roman"/>
          <w:color w:val="auto"/>
          <w:sz w:val="28"/>
          <w:szCs w:val="28"/>
        </w:rPr>
      </w:pPr>
      <w:r>
        <w:rPr>
          <w:rFonts w:ascii="Times New Roman" w:hAnsi="仿宋_GB2312" w:eastAsia="仿宋_GB2312" w:cs="Times New Roman"/>
          <w:color w:val="auto"/>
          <w:sz w:val="28"/>
          <w:szCs w:val="28"/>
        </w:rPr>
        <w:t>光度测定</w:t>
      </w:r>
    </w:p>
    <w:p>
      <w:pPr>
        <w:pStyle w:val="27"/>
        <w:numPr>
          <w:ilvl w:val="0"/>
          <w:numId w:val="1"/>
        </w:numPr>
        <w:adjustRightInd/>
        <w:spacing w:line="560" w:lineRule="exact"/>
        <w:ind w:left="1056" w:hanging="220"/>
        <w:jc w:val="both"/>
        <w:rPr>
          <w:rFonts w:ascii="Times New Roman" w:eastAsia="仿宋_GB2312" w:cs="Times New Roman"/>
          <w:color w:val="auto"/>
          <w:sz w:val="28"/>
          <w:szCs w:val="28"/>
        </w:rPr>
      </w:pPr>
      <w:r>
        <w:rPr>
          <w:rFonts w:ascii="Times New Roman" w:hAnsi="仿宋_GB2312" w:eastAsia="仿宋_GB2312" w:cs="Times New Roman"/>
          <w:color w:val="auto"/>
          <w:sz w:val="28"/>
          <w:szCs w:val="28"/>
        </w:rPr>
        <w:t>数据记录和分析</w:t>
      </w:r>
    </w:p>
    <w:p>
      <w:pPr>
        <w:pStyle w:val="27"/>
        <w:numPr>
          <w:ilvl w:val="0"/>
          <w:numId w:val="1"/>
        </w:numPr>
        <w:adjustRightInd/>
        <w:spacing w:line="560" w:lineRule="exact"/>
        <w:ind w:left="1056" w:hanging="220"/>
        <w:jc w:val="both"/>
        <w:rPr>
          <w:rFonts w:ascii="Times New Roman" w:eastAsia="仿宋_GB2312" w:cs="Times New Roman"/>
          <w:color w:val="auto"/>
          <w:sz w:val="28"/>
          <w:szCs w:val="28"/>
        </w:rPr>
      </w:pPr>
      <w:r>
        <w:rPr>
          <w:rFonts w:ascii="Times New Roman" w:hAnsi="仿宋_GB2312" w:eastAsia="仿宋_GB2312" w:cs="Times New Roman"/>
          <w:color w:val="auto"/>
          <w:sz w:val="28"/>
          <w:szCs w:val="28"/>
        </w:rPr>
        <w:t>质量控制</w:t>
      </w:r>
    </w:p>
    <w:p>
      <w:pPr>
        <w:pStyle w:val="27"/>
        <w:numPr>
          <w:ilvl w:val="0"/>
          <w:numId w:val="1"/>
        </w:numPr>
        <w:adjustRightInd/>
        <w:spacing w:line="560" w:lineRule="exact"/>
        <w:ind w:left="1056" w:hanging="220"/>
        <w:jc w:val="both"/>
        <w:rPr>
          <w:rFonts w:ascii="Times New Roman" w:eastAsia="仿宋_GB2312" w:cs="Times New Roman"/>
          <w:color w:val="auto"/>
          <w:sz w:val="28"/>
          <w:szCs w:val="28"/>
        </w:rPr>
      </w:pPr>
      <w:r>
        <w:rPr>
          <w:rFonts w:ascii="Times New Roman" w:hAnsi="仿宋_GB2312" w:eastAsia="仿宋_GB2312" w:cs="Times New Roman"/>
          <w:color w:val="auto"/>
          <w:sz w:val="28"/>
          <w:szCs w:val="28"/>
        </w:rPr>
        <w:t>工作管理以及健康和安全</w:t>
      </w:r>
    </w:p>
    <w:p>
      <w:pPr>
        <w:pStyle w:val="27"/>
        <w:numPr>
          <w:ilvl w:val="0"/>
          <w:numId w:val="1"/>
        </w:numPr>
        <w:adjustRightInd/>
        <w:spacing w:line="560" w:lineRule="exact"/>
        <w:ind w:left="1056" w:hanging="220"/>
        <w:jc w:val="both"/>
        <w:rPr>
          <w:rFonts w:ascii="Times New Roman" w:eastAsia="仿宋_GB2312" w:cs="Times New Roman"/>
          <w:color w:val="auto"/>
          <w:sz w:val="28"/>
          <w:szCs w:val="28"/>
        </w:rPr>
      </w:pPr>
      <w:r>
        <w:rPr>
          <w:rFonts w:ascii="Times New Roman" w:hAnsi="仿宋_GB2312" w:eastAsia="仿宋_GB2312" w:cs="Times New Roman"/>
          <w:color w:val="auto"/>
          <w:sz w:val="28"/>
          <w:szCs w:val="28"/>
        </w:rPr>
        <w:t>废弃物处置</w:t>
      </w:r>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17" w:name="_Toc51745445"/>
      <w:r>
        <w:rPr>
          <w:rFonts w:ascii="Times New Roman" w:hAnsi="仿宋_GB2312" w:eastAsia="仿宋_GB2312" w:cs="Times New Roman"/>
          <w:b/>
          <w:bCs/>
          <w:kern w:val="2"/>
          <w:sz w:val="28"/>
          <w:szCs w:val="28"/>
          <w:lang w:eastAsia="zh-CN"/>
        </w:rPr>
        <w:t>（二）</w:t>
      </w:r>
      <w:bookmarkEnd w:id="6"/>
      <w:bookmarkEnd w:id="7"/>
      <w:bookmarkEnd w:id="8"/>
      <w:bookmarkEnd w:id="9"/>
      <w:r>
        <w:rPr>
          <w:rFonts w:ascii="Times New Roman" w:hAnsi="仿宋_GB2312" w:eastAsia="仿宋_GB2312" w:cs="Times New Roman"/>
          <w:b/>
          <w:bCs/>
          <w:kern w:val="2"/>
          <w:sz w:val="28"/>
          <w:szCs w:val="28"/>
          <w:lang w:eastAsia="zh-CN"/>
        </w:rPr>
        <w:t>考核项目</w:t>
      </w:r>
      <w:bookmarkEnd w:id="17"/>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考核项目设计旨在提供全面、公平、真实的机会，结合评分标准对选手能力要求进行评价。本赛项由</w:t>
      </w:r>
      <w:r>
        <w:rPr>
          <w:rFonts w:ascii="Times New Roman" w:hAnsi="Times New Roman" w:eastAsia="仿宋_GB2312" w:cs="Times New Roman"/>
          <w:kern w:val="2"/>
          <w:sz w:val="28"/>
          <w:szCs w:val="28"/>
          <w:lang w:eastAsia="zh-CN"/>
        </w:rPr>
        <w:t>2</w:t>
      </w:r>
      <w:r>
        <w:rPr>
          <w:rFonts w:ascii="Times New Roman" w:hAnsi="仿宋_GB2312" w:eastAsia="仿宋_GB2312" w:cs="Times New Roman"/>
          <w:kern w:val="2"/>
          <w:sz w:val="28"/>
          <w:szCs w:val="28"/>
          <w:lang w:eastAsia="zh-CN"/>
        </w:rPr>
        <w:t>个独立的模块组成，每个模块的任务和评价重点均不同，着重评价参赛选手解决问题的能力，准确、细致、创意和创新。</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各模块考核项目、考核内容、考核时间及赋分权重见表</w:t>
      </w: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。选手须按照竞赛项目表内规定的时间和工作模块进行竞赛，每个模块的竞赛时间不得超过规定时间。</w:t>
      </w:r>
    </w:p>
    <w:p>
      <w:pPr>
        <w:spacing w:line="560" w:lineRule="exact"/>
        <w:jc w:val="center"/>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表</w:t>
      </w:r>
      <w:r>
        <w:rPr>
          <w:rFonts w:ascii="Times New Roman" w:hAnsi="Times New Roman" w:eastAsia="仿宋_GB2312" w:cs="Times New Roman"/>
          <w:kern w:val="2"/>
          <w:sz w:val="28"/>
          <w:szCs w:val="28"/>
          <w:lang w:eastAsia="zh-CN"/>
        </w:rPr>
        <w:t xml:space="preserve">1 </w:t>
      </w:r>
      <w:r>
        <w:rPr>
          <w:rFonts w:ascii="Times New Roman" w:hAnsi="仿宋_GB2312" w:eastAsia="仿宋_GB2312" w:cs="Times New Roman"/>
          <w:kern w:val="2"/>
          <w:sz w:val="28"/>
          <w:szCs w:val="28"/>
          <w:lang w:eastAsia="zh-CN"/>
        </w:rPr>
        <w:t>各模块考核内容、时间分配及赋分权重</w:t>
      </w:r>
    </w:p>
    <w:tbl>
      <w:tblPr>
        <w:tblStyle w:val="19"/>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
      <w:tblGrid>
        <w:gridCol w:w="846"/>
        <w:gridCol w:w="1605"/>
        <w:gridCol w:w="1623"/>
        <w:gridCol w:w="2348"/>
        <w:gridCol w:w="137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97" w:hRule="atLeast"/>
          <w:tblHeader/>
          <w:jc w:val="center"/>
        </w:trPr>
        <w:tc>
          <w:tcPr>
            <w:tcW w:w="846" w:type="dxa"/>
            <w:shd w:val="clear" w:color="auto" w:fill="auto"/>
            <w:vAlign w:val="center"/>
          </w:tcPr>
          <w:p>
            <w:pPr>
              <w:pStyle w:val="27"/>
              <w:adjustRightInd/>
              <w:jc w:val="center"/>
              <w:rPr>
                <w:rFonts w:ascii="Times New Roman" w:eastAsia="仿宋_GB2312" w:cs="Times New Roman"/>
                <w:b/>
                <w:bCs/>
                <w:color w:val="auto"/>
              </w:rPr>
            </w:pPr>
            <w:r>
              <w:rPr>
                <w:rFonts w:ascii="Times New Roman" w:hAnsi="仿宋_GB2312" w:eastAsia="仿宋_GB2312" w:cs="Times New Roman"/>
                <w:b/>
                <w:bCs/>
                <w:color w:val="auto"/>
              </w:rPr>
              <w:t>编号</w:t>
            </w:r>
          </w:p>
        </w:tc>
        <w:tc>
          <w:tcPr>
            <w:tcW w:w="1605" w:type="dxa"/>
            <w:tcBorders>
              <w:bottom w:val="single" w:color="auto" w:sz="4" w:space="0"/>
            </w:tcBorders>
            <w:shd w:val="clear" w:color="auto" w:fill="auto"/>
            <w:vAlign w:val="center"/>
          </w:tcPr>
          <w:p>
            <w:pPr>
              <w:pStyle w:val="27"/>
              <w:adjustRightInd/>
              <w:jc w:val="center"/>
              <w:rPr>
                <w:rFonts w:ascii="Times New Roman" w:eastAsia="仿宋_GB2312" w:cs="Times New Roman"/>
                <w:b/>
                <w:bCs/>
                <w:color w:val="auto"/>
              </w:rPr>
            </w:pPr>
            <w:r>
              <w:rPr>
                <w:rFonts w:ascii="Times New Roman" w:hAnsi="仿宋_GB2312" w:eastAsia="仿宋_GB2312" w:cs="Times New Roman"/>
                <w:b/>
                <w:bCs/>
                <w:color w:val="auto"/>
              </w:rPr>
              <w:t>模块名称</w:t>
            </w:r>
          </w:p>
        </w:tc>
        <w:tc>
          <w:tcPr>
            <w:tcW w:w="1623" w:type="dxa"/>
            <w:shd w:val="clear" w:color="auto" w:fill="auto"/>
            <w:vAlign w:val="center"/>
          </w:tcPr>
          <w:p>
            <w:pPr>
              <w:pStyle w:val="27"/>
              <w:adjustRightInd/>
              <w:jc w:val="center"/>
              <w:rPr>
                <w:rFonts w:ascii="Times New Roman" w:eastAsia="仿宋_GB2312" w:cs="Times New Roman"/>
                <w:b/>
                <w:bCs/>
                <w:color w:val="auto"/>
              </w:rPr>
            </w:pPr>
            <w:r>
              <w:rPr>
                <w:rFonts w:ascii="Times New Roman" w:hAnsi="仿宋_GB2312" w:eastAsia="仿宋_GB2312" w:cs="Times New Roman"/>
                <w:b/>
                <w:bCs/>
                <w:color w:val="auto"/>
              </w:rPr>
              <w:t>项目名称</w:t>
            </w:r>
          </w:p>
        </w:tc>
        <w:tc>
          <w:tcPr>
            <w:tcW w:w="2348" w:type="dxa"/>
            <w:shd w:val="clear" w:color="auto" w:fill="auto"/>
            <w:vAlign w:val="center"/>
          </w:tcPr>
          <w:p>
            <w:pPr>
              <w:pStyle w:val="27"/>
              <w:adjustRightInd/>
              <w:jc w:val="center"/>
              <w:rPr>
                <w:rFonts w:ascii="Times New Roman" w:eastAsia="仿宋_GB2312" w:cs="Times New Roman"/>
                <w:b/>
                <w:bCs/>
                <w:color w:val="auto"/>
              </w:rPr>
            </w:pPr>
            <w:r>
              <w:rPr>
                <w:rFonts w:ascii="Times New Roman" w:hAnsi="仿宋_GB2312" w:eastAsia="仿宋_GB2312" w:cs="Times New Roman"/>
                <w:b/>
                <w:bCs/>
                <w:color w:val="auto"/>
              </w:rPr>
              <w:t>考核内容</w:t>
            </w:r>
          </w:p>
        </w:tc>
        <w:tc>
          <w:tcPr>
            <w:tcW w:w="1370" w:type="dxa"/>
            <w:shd w:val="clear" w:color="auto" w:fill="auto"/>
            <w:vAlign w:val="center"/>
          </w:tcPr>
          <w:p>
            <w:pPr>
              <w:pStyle w:val="27"/>
              <w:adjustRightInd/>
              <w:jc w:val="center"/>
              <w:rPr>
                <w:rFonts w:ascii="Times New Roman" w:eastAsia="仿宋_GB2312" w:cs="Times New Roman"/>
                <w:b/>
                <w:bCs/>
                <w:color w:val="auto"/>
              </w:rPr>
            </w:pPr>
            <w:r>
              <w:rPr>
                <w:rFonts w:ascii="Times New Roman" w:hAnsi="仿宋_GB2312" w:eastAsia="仿宋_GB2312" w:cs="Times New Roman"/>
                <w:b/>
                <w:bCs/>
                <w:color w:val="auto"/>
              </w:rPr>
              <w:t>考核时间</w:t>
            </w:r>
          </w:p>
        </w:tc>
        <w:tc>
          <w:tcPr>
            <w:tcW w:w="992" w:type="dxa"/>
            <w:shd w:val="clear" w:color="auto" w:fill="auto"/>
            <w:vAlign w:val="center"/>
          </w:tcPr>
          <w:p>
            <w:pPr>
              <w:pStyle w:val="27"/>
              <w:adjustRightInd/>
              <w:jc w:val="center"/>
              <w:rPr>
                <w:rFonts w:ascii="Times New Roman" w:eastAsia="仿宋_GB2312" w:cs="Times New Roman"/>
                <w:b/>
                <w:bCs/>
                <w:color w:val="auto"/>
              </w:rPr>
            </w:pPr>
            <w:r>
              <w:rPr>
                <w:rFonts w:ascii="Times New Roman" w:hAnsi="仿宋_GB2312" w:eastAsia="仿宋_GB2312" w:cs="Times New Roman"/>
                <w:b/>
                <w:bCs/>
                <w:color w:val="auto"/>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97" w:hRule="atLeast"/>
          <w:jc w:val="center"/>
        </w:trPr>
        <w:tc>
          <w:tcPr>
            <w:tcW w:w="846" w:type="dxa"/>
            <w:shd w:val="clear" w:color="auto" w:fill="auto"/>
            <w:vAlign w:val="center"/>
          </w:tcPr>
          <w:p>
            <w:pPr>
              <w:pStyle w:val="27"/>
              <w:adjustRightInd/>
              <w:jc w:val="center"/>
              <w:rPr>
                <w:rFonts w:ascii="Times New Roman" w:eastAsia="仿宋_GB2312" w:cs="Times New Roman"/>
                <w:color w:val="auto"/>
              </w:rPr>
            </w:pPr>
            <w:r>
              <w:rPr>
                <w:rFonts w:ascii="Times New Roman" w:eastAsia="仿宋_GB2312" w:cs="Times New Roman"/>
                <w:color w:val="auto"/>
              </w:rPr>
              <w:t>A</w:t>
            </w:r>
          </w:p>
        </w:tc>
        <w:tc>
          <w:tcPr>
            <w:tcW w:w="1605" w:type="dxa"/>
            <w:shd w:val="clear" w:color="auto" w:fill="auto"/>
            <w:vAlign w:val="center"/>
          </w:tcPr>
          <w:p>
            <w:pPr>
              <w:pStyle w:val="27"/>
              <w:adjustRightInd/>
              <w:jc w:val="center"/>
              <w:rPr>
                <w:rFonts w:ascii="Times New Roman" w:eastAsia="仿宋_GB2312" w:cs="Times New Roman"/>
                <w:color w:val="auto"/>
              </w:rPr>
            </w:pPr>
            <w:r>
              <w:rPr>
                <w:rFonts w:ascii="Times New Roman" w:hAnsi="仿宋_GB2312" w:eastAsia="仿宋_GB2312" w:cs="Times New Roman"/>
                <w:color w:val="auto"/>
              </w:rPr>
              <w:t>化学分析法</w:t>
            </w:r>
          </w:p>
        </w:tc>
        <w:tc>
          <w:tcPr>
            <w:tcW w:w="1623" w:type="dxa"/>
            <w:shd w:val="clear" w:color="auto" w:fill="auto"/>
            <w:vAlign w:val="center"/>
          </w:tcPr>
          <w:p>
            <w:pPr>
              <w:pStyle w:val="27"/>
              <w:adjustRightInd/>
              <w:jc w:val="center"/>
              <w:rPr>
                <w:rFonts w:ascii="Times New Roman" w:eastAsia="仿宋_GB2312" w:cs="Times New Roman"/>
                <w:color w:val="auto"/>
              </w:rPr>
            </w:pPr>
            <w:r>
              <w:rPr>
                <w:rFonts w:ascii="Times New Roman" w:hAnsi="仿宋_GB2312" w:eastAsia="仿宋_GB2312" w:cs="Times New Roman"/>
                <w:color w:val="auto"/>
              </w:rPr>
              <w:t>样品中钴或镍含量的测定</w:t>
            </w:r>
          </w:p>
        </w:tc>
        <w:tc>
          <w:tcPr>
            <w:tcW w:w="2348" w:type="dxa"/>
            <w:shd w:val="clear" w:color="auto" w:fill="auto"/>
            <w:vAlign w:val="center"/>
          </w:tcPr>
          <w:p>
            <w:pPr>
              <w:pStyle w:val="27"/>
              <w:adjustRightInd/>
              <w:jc w:val="both"/>
              <w:rPr>
                <w:rFonts w:ascii="Times New Roman" w:eastAsia="仿宋_GB2312" w:cs="Times New Roman"/>
                <w:color w:val="auto"/>
              </w:rPr>
            </w:pPr>
            <w:r>
              <w:rPr>
                <w:rFonts w:ascii="Times New Roman" w:hAnsi="仿宋_GB2312" w:eastAsia="仿宋_GB2312" w:cs="Times New Roman"/>
                <w:color w:val="auto"/>
              </w:rPr>
              <w:t>个人健康安全</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药品称量</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溶液配制</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标准溶液标定</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样品制备</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含量测定</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文明操作</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数据处理</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结果报告</w:t>
            </w:r>
          </w:p>
        </w:tc>
        <w:tc>
          <w:tcPr>
            <w:tcW w:w="1370" w:type="dxa"/>
            <w:shd w:val="clear" w:color="auto" w:fill="auto"/>
            <w:vAlign w:val="center"/>
          </w:tcPr>
          <w:p>
            <w:pPr>
              <w:pStyle w:val="27"/>
              <w:adjustRightInd/>
              <w:jc w:val="center"/>
              <w:rPr>
                <w:rFonts w:ascii="Times New Roman" w:eastAsia="仿宋_GB2312" w:cs="Times New Roman"/>
                <w:color w:val="auto"/>
              </w:rPr>
            </w:pPr>
            <w:r>
              <w:rPr>
                <w:rFonts w:ascii="Times New Roman" w:eastAsia="仿宋_GB2312" w:cs="Times New Roman"/>
                <w:color w:val="auto"/>
              </w:rPr>
              <w:t>210</w:t>
            </w:r>
            <w:r>
              <w:rPr>
                <w:rFonts w:ascii="Times New Roman" w:hAnsi="仿宋_GB2312" w:eastAsia="仿宋_GB2312" w:cs="Times New Roman"/>
                <w:color w:val="auto"/>
              </w:rPr>
              <w:t>分钟</w:t>
            </w:r>
          </w:p>
        </w:tc>
        <w:tc>
          <w:tcPr>
            <w:tcW w:w="992" w:type="dxa"/>
            <w:shd w:val="clear" w:color="auto" w:fill="auto"/>
            <w:vAlign w:val="center"/>
          </w:tcPr>
          <w:p>
            <w:pPr>
              <w:pStyle w:val="27"/>
              <w:adjustRightInd/>
              <w:jc w:val="center"/>
              <w:rPr>
                <w:rFonts w:ascii="Times New Roman" w:eastAsia="仿宋_GB2312" w:cs="Times New Roman"/>
                <w:color w:val="auto"/>
              </w:rPr>
            </w:pPr>
            <w:r>
              <w:rPr>
                <w:rFonts w:ascii="Times New Roman" w:eastAsia="仿宋_GB2312" w:cs="Times New Roman"/>
                <w:color w:val="auto"/>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97" w:hRule="atLeast"/>
          <w:jc w:val="center"/>
        </w:trPr>
        <w:tc>
          <w:tcPr>
            <w:tcW w:w="846" w:type="dxa"/>
            <w:shd w:val="clear" w:color="auto" w:fill="auto"/>
            <w:vAlign w:val="center"/>
          </w:tcPr>
          <w:p>
            <w:pPr>
              <w:pStyle w:val="27"/>
              <w:adjustRightInd/>
              <w:jc w:val="center"/>
              <w:rPr>
                <w:rFonts w:ascii="Times New Roman" w:eastAsia="仿宋_GB2312" w:cs="Times New Roman"/>
                <w:color w:val="auto"/>
              </w:rPr>
            </w:pPr>
            <w:r>
              <w:rPr>
                <w:rFonts w:ascii="Times New Roman" w:eastAsia="仿宋_GB2312" w:cs="Times New Roman"/>
                <w:color w:val="auto"/>
              </w:rPr>
              <w:t>B</w:t>
            </w:r>
          </w:p>
        </w:tc>
        <w:tc>
          <w:tcPr>
            <w:tcW w:w="1605" w:type="dxa"/>
            <w:shd w:val="clear" w:color="auto" w:fill="auto"/>
            <w:vAlign w:val="center"/>
          </w:tcPr>
          <w:p>
            <w:pPr>
              <w:pStyle w:val="27"/>
              <w:adjustRightInd/>
              <w:jc w:val="center"/>
              <w:rPr>
                <w:rFonts w:ascii="Times New Roman" w:eastAsia="仿宋_GB2312" w:cs="Times New Roman"/>
                <w:color w:val="auto"/>
              </w:rPr>
            </w:pPr>
            <w:r>
              <w:rPr>
                <w:rFonts w:ascii="Times New Roman" w:hAnsi="仿宋_GB2312" w:eastAsia="仿宋_GB2312" w:cs="Times New Roman"/>
                <w:color w:val="auto"/>
              </w:rPr>
              <w:t>仪器分析法</w:t>
            </w:r>
          </w:p>
        </w:tc>
        <w:tc>
          <w:tcPr>
            <w:tcW w:w="1623" w:type="dxa"/>
            <w:shd w:val="clear" w:color="auto" w:fill="auto"/>
            <w:vAlign w:val="center"/>
          </w:tcPr>
          <w:p>
            <w:pPr>
              <w:pStyle w:val="27"/>
              <w:adjustRightInd/>
              <w:jc w:val="center"/>
              <w:rPr>
                <w:rFonts w:ascii="Times New Roman" w:eastAsia="仿宋_GB2312" w:cs="Times New Roman"/>
                <w:color w:val="auto"/>
              </w:rPr>
            </w:pPr>
            <w:r>
              <w:rPr>
                <w:rFonts w:ascii="Times New Roman" w:hAnsi="仿宋_GB2312" w:eastAsia="仿宋_GB2312" w:cs="Times New Roman"/>
                <w:color w:val="auto"/>
              </w:rPr>
              <w:t>样品中铁含量的测定</w:t>
            </w:r>
          </w:p>
        </w:tc>
        <w:tc>
          <w:tcPr>
            <w:tcW w:w="2348" w:type="dxa"/>
            <w:shd w:val="clear" w:color="auto" w:fill="auto"/>
            <w:vAlign w:val="center"/>
          </w:tcPr>
          <w:p>
            <w:pPr>
              <w:pStyle w:val="27"/>
              <w:adjustRightInd/>
              <w:jc w:val="both"/>
              <w:rPr>
                <w:rFonts w:ascii="Times New Roman" w:eastAsia="仿宋_GB2312" w:cs="Times New Roman"/>
                <w:color w:val="auto"/>
              </w:rPr>
            </w:pPr>
            <w:r>
              <w:rPr>
                <w:rFonts w:ascii="Times New Roman" w:hAnsi="仿宋_GB2312" w:eastAsia="仿宋_GB2312" w:cs="Times New Roman"/>
                <w:color w:val="auto"/>
              </w:rPr>
              <w:t>个人健康安全</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药品称量</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溶液配制</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标准工作曲线制作</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样品制备</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含量测定</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文明操作</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数据处理</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结果报告</w:t>
            </w:r>
          </w:p>
        </w:tc>
        <w:tc>
          <w:tcPr>
            <w:tcW w:w="1370" w:type="dxa"/>
            <w:shd w:val="clear" w:color="auto" w:fill="auto"/>
            <w:vAlign w:val="center"/>
          </w:tcPr>
          <w:p>
            <w:pPr>
              <w:pStyle w:val="27"/>
              <w:adjustRightInd/>
              <w:jc w:val="center"/>
              <w:rPr>
                <w:rFonts w:ascii="Times New Roman" w:eastAsia="仿宋_GB2312" w:cs="Times New Roman"/>
                <w:color w:val="auto"/>
              </w:rPr>
            </w:pPr>
            <w:r>
              <w:rPr>
                <w:rFonts w:ascii="Times New Roman" w:eastAsia="仿宋_GB2312" w:cs="Times New Roman"/>
                <w:color w:val="auto"/>
              </w:rPr>
              <w:t>190</w:t>
            </w:r>
            <w:r>
              <w:rPr>
                <w:rFonts w:ascii="Times New Roman" w:hAnsi="仿宋_GB2312" w:eastAsia="仿宋_GB2312" w:cs="Times New Roman"/>
                <w:color w:val="auto"/>
              </w:rPr>
              <w:t>分钟</w:t>
            </w:r>
          </w:p>
        </w:tc>
        <w:tc>
          <w:tcPr>
            <w:tcW w:w="992" w:type="dxa"/>
            <w:shd w:val="clear" w:color="auto" w:fill="auto"/>
            <w:vAlign w:val="center"/>
          </w:tcPr>
          <w:p>
            <w:pPr>
              <w:pStyle w:val="27"/>
              <w:adjustRightInd/>
              <w:jc w:val="center"/>
              <w:rPr>
                <w:rFonts w:ascii="Times New Roman" w:eastAsia="仿宋_GB2312" w:cs="Times New Roman"/>
                <w:color w:val="auto"/>
              </w:rPr>
            </w:pPr>
            <w:r>
              <w:rPr>
                <w:rFonts w:ascii="Times New Roman" w:eastAsia="仿宋_GB2312" w:cs="Times New Roman"/>
                <w:color w:val="auto"/>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97" w:hRule="atLeast"/>
          <w:jc w:val="center"/>
        </w:trPr>
        <w:tc>
          <w:tcPr>
            <w:tcW w:w="6422" w:type="dxa"/>
            <w:gridSpan w:val="4"/>
            <w:shd w:val="clear" w:color="auto" w:fill="auto"/>
            <w:vAlign w:val="center"/>
          </w:tcPr>
          <w:p>
            <w:pPr>
              <w:pStyle w:val="27"/>
              <w:adjustRightInd/>
              <w:jc w:val="center"/>
              <w:rPr>
                <w:rFonts w:ascii="Times New Roman" w:eastAsia="仿宋_GB2312" w:cs="Times New Roman"/>
                <w:b/>
                <w:bCs/>
                <w:color w:val="auto"/>
              </w:rPr>
            </w:pPr>
            <w:r>
              <w:rPr>
                <w:rFonts w:ascii="Times New Roman" w:hAnsi="仿宋_GB2312" w:eastAsia="仿宋_GB2312" w:cs="Times New Roman"/>
                <w:b/>
                <w:bCs/>
                <w:color w:val="auto"/>
              </w:rPr>
              <w:t>合计</w:t>
            </w:r>
          </w:p>
        </w:tc>
        <w:tc>
          <w:tcPr>
            <w:tcW w:w="1370" w:type="dxa"/>
            <w:shd w:val="clear" w:color="auto" w:fill="auto"/>
            <w:vAlign w:val="center"/>
          </w:tcPr>
          <w:p>
            <w:pPr>
              <w:pStyle w:val="27"/>
              <w:adjustRightInd/>
              <w:jc w:val="center"/>
              <w:rPr>
                <w:rFonts w:ascii="Times New Roman" w:eastAsia="仿宋_GB2312" w:cs="Times New Roman"/>
                <w:b/>
                <w:bCs/>
                <w:color w:val="auto"/>
              </w:rPr>
            </w:pPr>
            <w:r>
              <w:rPr>
                <w:rFonts w:ascii="Times New Roman" w:eastAsia="仿宋_GB2312" w:cs="Times New Roman"/>
                <w:b/>
                <w:bCs/>
                <w:color w:val="auto"/>
              </w:rPr>
              <w:t>400</w:t>
            </w:r>
            <w:r>
              <w:rPr>
                <w:rFonts w:ascii="Times New Roman" w:hAnsi="仿宋_GB2312" w:eastAsia="仿宋_GB2312" w:cs="Times New Roman"/>
                <w:b/>
                <w:bCs/>
                <w:color w:val="auto"/>
              </w:rPr>
              <w:t>分钟</w:t>
            </w:r>
          </w:p>
        </w:tc>
        <w:tc>
          <w:tcPr>
            <w:tcW w:w="992" w:type="dxa"/>
            <w:shd w:val="clear" w:color="auto" w:fill="auto"/>
            <w:vAlign w:val="center"/>
          </w:tcPr>
          <w:p>
            <w:pPr>
              <w:pStyle w:val="27"/>
              <w:adjustRightInd/>
              <w:jc w:val="center"/>
              <w:rPr>
                <w:rFonts w:ascii="Times New Roman" w:eastAsia="仿宋_GB2312" w:cs="Times New Roman"/>
                <w:b/>
                <w:bCs/>
                <w:color w:val="auto"/>
              </w:rPr>
            </w:pPr>
            <w:r>
              <w:rPr>
                <w:rFonts w:ascii="Times New Roman" w:eastAsia="仿宋_GB2312" w:cs="Times New Roman"/>
                <w:b/>
                <w:bCs/>
                <w:color w:val="auto"/>
              </w:rPr>
              <w:t>100%</w:t>
            </w:r>
          </w:p>
        </w:tc>
      </w:tr>
    </w:tbl>
    <w:p>
      <w:pPr>
        <w:spacing w:line="360" w:lineRule="auto"/>
        <w:ind w:firstLine="480" w:firstLineChars="200"/>
        <w:rPr>
          <w:rFonts w:ascii="Times New Roman" w:hAnsi="Times New Roman" w:eastAsia="宋体" w:cs="Times New Roman"/>
          <w:sz w:val="24"/>
          <w:lang w:eastAsia="zh-CN"/>
        </w:rPr>
      </w:pPr>
      <w:bookmarkStart w:id="18" w:name="_Toc51745446"/>
    </w:p>
    <w:p>
      <w:pPr>
        <w:spacing w:line="560" w:lineRule="exact"/>
        <w:ind w:firstLine="562" w:firstLineChars="200"/>
        <w:jc w:val="both"/>
        <w:rPr>
          <w:rFonts w:ascii="Times New Roman" w:hAnsi="Times New Roman" w:eastAsia="仿宋_GB2312" w:cs="Times New Roman"/>
          <w:b/>
          <w:kern w:val="2"/>
          <w:sz w:val="28"/>
          <w:szCs w:val="28"/>
          <w:lang w:eastAsia="zh-CN"/>
        </w:rPr>
      </w:pPr>
      <w:r>
        <w:rPr>
          <w:rFonts w:ascii="Times New Roman" w:hAnsi="仿宋_GB2312" w:eastAsia="仿宋_GB2312" w:cs="Times New Roman"/>
          <w:b/>
          <w:kern w:val="2"/>
          <w:sz w:val="28"/>
          <w:szCs w:val="28"/>
          <w:lang w:eastAsia="zh-CN"/>
        </w:rPr>
        <w:t>四、竞赛方式</w:t>
      </w:r>
      <w:bookmarkEnd w:id="18"/>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本竞赛项目为个人赛，要求选手在</w:t>
      </w: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天时间内独立完成</w:t>
      </w:r>
      <w:r>
        <w:rPr>
          <w:rFonts w:ascii="Times New Roman" w:hAnsi="Times New Roman" w:eastAsia="仿宋_GB2312" w:cs="Times New Roman"/>
          <w:kern w:val="2"/>
          <w:sz w:val="28"/>
          <w:szCs w:val="28"/>
          <w:lang w:eastAsia="zh-CN"/>
        </w:rPr>
        <w:t>2</w:t>
      </w:r>
      <w:r>
        <w:rPr>
          <w:rFonts w:ascii="Times New Roman" w:hAnsi="仿宋_GB2312" w:eastAsia="仿宋_GB2312" w:cs="Times New Roman"/>
          <w:kern w:val="2"/>
          <w:sz w:val="28"/>
          <w:szCs w:val="28"/>
          <w:lang w:eastAsia="zh-CN"/>
        </w:rPr>
        <w:t>个项目任务。</w:t>
      </w:r>
    </w:p>
    <w:p>
      <w:pPr>
        <w:spacing w:line="560" w:lineRule="exact"/>
        <w:ind w:firstLine="562" w:firstLineChars="200"/>
        <w:jc w:val="both"/>
        <w:rPr>
          <w:rFonts w:ascii="Times New Roman" w:hAnsi="Times New Roman" w:eastAsia="仿宋_GB2312" w:cs="Times New Roman"/>
          <w:b/>
          <w:kern w:val="2"/>
          <w:sz w:val="28"/>
          <w:szCs w:val="28"/>
          <w:lang w:eastAsia="zh-CN"/>
        </w:rPr>
      </w:pPr>
      <w:bookmarkStart w:id="19" w:name="_bookmark7"/>
      <w:bookmarkEnd w:id="19"/>
      <w:bookmarkStart w:id="20" w:name="_bookmark15"/>
      <w:bookmarkEnd w:id="20"/>
      <w:bookmarkStart w:id="21" w:name="_bookmark14"/>
      <w:bookmarkEnd w:id="21"/>
      <w:bookmarkStart w:id="22" w:name="_bookmark2"/>
      <w:bookmarkEnd w:id="22"/>
      <w:bookmarkStart w:id="23" w:name="_Toc51745447"/>
      <w:r>
        <w:rPr>
          <w:rFonts w:ascii="Times New Roman" w:hAnsi="仿宋_GB2312" w:eastAsia="仿宋_GB2312" w:cs="Times New Roman"/>
          <w:b/>
          <w:kern w:val="2"/>
          <w:sz w:val="28"/>
          <w:szCs w:val="28"/>
          <w:lang w:eastAsia="zh-CN"/>
        </w:rPr>
        <w:t>五、竞赛流程</w:t>
      </w:r>
      <w:bookmarkEnd w:id="23"/>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24" w:name="_Toc51745448"/>
      <w:r>
        <w:rPr>
          <w:rFonts w:ascii="Times New Roman" w:hAnsi="仿宋_GB2312" w:eastAsia="仿宋_GB2312" w:cs="Times New Roman"/>
          <w:b/>
          <w:bCs/>
          <w:kern w:val="2"/>
          <w:sz w:val="28"/>
          <w:szCs w:val="28"/>
          <w:lang w:eastAsia="zh-CN"/>
        </w:rPr>
        <w:t>（一）时间安排</w:t>
      </w:r>
      <w:bookmarkEnd w:id="24"/>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 xml:space="preserve">1. </w:t>
      </w:r>
      <w:r>
        <w:rPr>
          <w:rFonts w:ascii="Times New Roman" w:hAnsi="仿宋_GB2312" w:eastAsia="仿宋_GB2312" w:cs="Times New Roman"/>
          <w:kern w:val="2"/>
          <w:sz w:val="28"/>
          <w:szCs w:val="28"/>
          <w:lang w:eastAsia="zh-CN"/>
        </w:rPr>
        <w:t>裁判员原则上提前一天报到，便于赛项执委会组织执裁培训、熟悉比赛评分细则，具体安排另行通知。</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 xml:space="preserve">2. </w:t>
      </w:r>
      <w:r>
        <w:rPr>
          <w:rFonts w:ascii="Times New Roman" w:hAnsi="仿宋_GB2312" w:eastAsia="仿宋_GB2312" w:cs="Times New Roman"/>
          <w:kern w:val="2"/>
          <w:sz w:val="28"/>
          <w:szCs w:val="28"/>
          <w:lang w:eastAsia="zh-CN"/>
        </w:rPr>
        <w:t>参赛队报到时间</w:t>
      </w: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天，比赛时间为</w:t>
      </w: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天，裁判阅卷、成绩公布、开闭赛式半天。具体时间安排见表</w:t>
      </w:r>
      <w:r>
        <w:rPr>
          <w:rFonts w:ascii="Times New Roman" w:hAnsi="Times New Roman" w:eastAsia="仿宋_GB2312" w:cs="Times New Roman"/>
          <w:kern w:val="2"/>
          <w:sz w:val="28"/>
          <w:szCs w:val="28"/>
          <w:lang w:eastAsia="zh-CN"/>
        </w:rPr>
        <w:t>3</w:t>
      </w:r>
      <w:r>
        <w:rPr>
          <w:rFonts w:ascii="Times New Roman" w:hAnsi="仿宋_GB2312" w:eastAsia="仿宋_GB2312" w:cs="Times New Roman"/>
          <w:kern w:val="2"/>
          <w:sz w:val="28"/>
          <w:szCs w:val="28"/>
          <w:lang w:eastAsia="zh-CN"/>
        </w:rPr>
        <w:t>。</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p>
    <w:p>
      <w:pPr>
        <w:spacing w:line="560" w:lineRule="exact"/>
        <w:jc w:val="center"/>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表</w:t>
      </w:r>
      <w:r>
        <w:rPr>
          <w:rFonts w:ascii="Times New Roman" w:hAnsi="Times New Roman" w:eastAsia="仿宋_GB2312" w:cs="Times New Roman"/>
          <w:kern w:val="2"/>
          <w:sz w:val="28"/>
          <w:szCs w:val="28"/>
          <w:lang w:eastAsia="zh-CN"/>
        </w:rPr>
        <w:t xml:space="preserve">3 </w:t>
      </w:r>
      <w:r>
        <w:rPr>
          <w:rFonts w:ascii="Times New Roman" w:hAnsi="仿宋_GB2312" w:eastAsia="仿宋_GB2312" w:cs="Times New Roman"/>
          <w:kern w:val="2"/>
          <w:sz w:val="28"/>
          <w:szCs w:val="28"/>
          <w:lang w:eastAsia="zh-CN"/>
        </w:rPr>
        <w:t>竞赛日程安排</w:t>
      </w:r>
    </w:p>
    <w:tbl>
      <w:tblPr>
        <w:tblStyle w:val="19"/>
        <w:tblW w:w="8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551"/>
        <w:gridCol w:w="4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8" w:type="dxa"/>
            <w:vAlign w:val="center"/>
          </w:tcPr>
          <w:p>
            <w:pPr>
              <w:pStyle w:val="27"/>
              <w:adjustRightInd/>
              <w:jc w:val="center"/>
              <w:rPr>
                <w:rFonts w:ascii="Times New Roman" w:eastAsia="仿宋_GB2312" w:cs="Times New Roman"/>
                <w:b/>
                <w:bCs/>
                <w:color w:val="auto"/>
              </w:rPr>
            </w:pPr>
            <w:r>
              <w:rPr>
                <w:rFonts w:ascii="Times New Roman" w:hAnsi="仿宋_GB2312" w:eastAsia="仿宋_GB2312" w:cs="Times New Roman"/>
                <w:b/>
                <w:bCs/>
                <w:color w:val="auto"/>
              </w:rPr>
              <w:t>日期</w:t>
            </w:r>
          </w:p>
        </w:tc>
        <w:tc>
          <w:tcPr>
            <w:tcW w:w="2551" w:type="dxa"/>
            <w:vAlign w:val="center"/>
          </w:tcPr>
          <w:p>
            <w:pPr>
              <w:pStyle w:val="27"/>
              <w:adjustRightInd/>
              <w:jc w:val="center"/>
              <w:rPr>
                <w:rFonts w:ascii="Times New Roman" w:eastAsia="仿宋_GB2312" w:cs="Times New Roman"/>
                <w:b/>
                <w:bCs/>
                <w:color w:val="auto"/>
              </w:rPr>
            </w:pPr>
            <w:r>
              <w:rPr>
                <w:rFonts w:ascii="Times New Roman" w:hAnsi="仿宋_GB2312" w:eastAsia="仿宋_GB2312" w:cs="Times New Roman"/>
                <w:b/>
                <w:bCs/>
                <w:color w:val="auto"/>
              </w:rPr>
              <w:t>时间</w:t>
            </w:r>
          </w:p>
        </w:tc>
        <w:tc>
          <w:tcPr>
            <w:tcW w:w="4593" w:type="dxa"/>
            <w:vAlign w:val="center"/>
          </w:tcPr>
          <w:p>
            <w:pPr>
              <w:pStyle w:val="27"/>
              <w:adjustRightInd/>
              <w:jc w:val="center"/>
              <w:rPr>
                <w:rFonts w:ascii="Times New Roman" w:eastAsia="仿宋_GB2312" w:cs="Times New Roman"/>
                <w:b/>
                <w:bCs/>
                <w:color w:val="auto"/>
              </w:rPr>
            </w:pPr>
            <w:r>
              <w:rPr>
                <w:rFonts w:ascii="Times New Roman" w:hAnsi="仿宋_GB2312" w:eastAsia="仿宋_GB2312" w:cs="Times New Roman"/>
                <w:b/>
                <w:bCs/>
                <w:color w:val="auto"/>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8" w:type="dxa"/>
            <w:vMerge w:val="restart"/>
            <w:vAlign w:val="center"/>
          </w:tcPr>
          <w:p>
            <w:pPr>
              <w:pStyle w:val="27"/>
              <w:adjustRightInd/>
              <w:jc w:val="center"/>
              <w:rPr>
                <w:rFonts w:ascii="Times New Roman" w:eastAsia="仿宋_GB2312" w:cs="Times New Roman"/>
                <w:color w:val="auto"/>
              </w:rPr>
            </w:pPr>
            <w:r>
              <w:rPr>
                <w:rFonts w:ascii="Times New Roman" w:hAnsi="仿宋_GB2312" w:eastAsia="仿宋_GB2312" w:cs="Times New Roman"/>
                <w:color w:val="auto"/>
              </w:rPr>
              <w:t>第一天</w:t>
            </w:r>
          </w:p>
        </w:tc>
        <w:tc>
          <w:tcPr>
            <w:tcW w:w="2551" w:type="dxa"/>
            <w:vAlign w:val="center"/>
          </w:tcPr>
          <w:p>
            <w:pPr>
              <w:pStyle w:val="27"/>
              <w:adjustRightInd/>
              <w:jc w:val="center"/>
              <w:rPr>
                <w:rFonts w:ascii="Times New Roman" w:eastAsia="仿宋_GB2312" w:cs="Times New Roman"/>
                <w:color w:val="auto"/>
              </w:rPr>
            </w:pPr>
            <w:r>
              <w:rPr>
                <w:rFonts w:ascii="Times New Roman" w:hAnsi="仿宋_GB2312" w:eastAsia="仿宋_GB2312" w:cs="Times New Roman"/>
                <w:color w:val="auto"/>
              </w:rPr>
              <w:t>全天</w:t>
            </w:r>
          </w:p>
        </w:tc>
        <w:tc>
          <w:tcPr>
            <w:tcW w:w="4593" w:type="dxa"/>
            <w:vAlign w:val="center"/>
          </w:tcPr>
          <w:p>
            <w:pPr>
              <w:pStyle w:val="27"/>
              <w:adjustRightInd/>
              <w:jc w:val="center"/>
              <w:rPr>
                <w:rFonts w:ascii="Times New Roman" w:eastAsia="仿宋_GB2312" w:cs="Times New Roman"/>
                <w:color w:val="auto"/>
              </w:rPr>
            </w:pPr>
            <w:r>
              <w:rPr>
                <w:rFonts w:ascii="Times New Roman" w:hAnsi="仿宋_GB2312" w:eastAsia="仿宋_GB2312" w:cs="Times New Roman"/>
                <w:color w:val="auto"/>
              </w:rPr>
              <w:t>参赛队报到，安排住宿、发放参赛证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8" w:type="dxa"/>
            <w:vMerge w:val="continue"/>
            <w:vAlign w:val="center"/>
          </w:tcPr>
          <w:p>
            <w:pPr>
              <w:pStyle w:val="27"/>
              <w:adjustRightInd/>
              <w:jc w:val="center"/>
              <w:rPr>
                <w:rFonts w:ascii="Times New Roman" w:eastAsia="仿宋_GB2312" w:cs="Times New Roman"/>
                <w:color w:val="auto"/>
              </w:rPr>
            </w:pPr>
          </w:p>
        </w:tc>
        <w:tc>
          <w:tcPr>
            <w:tcW w:w="2551" w:type="dxa"/>
            <w:vAlign w:val="center"/>
          </w:tcPr>
          <w:p>
            <w:pPr>
              <w:pStyle w:val="27"/>
              <w:adjustRightInd/>
              <w:jc w:val="center"/>
              <w:rPr>
                <w:rFonts w:ascii="Times New Roman" w:eastAsia="仿宋_GB2312" w:cs="Times New Roman"/>
                <w:color w:val="auto"/>
              </w:rPr>
            </w:pPr>
            <w:r>
              <w:rPr>
                <w:rFonts w:ascii="Times New Roman" w:hAnsi="仿宋_GB2312" w:eastAsia="仿宋_GB2312" w:cs="Times New Roman"/>
                <w:color w:val="auto"/>
              </w:rPr>
              <w:t>下午</w:t>
            </w:r>
          </w:p>
        </w:tc>
        <w:tc>
          <w:tcPr>
            <w:tcW w:w="4593" w:type="dxa"/>
            <w:vAlign w:val="center"/>
          </w:tcPr>
          <w:p>
            <w:pPr>
              <w:pStyle w:val="27"/>
              <w:adjustRightInd/>
              <w:jc w:val="center"/>
              <w:rPr>
                <w:rFonts w:ascii="Times New Roman" w:eastAsia="仿宋_GB2312" w:cs="Times New Roman"/>
                <w:color w:val="auto"/>
              </w:rPr>
            </w:pPr>
            <w:r>
              <w:rPr>
                <w:rFonts w:ascii="Times New Roman" w:hAnsi="仿宋_GB2312" w:eastAsia="仿宋_GB2312" w:cs="Times New Roman"/>
                <w:color w:val="auto"/>
              </w:rPr>
              <w:t>领队会议、选手熟悉比赛赛场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8" w:type="dxa"/>
            <w:vMerge w:val="restart"/>
            <w:vAlign w:val="center"/>
          </w:tcPr>
          <w:p>
            <w:pPr>
              <w:pStyle w:val="27"/>
              <w:adjustRightInd/>
              <w:jc w:val="center"/>
              <w:rPr>
                <w:rFonts w:ascii="Times New Roman" w:eastAsia="仿宋_GB2312" w:cs="Times New Roman"/>
                <w:color w:val="auto"/>
              </w:rPr>
            </w:pPr>
            <w:r>
              <w:rPr>
                <w:rFonts w:ascii="Times New Roman" w:hAnsi="仿宋_GB2312" w:eastAsia="仿宋_GB2312" w:cs="Times New Roman"/>
                <w:color w:val="auto"/>
              </w:rPr>
              <w:t>第二天</w:t>
            </w:r>
          </w:p>
        </w:tc>
        <w:tc>
          <w:tcPr>
            <w:tcW w:w="2551" w:type="dxa"/>
            <w:vAlign w:val="center"/>
          </w:tcPr>
          <w:p>
            <w:pPr>
              <w:pStyle w:val="27"/>
              <w:adjustRightInd/>
              <w:jc w:val="center"/>
              <w:rPr>
                <w:rFonts w:ascii="Times New Roman" w:eastAsia="仿宋_GB2312" w:cs="Times New Roman"/>
                <w:color w:val="auto"/>
              </w:rPr>
            </w:pPr>
            <w:r>
              <w:rPr>
                <w:rFonts w:ascii="Times New Roman" w:hAnsi="仿宋_GB2312" w:eastAsia="仿宋_GB2312" w:cs="Times New Roman"/>
                <w:color w:val="auto"/>
              </w:rPr>
              <w:t>上午</w:t>
            </w:r>
          </w:p>
        </w:tc>
        <w:tc>
          <w:tcPr>
            <w:tcW w:w="4593" w:type="dxa"/>
            <w:vAlign w:val="center"/>
          </w:tcPr>
          <w:p>
            <w:pPr>
              <w:pStyle w:val="27"/>
              <w:adjustRightInd/>
              <w:jc w:val="center"/>
              <w:rPr>
                <w:rFonts w:ascii="Times New Roman" w:eastAsia="仿宋_GB2312" w:cs="Times New Roman"/>
                <w:color w:val="auto"/>
              </w:rPr>
            </w:pPr>
            <w:r>
              <w:rPr>
                <w:rFonts w:ascii="Times New Roman" w:hAnsi="仿宋_GB2312" w:eastAsia="仿宋_GB2312" w:cs="Times New Roman"/>
                <w:color w:val="auto"/>
              </w:rPr>
              <w:t>模块</w:t>
            </w:r>
            <w:r>
              <w:rPr>
                <w:rFonts w:ascii="Times New Roman" w:eastAsia="仿宋_GB2312" w:cs="Times New Roman"/>
                <w:color w:val="auto"/>
              </w:rPr>
              <w:t>A</w:t>
            </w:r>
            <w:r>
              <w:rPr>
                <w:rFonts w:ascii="Times New Roman" w:hAnsi="仿宋_GB2312" w:eastAsia="仿宋_GB2312" w:cs="Times New Roman"/>
                <w:color w:val="auto"/>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8" w:type="dxa"/>
            <w:vMerge w:val="continue"/>
            <w:vAlign w:val="center"/>
          </w:tcPr>
          <w:p>
            <w:pPr>
              <w:pStyle w:val="27"/>
              <w:adjustRightInd/>
              <w:jc w:val="center"/>
              <w:rPr>
                <w:rFonts w:ascii="Times New Roman" w:eastAsia="仿宋_GB2312" w:cs="Times New Roman"/>
                <w:color w:val="auto"/>
              </w:rPr>
            </w:pPr>
          </w:p>
        </w:tc>
        <w:tc>
          <w:tcPr>
            <w:tcW w:w="2551" w:type="dxa"/>
            <w:vAlign w:val="center"/>
          </w:tcPr>
          <w:p>
            <w:pPr>
              <w:pStyle w:val="27"/>
              <w:adjustRightInd/>
              <w:jc w:val="center"/>
              <w:rPr>
                <w:rFonts w:ascii="Times New Roman" w:eastAsia="仿宋_GB2312" w:cs="Times New Roman"/>
                <w:color w:val="auto"/>
              </w:rPr>
            </w:pPr>
            <w:r>
              <w:rPr>
                <w:rFonts w:ascii="Times New Roman" w:hAnsi="仿宋_GB2312" w:eastAsia="仿宋_GB2312" w:cs="Times New Roman"/>
                <w:color w:val="auto"/>
              </w:rPr>
              <w:t>下午</w:t>
            </w:r>
          </w:p>
        </w:tc>
        <w:tc>
          <w:tcPr>
            <w:tcW w:w="4593" w:type="dxa"/>
            <w:vAlign w:val="center"/>
          </w:tcPr>
          <w:p>
            <w:pPr>
              <w:pStyle w:val="27"/>
              <w:adjustRightInd/>
              <w:jc w:val="center"/>
              <w:rPr>
                <w:rFonts w:ascii="Times New Roman" w:eastAsia="仿宋_GB2312" w:cs="Times New Roman"/>
                <w:color w:val="auto"/>
              </w:rPr>
            </w:pPr>
            <w:r>
              <w:rPr>
                <w:rFonts w:ascii="Times New Roman" w:hAnsi="仿宋_GB2312" w:eastAsia="仿宋_GB2312" w:cs="Times New Roman"/>
                <w:color w:val="auto"/>
              </w:rPr>
              <w:t>模块</w:t>
            </w:r>
            <w:r>
              <w:rPr>
                <w:rFonts w:ascii="Times New Roman" w:eastAsia="仿宋_GB2312" w:cs="Times New Roman"/>
                <w:color w:val="auto"/>
              </w:rPr>
              <w:t>B</w:t>
            </w:r>
            <w:r>
              <w:rPr>
                <w:rFonts w:ascii="Times New Roman" w:hAnsi="仿宋_GB2312" w:eastAsia="仿宋_GB2312" w:cs="Times New Roman"/>
                <w:color w:val="auto"/>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8" w:type="dxa"/>
            <w:vMerge w:val="continue"/>
            <w:vAlign w:val="center"/>
          </w:tcPr>
          <w:p>
            <w:pPr>
              <w:pStyle w:val="27"/>
              <w:adjustRightInd/>
              <w:jc w:val="center"/>
              <w:rPr>
                <w:rFonts w:ascii="Times New Roman" w:eastAsia="仿宋_GB2312" w:cs="Times New Roman"/>
                <w:color w:val="auto"/>
              </w:rPr>
            </w:pPr>
          </w:p>
        </w:tc>
        <w:tc>
          <w:tcPr>
            <w:tcW w:w="2551" w:type="dxa"/>
            <w:vAlign w:val="center"/>
          </w:tcPr>
          <w:p>
            <w:pPr>
              <w:pStyle w:val="27"/>
              <w:adjustRightInd/>
              <w:jc w:val="center"/>
              <w:rPr>
                <w:rFonts w:ascii="Times New Roman" w:eastAsia="仿宋_GB2312" w:cs="Times New Roman"/>
                <w:color w:val="auto"/>
              </w:rPr>
            </w:pPr>
            <w:r>
              <w:rPr>
                <w:rFonts w:ascii="Times New Roman" w:hAnsi="仿宋_GB2312" w:eastAsia="仿宋_GB2312" w:cs="Times New Roman"/>
                <w:color w:val="auto"/>
              </w:rPr>
              <w:t>晚上</w:t>
            </w:r>
          </w:p>
        </w:tc>
        <w:tc>
          <w:tcPr>
            <w:tcW w:w="4593" w:type="dxa"/>
            <w:vAlign w:val="center"/>
          </w:tcPr>
          <w:p>
            <w:pPr>
              <w:pStyle w:val="27"/>
              <w:adjustRightInd/>
              <w:jc w:val="center"/>
              <w:rPr>
                <w:rFonts w:ascii="Times New Roman" w:eastAsia="仿宋_GB2312" w:cs="Times New Roman"/>
                <w:color w:val="auto"/>
              </w:rPr>
            </w:pPr>
            <w:r>
              <w:rPr>
                <w:rFonts w:ascii="Times New Roman" w:hAnsi="仿宋_GB2312" w:eastAsia="仿宋_GB2312" w:cs="Times New Roman"/>
                <w:color w:val="auto"/>
              </w:rPr>
              <w:t>裁判员阅卷、成绩录入及成绩公布</w:t>
            </w:r>
          </w:p>
        </w:tc>
      </w:tr>
    </w:tbl>
    <w:p>
      <w:pPr>
        <w:spacing w:line="360" w:lineRule="auto"/>
        <w:ind w:firstLine="480" w:firstLineChars="200"/>
        <w:rPr>
          <w:rFonts w:ascii="Times New Roman" w:hAnsi="Times New Roman" w:eastAsia="宋体" w:cs="Times New Roman"/>
          <w:sz w:val="24"/>
          <w:lang w:eastAsia="zh-CN"/>
        </w:rPr>
      </w:pPr>
      <w:bookmarkStart w:id="25" w:name="_Toc51745449"/>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r>
        <w:rPr>
          <w:rFonts w:ascii="Times New Roman" w:hAnsi="仿宋_GB2312" w:eastAsia="仿宋_GB2312" w:cs="Times New Roman"/>
          <w:b/>
          <w:bCs/>
          <w:kern w:val="2"/>
          <w:sz w:val="28"/>
          <w:szCs w:val="28"/>
          <w:lang w:eastAsia="zh-CN"/>
        </w:rPr>
        <w:t>（二）竞赛流程</w:t>
      </w:r>
      <w:bookmarkEnd w:id="25"/>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 xml:space="preserve">1. </w:t>
      </w:r>
      <w:r>
        <w:rPr>
          <w:rFonts w:ascii="Times New Roman" w:hAnsi="仿宋_GB2312" w:eastAsia="仿宋_GB2312" w:cs="Times New Roman"/>
          <w:kern w:val="2"/>
          <w:sz w:val="28"/>
          <w:szCs w:val="28"/>
          <w:lang w:eastAsia="zh-CN"/>
        </w:rPr>
        <w:t>赛场的赛位统一编制。参赛队比赛前</w:t>
      </w:r>
      <w:r>
        <w:rPr>
          <w:rFonts w:ascii="Times New Roman" w:hAnsi="Times New Roman" w:eastAsia="仿宋_GB2312" w:cs="Times New Roman"/>
          <w:kern w:val="2"/>
          <w:sz w:val="28"/>
          <w:szCs w:val="28"/>
          <w:lang w:eastAsia="zh-CN"/>
        </w:rPr>
        <w:t>45</w:t>
      </w:r>
      <w:r>
        <w:rPr>
          <w:rFonts w:ascii="Times New Roman" w:hAnsi="仿宋_GB2312" w:eastAsia="仿宋_GB2312" w:cs="Times New Roman"/>
          <w:kern w:val="2"/>
          <w:sz w:val="28"/>
          <w:szCs w:val="28"/>
          <w:lang w:eastAsia="zh-CN"/>
        </w:rPr>
        <w:t>分钟凭参赛证、身份证到指定地点检录，经</w:t>
      </w: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次加密抽签决定赛位号，抽签结束后，随即按照抽取的赛位号进场，然后在对应的赛位上完成竞赛规定的工作任务。如赛位号为</w:t>
      </w:r>
      <w:r>
        <w:rPr>
          <w:rFonts w:ascii="Times New Roman" w:hAnsi="Times New Roman" w:eastAsia="仿宋_GB2312" w:cs="Times New Roman"/>
          <w:kern w:val="2"/>
          <w:sz w:val="28"/>
          <w:szCs w:val="28"/>
          <w:lang w:eastAsia="zh-CN"/>
        </w:rPr>
        <w:t>GZ-A-01</w:t>
      </w:r>
      <w:r>
        <w:rPr>
          <w:rFonts w:ascii="Times New Roman" w:hAnsi="仿宋_GB2312" w:eastAsia="仿宋_GB2312" w:cs="Times New Roman"/>
          <w:kern w:val="2"/>
          <w:sz w:val="28"/>
          <w:szCs w:val="28"/>
          <w:lang w:eastAsia="zh-CN"/>
        </w:rPr>
        <w:t>，表示本赛项</w:t>
      </w:r>
      <w:r>
        <w:rPr>
          <w:rFonts w:ascii="Times New Roman" w:hAnsi="Times New Roman" w:eastAsia="仿宋_GB2312" w:cs="Times New Roman"/>
          <w:kern w:val="2"/>
          <w:sz w:val="28"/>
          <w:szCs w:val="28"/>
          <w:lang w:eastAsia="zh-CN"/>
        </w:rPr>
        <w:t>A</w:t>
      </w:r>
      <w:r>
        <w:rPr>
          <w:rFonts w:ascii="Times New Roman" w:hAnsi="仿宋_GB2312" w:eastAsia="仿宋_GB2312" w:cs="Times New Roman"/>
          <w:kern w:val="2"/>
          <w:sz w:val="28"/>
          <w:szCs w:val="28"/>
          <w:lang w:eastAsia="zh-CN"/>
        </w:rPr>
        <w:t>模块的第</w:t>
      </w: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号赛位。</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 xml:space="preserve">2. </w:t>
      </w:r>
      <w:r>
        <w:rPr>
          <w:rFonts w:ascii="Times New Roman" w:hAnsi="仿宋_GB2312" w:eastAsia="仿宋_GB2312" w:cs="Times New Roman"/>
          <w:kern w:val="2"/>
          <w:sz w:val="28"/>
          <w:szCs w:val="28"/>
          <w:lang w:eastAsia="zh-CN"/>
        </w:rPr>
        <w:t>赛位号不对外公布，抽签结果密封后统一保管。实操结束后，选手的现场试卷进行密封，在评分结束后开封解密并统计成绩。</w:t>
      </w:r>
    </w:p>
    <w:p>
      <w:pPr>
        <w:spacing w:line="560" w:lineRule="exact"/>
        <w:ind w:firstLine="562" w:firstLineChars="200"/>
        <w:jc w:val="both"/>
        <w:rPr>
          <w:rFonts w:ascii="Times New Roman" w:hAnsi="Times New Roman" w:eastAsia="仿宋_GB2312" w:cs="Times New Roman"/>
          <w:b/>
          <w:kern w:val="2"/>
          <w:sz w:val="28"/>
          <w:szCs w:val="28"/>
          <w:lang w:eastAsia="zh-CN"/>
        </w:rPr>
      </w:pPr>
      <w:bookmarkStart w:id="26" w:name="_Toc51745450"/>
      <w:r>
        <w:rPr>
          <w:rFonts w:ascii="Times New Roman" w:hAnsi="仿宋_GB2312" w:eastAsia="仿宋_GB2312" w:cs="Times New Roman"/>
          <w:b/>
          <w:kern w:val="2"/>
          <w:sz w:val="28"/>
          <w:szCs w:val="28"/>
          <w:lang w:eastAsia="zh-CN"/>
        </w:rPr>
        <w:t>六、竞赛样题</w:t>
      </w:r>
      <w:bookmarkEnd w:id="26"/>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竞赛样题具体内容详见附件。</w:t>
      </w:r>
    </w:p>
    <w:p>
      <w:pPr>
        <w:spacing w:line="560" w:lineRule="exact"/>
        <w:ind w:firstLine="562" w:firstLineChars="200"/>
        <w:jc w:val="both"/>
        <w:rPr>
          <w:rFonts w:ascii="Times New Roman" w:hAnsi="Times New Roman" w:eastAsia="仿宋_GB2312" w:cs="Times New Roman"/>
          <w:b/>
          <w:kern w:val="2"/>
          <w:sz w:val="28"/>
          <w:szCs w:val="28"/>
          <w:lang w:eastAsia="zh-CN"/>
        </w:rPr>
      </w:pPr>
      <w:bookmarkStart w:id="27" w:name="_Toc51745451"/>
      <w:r>
        <w:rPr>
          <w:rFonts w:ascii="Times New Roman" w:hAnsi="仿宋_GB2312" w:eastAsia="仿宋_GB2312" w:cs="Times New Roman"/>
          <w:b/>
          <w:kern w:val="2"/>
          <w:sz w:val="28"/>
          <w:szCs w:val="28"/>
          <w:lang w:eastAsia="zh-CN"/>
        </w:rPr>
        <w:t>七、竞赛规则</w:t>
      </w:r>
      <w:bookmarkEnd w:id="27"/>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28" w:name="_Toc51745452"/>
      <w:r>
        <w:rPr>
          <w:rFonts w:ascii="Times New Roman" w:hAnsi="仿宋_GB2312" w:eastAsia="仿宋_GB2312" w:cs="Times New Roman"/>
          <w:b/>
          <w:bCs/>
          <w:kern w:val="2"/>
          <w:sz w:val="28"/>
          <w:szCs w:val="28"/>
          <w:lang w:eastAsia="zh-CN"/>
        </w:rPr>
        <w:t>（一）参赛规则</w:t>
      </w:r>
      <w:bookmarkEnd w:id="28"/>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参赛队名额确定：以院校为单位填报，每个院校可报两名选手，每名选手可跟随两名指导教师。</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2.</w:t>
      </w:r>
      <w:r>
        <w:rPr>
          <w:rFonts w:ascii="Times New Roman" w:hAnsi="仿宋_GB2312" w:eastAsia="仿宋_GB2312" w:cs="Times New Roman"/>
          <w:kern w:val="2"/>
          <w:sz w:val="28"/>
          <w:szCs w:val="28"/>
          <w:lang w:eastAsia="zh-CN"/>
        </w:rPr>
        <w:t>参赛选手资格：参赛选手须为高等职业学校全日制在籍学生。</w:t>
      </w:r>
      <w:r>
        <w:rPr>
          <w:rFonts w:ascii="Times New Roman" w:hAnsi="Times New Roman" w:eastAsia="仿宋_GB2312" w:cs="Times New Roman"/>
          <w:kern w:val="2"/>
          <w:sz w:val="28"/>
          <w:szCs w:val="28"/>
          <w:lang w:eastAsia="zh-CN"/>
        </w:rPr>
        <w:t xml:space="preserve"> </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3.</w:t>
      </w:r>
      <w:r>
        <w:rPr>
          <w:rFonts w:ascii="Times New Roman" w:hAnsi="仿宋_GB2312" w:eastAsia="仿宋_GB2312" w:cs="Times New Roman"/>
          <w:kern w:val="2"/>
          <w:sz w:val="28"/>
          <w:szCs w:val="28"/>
          <w:lang w:eastAsia="zh-CN"/>
        </w:rPr>
        <w:t>人员变更：参赛选手和指导教师报名获得确认后不得随意更换。如备赛过程中参赛选手和指导教师因故无法参赛，或因选手特殊原因不能参加比赛时，则视为自动放弃竞赛。</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4.</w:t>
      </w:r>
      <w:r>
        <w:rPr>
          <w:rFonts w:ascii="Times New Roman" w:hAnsi="仿宋_GB2312" w:eastAsia="仿宋_GB2312" w:cs="Times New Roman"/>
          <w:kern w:val="2"/>
          <w:sz w:val="28"/>
          <w:szCs w:val="28"/>
          <w:lang w:eastAsia="zh-CN"/>
        </w:rPr>
        <w:t>各地教育行政部门负责本地区参赛学生的资格审查工作，并保存相关证明材料的复印件，以备查验。</w:t>
      </w:r>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29" w:name="_Toc51745453"/>
      <w:r>
        <w:rPr>
          <w:rFonts w:ascii="Times New Roman" w:hAnsi="仿宋_GB2312" w:eastAsia="仿宋_GB2312" w:cs="Times New Roman"/>
          <w:b/>
          <w:bCs/>
          <w:kern w:val="2"/>
          <w:sz w:val="28"/>
          <w:szCs w:val="28"/>
          <w:lang w:eastAsia="zh-CN"/>
        </w:rPr>
        <w:t>（二）熟悉场地规则</w:t>
      </w:r>
      <w:bookmarkEnd w:id="29"/>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赛项执委会安排抽取抽签顺序号后，各参赛队统一有序地熟悉场地，熟悉场地时限定在指定区域，不允许进入比赛区。</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2.</w:t>
      </w:r>
      <w:r>
        <w:rPr>
          <w:rFonts w:ascii="Times New Roman" w:hAnsi="仿宋_GB2312" w:eastAsia="仿宋_GB2312" w:cs="Times New Roman"/>
          <w:kern w:val="2"/>
          <w:sz w:val="28"/>
          <w:szCs w:val="28"/>
          <w:lang w:eastAsia="zh-CN"/>
        </w:rPr>
        <w:t>熟悉场地时严禁与现场工作人员进行交流，不发表没有根据以及有损大赛整体形象的言论。</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3.</w:t>
      </w:r>
      <w:r>
        <w:rPr>
          <w:rFonts w:ascii="Times New Roman" w:hAnsi="仿宋_GB2312" w:eastAsia="仿宋_GB2312" w:cs="Times New Roman"/>
          <w:kern w:val="2"/>
          <w:sz w:val="28"/>
          <w:szCs w:val="28"/>
          <w:lang w:eastAsia="zh-CN"/>
        </w:rPr>
        <w:t>熟悉场地严格遵守大赛各种制度，严禁拥挤、喧哗，以免发生意外事故。</w:t>
      </w:r>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30" w:name="_Toc51745454"/>
      <w:r>
        <w:rPr>
          <w:rFonts w:ascii="Times New Roman" w:hAnsi="仿宋_GB2312" w:eastAsia="仿宋_GB2312" w:cs="Times New Roman"/>
          <w:b/>
          <w:bCs/>
          <w:kern w:val="2"/>
          <w:sz w:val="28"/>
          <w:szCs w:val="28"/>
          <w:lang w:eastAsia="zh-CN"/>
        </w:rPr>
        <w:t>（三）竞赛入场规则</w:t>
      </w:r>
      <w:bookmarkEnd w:id="30"/>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参赛选手按赛区规定的时间准时到达赛场集合，按抽取的抽签顺序号抽取赛位号。抽得赛位号的选手，在指定区域等待；所有选手抽取赛位号后，统一时间进入赛场，按抽取的赛位号入座。</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2.</w:t>
      </w:r>
      <w:r>
        <w:rPr>
          <w:rFonts w:ascii="Times New Roman" w:hAnsi="仿宋_GB2312" w:eastAsia="仿宋_GB2312" w:cs="Times New Roman"/>
          <w:kern w:val="2"/>
          <w:sz w:val="28"/>
          <w:szCs w:val="28"/>
          <w:lang w:eastAsia="zh-CN"/>
        </w:rPr>
        <w:t>检录裁判将对各参赛选手的身份进行核对。参赛选手提供参赛证、身份证，指导老师提供指导老师证和身份证。身份证上的姓名、年龄、相貌特征应与参赛证一致。</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3.</w:t>
      </w:r>
      <w:r>
        <w:rPr>
          <w:rFonts w:ascii="Times New Roman" w:hAnsi="仿宋_GB2312" w:eastAsia="仿宋_GB2312" w:cs="Times New Roman"/>
          <w:kern w:val="2"/>
          <w:sz w:val="28"/>
          <w:szCs w:val="28"/>
          <w:lang w:eastAsia="zh-CN"/>
        </w:rPr>
        <w:t>在比赛开始</w:t>
      </w:r>
      <w:r>
        <w:rPr>
          <w:rFonts w:ascii="Times New Roman" w:hAnsi="Times New Roman" w:eastAsia="仿宋_GB2312" w:cs="Times New Roman"/>
          <w:kern w:val="2"/>
          <w:sz w:val="28"/>
          <w:szCs w:val="28"/>
          <w:lang w:eastAsia="zh-CN"/>
        </w:rPr>
        <w:t>30</w:t>
      </w:r>
      <w:r>
        <w:rPr>
          <w:rFonts w:ascii="Times New Roman" w:hAnsi="仿宋_GB2312" w:eastAsia="仿宋_GB2312" w:cs="Times New Roman"/>
          <w:kern w:val="2"/>
          <w:sz w:val="28"/>
          <w:szCs w:val="28"/>
          <w:lang w:eastAsia="zh-CN"/>
        </w:rPr>
        <w:t>分钟后不得入场，迟到的选手必须在赛场记录表相关栏目中说明到场时间、迟到原因并签赛位号确认。</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4.</w:t>
      </w:r>
      <w:r>
        <w:rPr>
          <w:rFonts w:ascii="Times New Roman" w:hAnsi="仿宋_GB2312" w:eastAsia="仿宋_GB2312" w:cs="Times New Roman"/>
          <w:kern w:val="2"/>
          <w:sz w:val="28"/>
          <w:szCs w:val="28"/>
          <w:lang w:eastAsia="zh-CN"/>
        </w:rPr>
        <w:t>除裁判检验过的工具、量具及书写物品外，参赛选手不允许携带任何通讯及存储设备、纸质材料等物品进入赛场。</w:t>
      </w:r>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31" w:name="_Toc51745455"/>
      <w:r>
        <w:rPr>
          <w:rFonts w:ascii="Times New Roman" w:hAnsi="仿宋_GB2312" w:eastAsia="仿宋_GB2312" w:cs="Times New Roman"/>
          <w:b/>
          <w:bCs/>
          <w:kern w:val="2"/>
          <w:sz w:val="28"/>
          <w:szCs w:val="28"/>
          <w:lang w:eastAsia="zh-CN"/>
        </w:rPr>
        <w:t>（四）竞赛现场规则</w:t>
      </w:r>
      <w:bookmarkEnd w:id="31"/>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选手进入赛场后，必须听从现场裁判的统一布置和指挥，不得以任何方式公开参赛队及个人信息。</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2.</w:t>
      </w:r>
      <w:r>
        <w:rPr>
          <w:rFonts w:ascii="Times New Roman" w:hAnsi="仿宋_GB2312" w:eastAsia="仿宋_GB2312" w:cs="Times New Roman"/>
          <w:kern w:val="2"/>
          <w:sz w:val="28"/>
          <w:szCs w:val="28"/>
          <w:lang w:eastAsia="zh-CN"/>
        </w:rPr>
        <w:t>选手竞赛时须按《专业规范》要求着装，严格遵守安全操作规程，确保人身和设备安全，并接受现场裁判和技术人员的监督和警示。</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3.</w:t>
      </w:r>
      <w:r>
        <w:rPr>
          <w:rFonts w:ascii="Times New Roman" w:hAnsi="仿宋_GB2312" w:eastAsia="仿宋_GB2312" w:cs="Times New Roman"/>
          <w:kern w:val="2"/>
          <w:sz w:val="28"/>
          <w:szCs w:val="28"/>
          <w:lang w:eastAsia="zh-CN"/>
        </w:rPr>
        <w:t>分发比赛任务书后的，选手可查阅理解比赛任务，摆放、检查自己所带工具，清洗有关玻璃器皿等，不可使用工具进行比赛任务的操作。</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4.</w:t>
      </w:r>
      <w:r>
        <w:rPr>
          <w:rFonts w:ascii="Times New Roman" w:hAnsi="仿宋_GB2312" w:eastAsia="仿宋_GB2312" w:cs="Times New Roman"/>
          <w:kern w:val="2"/>
          <w:sz w:val="28"/>
          <w:szCs w:val="28"/>
          <w:lang w:eastAsia="zh-CN"/>
        </w:rPr>
        <w:t>项目裁判长宣布比赛开始，参赛选手才能进行动手完成竞赛比赛任务的操作。</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5.</w:t>
      </w:r>
      <w:r>
        <w:rPr>
          <w:rFonts w:ascii="Times New Roman" w:hAnsi="仿宋_GB2312" w:eastAsia="仿宋_GB2312" w:cs="Times New Roman"/>
          <w:kern w:val="2"/>
          <w:sz w:val="28"/>
          <w:szCs w:val="28"/>
          <w:lang w:eastAsia="zh-CN"/>
        </w:rPr>
        <w:t>竞赛过程中，除裁判长和现场裁判外任何人员不得主动接近选手及其工作区域，选手有问题只能向现场裁判和项目裁判长反映。</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6.</w:t>
      </w:r>
      <w:r>
        <w:rPr>
          <w:rFonts w:ascii="Times New Roman" w:hAnsi="仿宋_GB2312" w:eastAsia="仿宋_GB2312" w:cs="Times New Roman"/>
          <w:kern w:val="2"/>
          <w:sz w:val="28"/>
          <w:szCs w:val="28"/>
          <w:lang w:eastAsia="zh-CN"/>
        </w:rPr>
        <w:t>比赛过程中选手不得随意离开赛位，不得与其他参赛选手和人员交流。因故终止比赛或提前完成比赛任务需要离场，应报告现场裁判，在赛场记录表的相应栏目填写离场时间、离场原因并由现场裁判签名和选手签赛位号确认。</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7.</w:t>
      </w:r>
      <w:r>
        <w:rPr>
          <w:rFonts w:ascii="Times New Roman" w:hAnsi="仿宋_GB2312" w:eastAsia="仿宋_GB2312" w:cs="Times New Roman"/>
          <w:kern w:val="2"/>
          <w:sz w:val="28"/>
          <w:szCs w:val="28"/>
          <w:lang w:eastAsia="zh-CN"/>
        </w:rPr>
        <w:t>竞赛过程中，选手休息、饮食或如厕时间均计算在竞赛时间内。</w:t>
      </w:r>
      <w:r>
        <w:rPr>
          <w:rFonts w:ascii="Times New Roman" w:hAnsi="Times New Roman" w:eastAsia="仿宋_GB2312" w:cs="Times New Roman"/>
          <w:kern w:val="2"/>
          <w:sz w:val="28"/>
          <w:szCs w:val="28"/>
          <w:lang w:eastAsia="zh-CN"/>
        </w:rPr>
        <w:t xml:space="preserve"> </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8.</w:t>
      </w:r>
      <w:r>
        <w:rPr>
          <w:rFonts w:ascii="Times New Roman" w:hAnsi="仿宋_GB2312" w:eastAsia="仿宋_GB2312" w:cs="Times New Roman"/>
          <w:kern w:val="2"/>
          <w:sz w:val="28"/>
          <w:szCs w:val="28"/>
          <w:lang w:eastAsia="zh-CN"/>
        </w:rPr>
        <w:t>在竞赛过程中如发现问题</w:t>
      </w:r>
      <w:r>
        <w:rPr>
          <w:rFonts w:ascii="Times New Roman" w:hAnsi="Times New Roman" w:eastAsia="仿宋_GB2312" w:cs="Times New Roman"/>
          <w:kern w:val="2"/>
          <w:sz w:val="28"/>
          <w:szCs w:val="28"/>
          <w:lang w:eastAsia="zh-CN"/>
        </w:rPr>
        <w:t>(</w:t>
      </w:r>
      <w:r>
        <w:rPr>
          <w:rFonts w:ascii="Times New Roman" w:hAnsi="仿宋_GB2312" w:eastAsia="仿宋_GB2312" w:cs="Times New Roman"/>
          <w:kern w:val="2"/>
          <w:sz w:val="28"/>
          <w:szCs w:val="28"/>
          <w:lang w:eastAsia="zh-CN"/>
        </w:rPr>
        <w:t>如设备故障等</w:t>
      </w:r>
      <w:r>
        <w:rPr>
          <w:rFonts w:ascii="Times New Roman" w:hAnsi="Times New Roman" w:eastAsia="仿宋_GB2312" w:cs="Times New Roman"/>
          <w:kern w:val="2"/>
          <w:sz w:val="28"/>
          <w:szCs w:val="28"/>
          <w:lang w:eastAsia="zh-CN"/>
        </w:rPr>
        <w:t>)</w:t>
      </w:r>
      <w:r>
        <w:rPr>
          <w:rFonts w:ascii="Times New Roman" w:hAnsi="仿宋_GB2312" w:eastAsia="仿宋_GB2312" w:cs="Times New Roman"/>
          <w:kern w:val="2"/>
          <w:sz w:val="28"/>
          <w:szCs w:val="28"/>
          <w:lang w:eastAsia="zh-CN"/>
        </w:rPr>
        <w:t>，选手应立即向现场裁判反映。得到现场裁判、项目裁判长同意后，选手退出到工作区外等候，等待故障处理完后方可继续比赛。如属于设备故障，补时时间为从选手示意到故障处理结束这段时间，否则不予补时。</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9.</w:t>
      </w:r>
      <w:r>
        <w:rPr>
          <w:rFonts w:ascii="Times New Roman" w:hAnsi="仿宋_GB2312" w:eastAsia="仿宋_GB2312" w:cs="Times New Roman"/>
          <w:kern w:val="2"/>
          <w:sz w:val="28"/>
          <w:szCs w:val="28"/>
          <w:lang w:eastAsia="zh-CN"/>
        </w:rPr>
        <w:t>比赛过程中，严重违反赛场纪律者，违反操作规程不听劝告者，越界影响他人比赛者，有意损坏赛场设备或设施者，一经发现，由现场裁判判提出警告，并报告项目裁判长。由项目裁判长依情节轻重扣减</w:t>
      </w:r>
      <w:r>
        <w:rPr>
          <w:rFonts w:ascii="Times New Roman" w:hAnsi="Times New Roman" w:eastAsia="仿宋_GB2312" w:cs="Times New Roman"/>
          <w:kern w:val="2"/>
          <w:sz w:val="28"/>
          <w:szCs w:val="28"/>
          <w:lang w:eastAsia="zh-CN"/>
        </w:rPr>
        <w:t>10</w:t>
      </w:r>
      <w:r>
        <w:rPr>
          <w:rFonts w:ascii="Times New Roman" w:hAnsi="仿宋_GB2312" w:eastAsia="仿宋_GB2312" w:cs="Times New Roman"/>
          <w:kern w:val="2"/>
          <w:sz w:val="28"/>
          <w:szCs w:val="28"/>
          <w:lang w:eastAsia="zh-CN"/>
        </w:rPr>
        <w:t>分</w:t>
      </w:r>
      <w:r>
        <w:rPr>
          <w:rFonts w:ascii="Times New Roman" w:hAnsi="Times New Roman" w:eastAsia="仿宋_GB2312" w:cs="Times New Roman"/>
          <w:kern w:val="2"/>
          <w:sz w:val="28"/>
          <w:szCs w:val="28"/>
          <w:lang w:eastAsia="zh-CN"/>
        </w:rPr>
        <w:t>-20</w:t>
      </w:r>
      <w:r>
        <w:rPr>
          <w:rFonts w:ascii="Times New Roman" w:hAnsi="仿宋_GB2312" w:eastAsia="仿宋_GB2312" w:cs="Times New Roman"/>
          <w:kern w:val="2"/>
          <w:sz w:val="28"/>
          <w:szCs w:val="28"/>
          <w:lang w:eastAsia="zh-CN"/>
        </w:rPr>
        <w:t>分，直至取消竞赛资格。</w:t>
      </w:r>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32" w:name="_Toc51745456"/>
      <w:r>
        <w:rPr>
          <w:rFonts w:ascii="Times New Roman" w:hAnsi="仿宋_GB2312" w:eastAsia="仿宋_GB2312" w:cs="Times New Roman"/>
          <w:b/>
          <w:bCs/>
          <w:kern w:val="2"/>
          <w:sz w:val="28"/>
          <w:szCs w:val="28"/>
          <w:lang w:eastAsia="zh-CN"/>
        </w:rPr>
        <w:t>（五）离开赛场规则</w:t>
      </w:r>
      <w:bookmarkEnd w:id="32"/>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在比赛结束前</w:t>
      </w:r>
      <w:r>
        <w:rPr>
          <w:rFonts w:ascii="Times New Roman" w:hAnsi="Times New Roman" w:eastAsia="仿宋_GB2312" w:cs="Times New Roman"/>
          <w:kern w:val="2"/>
          <w:sz w:val="28"/>
          <w:szCs w:val="28"/>
          <w:lang w:eastAsia="zh-CN"/>
        </w:rPr>
        <w:t>15</w:t>
      </w:r>
      <w:r>
        <w:rPr>
          <w:rFonts w:ascii="Times New Roman" w:hAnsi="仿宋_GB2312" w:eastAsia="仿宋_GB2312" w:cs="Times New Roman"/>
          <w:kern w:val="2"/>
          <w:sz w:val="28"/>
          <w:szCs w:val="28"/>
          <w:lang w:eastAsia="zh-CN"/>
        </w:rPr>
        <w:t>分钟，项目裁判长提示一次比赛剩余时间。</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2.</w:t>
      </w:r>
      <w:r>
        <w:rPr>
          <w:rFonts w:ascii="Times New Roman" w:hAnsi="仿宋_GB2312" w:eastAsia="仿宋_GB2312" w:cs="Times New Roman"/>
          <w:kern w:val="2"/>
          <w:sz w:val="28"/>
          <w:szCs w:val="28"/>
          <w:lang w:eastAsia="zh-CN"/>
        </w:rPr>
        <w:t>比赛结束信号给出，由项目裁判长宣布终止比赛。</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3.</w:t>
      </w:r>
      <w:r>
        <w:rPr>
          <w:rFonts w:ascii="Times New Roman" w:hAnsi="仿宋_GB2312" w:eastAsia="仿宋_GB2312" w:cs="Times New Roman"/>
          <w:kern w:val="2"/>
          <w:sz w:val="28"/>
          <w:szCs w:val="28"/>
          <w:lang w:eastAsia="zh-CN"/>
        </w:rPr>
        <w:t>宣布终止比赛时，选手应立即停止工作（补时选手可以继续操作直至补时时间用完），并将比赛试题、评分表等放在工作台上，走出自己的考位。</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4.</w:t>
      </w:r>
      <w:r>
        <w:rPr>
          <w:rFonts w:ascii="Times New Roman" w:hAnsi="仿宋_GB2312" w:eastAsia="仿宋_GB2312" w:cs="Times New Roman"/>
          <w:kern w:val="2"/>
          <w:sz w:val="28"/>
          <w:szCs w:val="28"/>
          <w:lang w:eastAsia="zh-CN"/>
        </w:rPr>
        <w:t>选手完成竞赛内容并上交相应的资料后方可离开竞赛现场，不得带出任何竞赛实验室提供的设备、试剂及竞赛资料。</w:t>
      </w:r>
    </w:p>
    <w:p>
      <w:pPr>
        <w:spacing w:line="560" w:lineRule="exact"/>
        <w:ind w:firstLine="562" w:firstLineChars="200"/>
        <w:jc w:val="both"/>
        <w:rPr>
          <w:rFonts w:ascii="Times New Roman" w:hAnsi="Times New Roman" w:eastAsia="仿宋_GB2312" w:cs="Times New Roman"/>
          <w:b/>
          <w:kern w:val="2"/>
          <w:sz w:val="28"/>
          <w:szCs w:val="28"/>
          <w:lang w:eastAsia="zh-CN"/>
        </w:rPr>
      </w:pPr>
      <w:bookmarkStart w:id="33" w:name="_Toc51745457"/>
      <w:r>
        <w:rPr>
          <w:rFonts w:ascii="Times New Roman" w:hAnsi="仿宋_GB2312" w:eastAsia="仿宋_GB2312" w:cs="Times New Roman"/>
          <w:b/>
          <w:kern w:val="2"/>
          <w:sz w:val="28"/>
          <w:szCs w:val="28"/>
          <w:lang w:eastAsia="zh-CN"/>
        </w:rPr>
        <w:t>八、竞赛环境</w:t>
      </w:r>
      <w:bookmarkEnd w:id="33"/>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34" w:name="_Toc51745458"/>
      <w:r>
        <w:rPr>
          <w:rFonts w:ascii="Times New Roman" w:hAnsi="仿宋_GB2312" w:eastAsia="仿宋_GB2312" w:cs="Times New Roman"/>
          <w:b/>
          <w:bCs/>
          <w:kern w:val="2"/>
          <w:sz w:val="28"/>
          <w:szCs w:val="28"/>
          <w:lang w:eastAsia="zh-CN"/>
        </w:rPr>
        <w:t>（一）竞赛场地及其环境设施要求</w:t>
      </w:r>
      <w:bookmarkEnd w:id="34"/>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比赛场地：容纳</w:t>
      </w:r>
      <w:r>
        <w:rPr>
          <w:rFonts w:ascii="Times New Roman" w:hAnsi="Times New Roman" w:eastAsia="仿宋_GB2312" w:cs="Times New Roman"/>
          <w:kern w:val="2"/>
          <w:sz w:val="28"/>
          <w:szCs w:val="28"/>
          <w:lang w:eastAsia="zh-CN"/>
        </w:rPr>
        <w:t>20</w:t>
      </w:r>
      <w:r>
        <w:rPr>
          <w:rFonts w:ascii="Times New Roman" w:hAnsi="仿宋_GB2312" w:eastAsia="仿宋_GB2312" w:cs="Times New Roman"/>
          <w:kern w:val="2"/>
          <w:sz w:val="28"/>
          <w:szCs w:val="28"/>
          <w:lang w:eastAsia="zh-CN"/>
        </w:rPr>
        <w:t>人同时比赛，每个赛位按要求准备相应设备，</w:t>
      </w:r>
      <w:r>
        <w:rPr>
          <w:rFonts w:ascii="Times New Roman" w:hAnsi="仿宋_GB2312" w:eastAsia="仿宋_GB2312" w:cs="Times New Roman"/>
          <w:b/>
          <w:bCs/>
          <w:kern w:val="2"/>
          <w:sz w:val="28"/>
          <w:szCs w:val="28"/>
          <w:lang w:eastAsia="zh-CN"/>
        </w:rPr>
        <w:t>各项准备工作应符合疫情防控要求</w:t>
      </w:r>
      <w:r>
        <w:rPr>
          <w:rFonts w:ascii="Times New Roman" w:hAnsi="仿宋_GB2312" w:eastAsia="仿宋_GB2312" w:cs="Times New Roman"/>
          <w:kern w:val="2"/>
          <w:sz w:val="28"/>
          <w:szCs w:val="28"/>
          <w:lang w:eastAsia="zh-CN"/>
        </w:rPr>
        <w:t>，比赛过程采取全程实时监控。</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2.</w:t>
      </w:r>
      <w:r>
        <w:rPr>
          <w:rFonts w:ascii="Times New Roman" w:hAnsi="仿宋_GB2312" w:eastAsia="仿宋_GB2312" w:cs="Times New Roman"/>
          <w:kern w:val="2"/>
          <w:sz w:val="28"/>
          <w:szCs w:val="28"/>
          <w:lang w:eastAsia="zh-CN"/>
        </w:rPr>
        <w:t>辅助场所：竞赛须设置检录隔离区、独立阅卷室等辅助场所，并全程实时监控。</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3.</w:t>
      </w:r>
      <w:r>
        <w:rPr>
          <w:rFonts w:ascii="Times New Roman" w:hAnsi="仿宋_GB2312" w:eastAsia="仿宋_GB2312" w:cs="Times New Roman"/>
          <w:kern w:val="2"/>
          <w:sz w:val="28"/>
          <w:szCs w:val="28"/>
          <w:lang w:eastAsia="zh-CN"/>
        </w:rPr>
        <w:t>医疗保障：赛场设医疗服务站，比赛时安排救护人员现场服务。</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4.</w:t>
      </w:r>
      <w:r>
        <w:rPr>
          <w:rFonts w:ascii="Times New Roman" w:hAnsi="仿宋_GB2312" w:eastAsia="仿宋_GB2312" w:cs="Times New Roman"/>
          <w:kern w:val="2"/>
          <w:sz w:val="28"/>
          <w:szCs w:val="28"/>
          <w:lang w:eastAsia="zh-CN"/>
        </w:rPr>
        <w:t>安全防护：赛位配有安全警示标语、安全操作规程、安全提示、护目镜、口罩等安全保护用品；赛场设有实训室安全管理规定、应急处理规定、化学药品使用规定，洗眼器、消防沙、消防毯、医护用品等消防和个人防护用品；校园内实训楼设有紧急疏散指示、安排专职疏散人员。</w:t>
      </w:r>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35" w:name="_Toc51745460"/>
      <w:r>
        <w:rPr>
          <w:rFonts w:ascii="Times New Roman" w:hAnsi="仿宋_GB2312" w:eastAsia="仿宋_GB2312" w:cs="Times New Roman"/>
          <w:b/>
          <w:bCs/>
          <w:kern w:val="2"/>
          <w:sz w:val="28"/>
          <w:szCs w:val="28"/>
          <w:lang w:eastAsia="zh-CN"/>
        </w:rPr>
        <w:t>（二）仪器设备及实验设施要求</w:t>
      </w:r>
      <w:bookmarkEnd w:id="35"/>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根据化学实验技术核心技能的要求以及命题的需要，比赛设备应包括实验室常规使用玻璃器皿与工具、反应与蒸馏装置、常规检测仪器与设备等内容。</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 xml:space="preserve">1. </w:t>
      </w:r>
      <w:r>
        <w:rPr>
          <w:rFonts w:ascii="Times New Roman" w:hAnsi="仿宋_GB2312" w:eastAsia="仿宋_GB2312" w:cs="Times New Roman"/>
          <w:kern w:val="2"/>
          <w:sz w:val="28"/>
          <w:szCs w:val="28"/>
          <w:lang w:eastAsia="zh-CN"/>
        </w:rPr>
        <w:t>此次竞赛的仪器设备除规定自带的以外其它均由赛场提供。</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 xml:space="preserve">2. </w:t>
      </w:r>
      <w:r>
        <w:rPr>
          <w:rFonts w:ascii="Times New Roman" w:hAnsi="仿宋_GB2312" w:eastAsia="仿宋_GB2312" w:cs="Times New Roman"/>
          <w:kern w:val="2"/>
          <w:sz w:val="28"/>
          <w:szCs w:val="28"/>
          <w:lang w:eastAsia="zh-CN"/>
        </w:rPr>
        <w:t>每个模块的仪器设备分已知设备和未知设备。已知设备的主要配置清单、分析测试仪器的规格要求详见</w:t>
      </w:r>
      <w:r>
        <w:rPr>
          <w:rFonts w:ascii="Times New Roman" w:hAnsi="Times New Roman" w:eastAsia="仿宋_GB2312" w:cs="Times New Roman"/>
          <w:kern w:val="2"/>
          <w:sz w:val="28"/>
          <w:szCs w:val="28"/>
          <w:lang w:eastAsia="zh-CN"/>
        </w:rPr>
        <w:t>“</w:t>
      </w:r>
      <w:r>
        <w:rPr>
          <w:rFonts w:ascii="Times New Roman" w:hAnsi="仿宋_GB2312" w:eastAsia="仿宋_GB2312" w:cs="Times New Roman"/>
          <w:kern w:val="2"/>
          <w:sz w:val="28"/>
          <w:szCs w:val="28"/>
          <w:lang w:eastAsia="zh-CN"/>
        </w:rPr>
        <w:t>竞赛样题</w:t>
      </w:r>
      <w:r>
        <w:rPr>
          <w:rFonts w:ascii="Times New Roman" w:hAnsi="Times New Roman" w:eastAsia="仿宋_GB2312" w:cs="Times New Roman"/>
          <w:kern w:val="2"/>
          <w:sz w:val="28"/>
          <w:szCs w:val="28"/>
          <w:lang w:eastAsia="zh-CN"/>
        </w:rPr>
        <w:t>”</w:t>
      </w:r>
      <w:r>
        <w:rPr>
          <w:rFonts w:ascii="Times New Roman" w:hAnsi="仿宋_GB2312" w:eastAsia="仿宋_GB2312" w:cs="Times New Roman"/>
          <w:kern w:val="2"/>
          <w:sz w:val="28"/>
          <w:szCs w:val="28"/>
          <w:lang w:eastAsia="zh-CN"/>
        </w:rPr>
        <w:t>。</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 xml:space="preserve">3. </w:t>
      </w:r>
      <w:r>
        <w:rPr>
          <w:rFonts w:ascii="Times New Roman" w:hAnsi="仿宋_GB2312" w:eastAsia="仿宋_GB2312" w:cs="Times New Roman"/>
          <w:kern w:val="2"/>
          <w:sz w:val="28"/>
          <w:szCs w:val="28"/>
          <w:lang w:eastAsia="zh-CN"/>
        </w:rPr>
        <w:t>赛位主要设施</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根据竞赛需要，每个比赛赛位应配置如下设施：比赛仪器设备</w:t>
      </w: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套、实验台</w:t>
      </w: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张、座椅</w:t>
      </w: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把、废液杯</w:t>
      </w: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只、垃圾桶</w:t>
      </w: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个、计算器</w:t>
      </w: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台、记号笔</w:t>
      </w: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支、剪刀</w:t>
      </w: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把、实验服</w:t>
      </w: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件、标签纸</w:t>
      </w: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张、常规防护用品</w:t>
      </w: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套（含口罩、护目镜、头帽、手套，选手可自备）。</w:t>
      </w:r>
    </w:p>
    <w:p>
      <w:pPr>
        <w:spacing w:line="560" w:lineRule="exact"/>
        <w:ind w:firstLine="562" w:firstLineChars="200"/>
        <w:jc w:val="both"/>
        <w:rPr>
          <w:rFonts w:ascii="Times New Roman" w:hAnsi="Times New Roman" w:eastAsia="仿宋_GB2312" w:cs="Times New Roman"/>
          <w:b/>
          <w:kern w:val="2"/>
          <w:sz w:val="28"/>
          <w:szCs w:val="28"/>
          <w:lang w:eastAsia="zh-CN"/>
        </w:rPr>
      </w:pPr>
      <w:bookmarkStart w:id="36" w:name="_Toc51745461"/>
      <w:r>
        <w:rPr>
          <w:rFonts w:ascii="Times New Roman" w:hAnsi="仿宋_GB2312" w:eastAsia="仿宋_GB2312" w:cs="Times New Roman"/>
          <w:b/>
          <w:kern w:val="2"/>
          <w:sz w:val="28"/>
          <w:szCs w:val="28"/>
          <w:lang w:eastAsia="zh-CN"/>
        </w:rPr>
        <w:t>九、技术规范</w:t>
      </w:r>
      <w:bookmarkEnd w:id="36"/>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竞赛项目依据下列行业、职业技术标准：</w:t>
      </w:r>
    </w:p>
    <w:p>
      <w:pPr>
        <w:pStyle w:val="27"/>
        <w:numPr>
          <w:ilvl w:val="0"/>
          <w:numId w:val="1"/>
        </w:numPr>
        <w:adjustRightInd/>
        <w:spacing w:line="560" w:lineRule="exact"/>
        <w:ind w:left="1056" w:hanging="220"/>
        <w:jc w:val="both"/>
        <w:rPr>
          <w:rFonts w:ascii="Times New Roman" w:eastAsia="仿宋_GB2312" w:cs="Times New Roman"/>
          <w:color w:val="auto"/>
          <w:sz w:val="28"/>
          <w:szCs w:val="28"/>
        </w:rPr>
      </w:pPr>
      <w:r>
        <w:rPr>
          <w:rFonts w:ascii="Times New Roman" w:eastAsia="仿宋_GB2312" w:cs="Times New Roman"/>
          <w:color w:val="auto"/>
          <w:sz w:val="28"/>
          <w:szCs w:val="28"/>
        </w:rPr>
        <w:t xml:space="preserve">GB/T601-2016 </w:t>
      </w:r>
      <w:r>
        <w:rPr>
          <w:rFonts w:ascii="Times New Roman" w:hAnsi="仿宋_GB2312" w:eastAsia="仿宋_GB2312" w:cs="Times New Roman"/>
          <w:color w:val="auto"/>
          <w:sz w:val="28"/>
          <w:szCs w:val="28"/>
        </w:rPr>
        <w:t>化学试剂</w:t>
      </w:r>
      <w:r>
        <w:rPr>
          <w:rFonts w:ascii="Times New Roman" w:eastAsia="仿宋_GB2312" w:cs="Times New Roman"/>
          <w:color w:val="auto"/>
          <w:sz w:val="28"/>
          <w:szCs w:val="28"/>
        </w:rPr>
        <w:t xml:space="preserve"> </w:t>
      </w:r>
      <w:r>
        <w:rPr>
          <w:rFonts w:ascii="Times New Roman" w:hAnsi="仿宋_GB2312" w:eastAsia="仿宋_GB2312" w:cs="Times New Roman"/>
          <w:color w:val="auto"/>
          <w:sz w:val="28"/>
          <w:szCs w:val="28"/>
        </w:rPr>
        <w:t>标准滴定溶液的制备</w:t>
      </w:r>
    </w:p>
    <w:p>
      <w:pPr>
        <w:pStyle w:val="27"/>
        <w:numPr>
          <w:ilvl w:val="0"/>
          <w:numId w:val="1"/>
        </w:numPr>
        <w:adjustRightInd/>
        <w:spacing w:line="560" w:lineRule="exact"/>
        <w:ind w:left="1056" w:hanging="220"/>
        <w:jc w:val="both"/>
        <w:rPr>
          <w:rFonts w:ascii="Times New Roman" w:eastAsia="仿宋_GB2312" w:cs="Times New Roman"/>
          <w:color w:val="auto"/>
          <w:sz w:val="28"/>
          <w:szCs w:val="28"/>
        </w:rPr>
      </w:pPr>
      <w:r>
        <w:rPr>
          <w:rFonts w:ascii="Times New Roman" w:eastAsia="仿宋_GB2312" w:cs="Times New Roman"/>
          <w:color w:val="auto"/>
          <w:sz w:val="28"/>
          <w:szCs w:val="28"/>
        </w:rPr>
        <w:t xml:space="preserve">JJG196-2006 </w:t>
      </w:r>
      <w:r>
        <w:rPr>
          <w:rFonts w:ascii="Times New Roman" w:hAnsi="仿宋_GB2312" w:eastAsia="仿宋_GB2312" w:cs="Times New Roman"/>
          <w:color w:val="auto"/>
          <w:sz w:val="28"/>
          <w:szCs w:val="28"/>
        </w:rPr>
        <w:t>常用玻璃量器检定规程</w:t>
      </w:r>
    </w:p>
    <w:p>
      <w:pPr>
        <w:pStyle w:val="27"/>
        <w:numPr>
          <w:ilvl w:val="0"/>
          <w:numId w:val="1"/>
        </w:numPr>
        <w:adjustRightInd/>
        <w:spacing w:line="560" w:lineRule="exact"/>
        <w:ind w:left="1056" w:hanging="220"/>
        <w:jc w:val="both"/>
        <w:rPr>
          <w:rFonts w:ascii="Times New Roman" w:eastAsia="仿宋_GB2312" w:cs="Times New Roman"/>
          <w:color w:val="auto"/>
          <w:sz w:val="28"/>
          <w:szCs w:val="28"/>
        </w:rPr>
      </w:pPr>
      <w:r>
        <w:rPr>
          <w:rFonts w:ascii="Times New Roman" w:eastAsia="仿宋_GB2312" w:cs="Times New Roman"/>
          <w:color w:val="auto"/>
          <w:sz w:val="28"/>
          <w:szCs w:val="28"/>
        </w:rPr>
        <w:t xml:space="preserve">GB/T603-2002  </w:t>
      </w:r>
      <w:r>
        <w:rPr>
          <w:rFonts w:ascii="Times New Roman" w:hAnsi="仿宋_GB2312" w:eastAsia="仿宋_GB2312" w:cs="Times New Roman"/>
          <w:color w:val="auto"/>
          <w:sz w:val="28"/>
          <w:szCs w:val="28"/>
        </w:rPr>
        <w:t>试验方法中所用制剂及制品的制备</w:t>
      </w:r>
    </w:p>
    <w:p>
      <w:pPr>
        <w:pStyle w:val="27"/>
        <w:numPr>
          <w:ilvl w:val="0"/>
          <w:numId w:val="1"/>
        </w:numPr>
        <w:adjustRightInd/>
        <w:spacing w:line="560" w:lineRule="exact"/>
        <w:ind w:left="1056" w:hanging="220"/>
        <w:jc w:val="both"/>
        <w:rPr>
          <w:rFonts w:ascii="Times New Roman" w:eastAsia="仿宋_GB2312" w:cs="Times New Roman"/>
          <w:color w:val="auto"/>
          <w:sz w:val="28"/>
          <w:szCs w:val="28"/>
        </w:rPr>
      </w:pPr>
      <w:r>
        <w:rPr>
          <w:rFonts w:ascii="Times New Roman" w:eastAsia="仿宋_GB2312" w:cs="Times New Roman"/>
          <w:color w:val="auto"/>
          <w:sz w:val="28"/>
          <w:szCs w:val="28"/>
        </w:rPr>
        <w:t>HG/T2631-2005</w:t>
      </w:r>
      <w:r>
        <w:rPr>
          <w:rFonts w:ascii="Times New Roman" w:hAnsi="仿宋_GB2312" w:eastAsia="仿宋_GB2312" w:cs="Times New Roman"/>
          <w:color w:val="auto"/>
          <w:sz w:val="28"/>
          <w:szCs w:val="28"/>
        </w:rPr>
        <w:t>化学试剂</w:t>
      </w:r>
      <w:r>
        <w:rPr>
          <w:rFonts w:ascii="Times New Roman" w:eastAsia="仿宋_GB2312" w:cs="Times New Roman"/>
          <w:color w:val="auto"/>
          <w:sz w:val="28"/>
          <w:szCs w:val="28"/>
        </w:rPr>
        <w:t xml:space="preserve"> </w:t>
      </w:r>
      <w:r>
        <w:rPr>
          <w:rFonts w:ascii="Times New Roman" w:hAnsi="仿宋_GB2312" w:eastAsia="仿宋_GB2312" w:cs="Times New Roman"/>
          <w:color w:val="auto"/>
          <w:sz w:val="28"/>
          <w:szCs w:val="28"/>
        </w:rPr>
        <w:t>七水合硫酸钴</w:t>
      </w:r>
      <w:r>
        <w:rPr>
          <w:rFonts w:ascii="Times New Roman" w:eastAsia="仿宋_GB2312" w:cs="Times New Roman"/>
          <w:color w:val="auto"/>
          <w:sz w:val="28"/>
          <w:szCs w:val="28"/>
        </w:rPr>
        <w:t>(</w:t>
      </w:r>
      <w:r>
        <w:rPr>
          <w:rFonts w:ascii="Times New Roman" w:hAnsi="仿宋_GB2312" w:eastAsia="仿宋_GB2312" w:cs="Times New Roman"/>
          <w:color w:val="auto"/>
          <w:sz w:val="28"/>
          <w:szCs w:val="28"/>
        </w:rPr>
        <w:t>硫酸钴</w:t>
      </w:r>
      <w:r>
        <w:rPr>
          <w:rFonts w:ascii="Times New Roman" w:eastAsia="仿宋_GB2312" w:cs="Times New Roman"/>
          <w:color w:val="auto"/>
          <w:sz w:val="28"/>
          <w:szCs w:val="28"/>
        </w:rPr>
        <w:t>)</w:t>
      </w:r>
    </w:p>
    <w:p>
      <w:pPr>
        <w:pStyle w:val="27"/>
        <w:numPr>
          <w:ilvl w:val="0"/>
          <w:numId w:val="1"/>
        </w:numPr>
        <w:adjustRightInd/>
        <w:spacing w:line="560" w:lineRule="exact"/>
        <w:ind w:left="1056" w:hanging="220"/>
        <w:jc w:val="both"/>
        <w:rPr>
          <w:rFonts w:ascii="Times New Roman" w:eastAsia="仿宋_GB2312" w:cs="Times New Roman"/>
          <w:color w:val="auto"/>
          <w:sz w:val="28"/>
          <w:szCs w:val="28"/>
        </w:rPr>
      </w:pPr>
      <w:r>
        <w:rPr>
          <w:rFonts w:ascii="Times New Roman" w:eastAsia="仿宋_GB2312" w:cs="Times New Roman"/>
          <w:color w:val="auto"/>
          <w:sz w:val="28"/>
          <w:szCs w:val="28"/>
        </w:rPr>
        <w:t>HG/T4020-2020</w:t>
      </w:r>
      <w:r>
        <w:rPr>
          <w:rFonts w:ascii="Times New Roman" w:hAnsi="仿宋_GB2312" w:eastAsia="仿宋_GB2312" w:cs="Times New Roman"/>
          <w:color w:val="auto"/>
          <w:sz w:val="28"/>
          <w:szCs w:val="28"/>
        </w:rPr>
        <w:t>化学试剂</w:t>
      </w:r>
      <w:r>
        <w:rPr>
          <w:rFonts w:ascii="Times New Roman" w:eastAsia="仿宋_GB2312" w:cs="Times New Roman"/>
          <w:color w:val="auto"/>
          <w:sz w:val="28"/>
          <w:szCs w:val="28"/>
        </w:rPr>
        <w:t xml:space="preserve"> </w:t>
      </w:r>
      <w:r>
        <w:rPr>
          <w:rFonts w:ascii="Times New Roman" w:hAnsi="仿宋_GB2312" w:eastAsia="仿宋_GB2312" w:cs="Times New Roman"/>
          <w:color w:val="auto"/>
          <w:sz w:val="28"/>
          <w:szCs w:val="28"/>
        </w:rPr>
        <w:t>六水合硫酸镍</w:t>
      </w:r>
      <w:r>
        <w:rPr>
          <w:rFonts w:ascii="Times New Roman" w:eastAsia="仿宋_GB2312" w:cs="Times New Roman"/>
          <w:color w:val="auto"/>
          <w:sz w:val="28"/>
          <w:szCs w:val="28"/>
        </w:rPr>
        <w:t>(</w:t>
      </w:r>
      <w:r>
        <w:rPr>
          <w:rFonts w:ascii="Times New Roman" w:hAnsi="仿宋_GB2312" w:eastAsia="仿宋_GB2312" w:cs="Times New Roman"/>
          <w:color w:val="auto"/>
          <w:sz w:val="28"/>
          <w:szCs w:val="28"/>
        </w:rPr>
        <w:t>硫酸镍</w:t>
      </w:r>
      <w:r>
        <w:rPr>
          <w:rFonts w:ascii="Times New Roman" w:eastAsia="仿宋_GB2312" w:cs="Times New Roman"/>
          <w:color w:val="auto"/>
          <w:sz w:val="28"/>
          <w:szCs w:val="28"/>
        </w:rPr>
        <w:t>)</w:t>
      </w:r>
    </w:p>
    <w:p>
      <w:pPr>
        <w:pStyle w:val="27"/>
        <w:numPr>
          <w:ilvl w:val="0"/>
          <w:numId w:val="1"/>
        </w:numPr>
        <w:adjustRightInd/>
        <w:spacing w:line="560" w:lineRule="exact"/>
        <w:ind w:left="1056" w:hanging="220"/>
        <w:jc w:val="both"/>
        <w:rPr>
          <w:rFonts w:ascii="Times New Roman" w:eastAsia="仿宋_GB2312" w:cs="Times New Roman"/>
          <w:color w:val="auto"/>
          <w:sz w:val="28"/>
          <w:szCs w:val="28"/>
        </w:rPr>
      </w:pPr>
      <w:r>
        <w:rPr>
          <w:rFonts w:ascii="Times New Roman" w:eastAsia="仿宋_GB2312" w:cs="Times New Roman"/>
          <w:color w:val="auto"/>
          <w:sz w:val="28"/>
          <w:szCs w:val="28"/>
        </w:rPr>
        <w:t xml:space="preserve">GB/T3049-2006 </w:t>
      </w:r>
      <w:r>
        <w:rPr>
          <w:rFonts w:ascii="Times New Roman" w:hAnsi="仿宋_GB2312" w:eastAsia="仿宋_GB2312" w:cs="Times New Roman"/>
          <w:color w:val="auto"/>
          <w:sz w:val="28"/>
          <w:szCs w:val="28"/>
        </w:rPr>
        <w:t>工业用化工产品铁含量测定的通用方法</w:t>
      </w:r>
      <w:r>
        <w:rPr>
          <w:rFonts w:ascii="Times New Roman" w:eastAsia="仿宋_GB2312" w:cs="Times New Roman"/>
          <w:color w:val="auto"/>
          <w:sz w:val="28"/>
          <w:szCs w:val="28"/>
        </w:rPr>
        <w:t>1,10-</w:t>
      </w:r>
      <w:r>
        <w:rPr>
          <w:rFonts w:ascii="Times New Roman" w:hAnsi="仿宋_GB2312" w:eastAsia="仿宋_GB2312" w:cs="Times New Roman"/>
          <w:color w:val="auto"/>
          <w:sz w:val="28"/>
          <w:szCs w:val="28"/>
        </w:rPr>
        <w:t>菲啰啉分光光度法</w:t>
      </w:r>
    </w:p>
    <w:p>
      <w:pPr>
        <w:pStyle w:val="27"/>
        <w:numPr>
          <w:ilvl w:val="0"/>
          <w:numId w:val="1"/>
        </w:numPr>
        <w:adjustRightInd/>
        <w:spacing w:line="560" w:lineRule="exact"/>
        <w:ind w:left="1056" w:hanging="220"/>
        <w:jc w:val="both"/>
        <w:rPr>
          <w:rFonts w:ascii="Times New Roman" w:eastAsia="仿宋_GB2312" w:cs="Times New Roman"/>
          <w:color w:val="auto"/>
          <w:sz w:val="28"/>
          <w:szCs w:val="28"/>
        </w:rPr>
      </w:pPr>
      <w:r>
        <w:rPr>
          <w:rFonts w:ascii="Times New Roman" w:eastAsia="仿宋_GB2312" w:cs="Times New Roman"/>
          <w:color w:val="auto"/>
          <w:sz w:val="28"/>
          <w:szCs w:val="28"/>
        </w:rPr>
        <w:t xml:space="preserve">GB/T6150.16-2009 </w:t>
      </w:r>
      <w:r>
        <w:rPr>
          <w:rFonts w:ascii="Times New Roman" w:hAnsi="仿宋_GB2312" w:eastAsia="仿宋_GB2312" w:cs="Times New Roman"/>
          <w:color w:val="auto"/>
          <w:sz w:val="28"/>
          <w:szCs w:val="28"/>
        </w:rPr>
        <w:t>钨精矿化学分析方法</w:t>
      </w:r>
      <w:r>
        <w:rPr>
          <w:rFonts w:ascii="Times New Roman" w:eastAsia="仿宋_GB2312" w:cs="Times New Roman"/>
          <w:color w:val="auto"/>
          <w:sz w:val="28"/>
          <w:szCs w:val="28"/>
        </w:rPr>
        <w:t xml:space="preserve"> </w:t>
      </w:r>
      <w:r>
        <w:rPr>
          <w:rFonts w:ascii="Times New Roman" w:hAnsi="仿宋_GB2312" w:eastAsia="仿宋_GB2312" w:cs="Times New Roman"/>
          <w:color w:val="auto"/>
          <w:sz w:val="28"/>
          <w:szCs w:val="28"/>
        </w:rPr>
        <w:t>铁两的测定</w:t>
      </w:r>
      <w:r>
        <w:rPr>
          <w:rFonts w:ascii="Times New Roman" w:eastAsia="仿宋_GB2312" w:cs="Times New Roman"/>
          <w:color w:val="auto"/>
          <w:sz w:val="28"/>
          <w:szCs w:val="28"/>
        </w:rPr>
        <w:t xml:space="preserve">  </w:t>
      </w:r>
      <w:r>
        <w:rPr>
          <w:rFonts w:ascii="Times New Roman" w:hAnsi="仿宋_GB2312" w:eastAsia="仿宋_GB2312" w:cs="Times New Roman"/>
          <w:color w:val="auto"/>
          <w:sz w:val="28"/>
          <w:szCs w:val="28"/>
        </w:rPr>
        <w:t>磺基水杨酸分光光度法</w:t>
      </w:r>
    </w:p>
    <w:p>
      <w:pPr>
        <w:pStyle w:val="27"/>
        <w:numPr>
          <w:ilvl w:val="0"/>
          <w:numId w:val="1"/>
        </w:numPr>
        <w:adjustRightInd/>
        <w:spacing w:line="560" w:lineRule="exact"/>
        <w:ind w:left="1056" w:hanging="220"/>
        <w:jc w:val="both"/>
        <w:rPr>
          <w:rFonts w:ascii="Times New Roman" w:eastAsia="仿宋_GB2312" w:cs="Times New Roman"/>
          <w:b/>
          <w:kern w:val="2"/>
          <w:sz w:val="28"/>
          <w:szCs w:val="28"/>
        </w:rPr>
      </w:pPr>
      <w:r>
        <w:rPr>
          <w:rFonts w:ascii="Times New Roman" w:eastAsia="仿宋_GB2312" w:cs="Times New Roman"/>
          <w:color w:val="auto"/>
          <w:sz w:val="28"/>
          <w:szCs w:val="28"/>
        </w:rPr>
        <w:t xml:space="preserve">YS/T281.1-2011 </w:t>
      </w:r>
      <w:r>
        <w:rPr>
          <w:rFonts w:ascii="Times New Roman" w:hAnsi="仿宋_GB2312" w:eastAsia="仿宋_GB2312" w:cs="Times New Roman"/>
          <w:color w:val="auto"/>
          <w:sz w:val="28"/>
          <w:szCs w:val="28"/>
        </w:rPr>
        <w:t>钴化学分析方法</w:t>
      </w:r>
      <w:r>
        <w:rPr>
          <w:rFonts w:ascii="Times New Roman" w:eastAsia="仿宋_GB2312" w:cs="Times New Roman"/>
          <w:color w:val="auto"/>
          <w:sz w:val="28"/>
          <w:szCs w:val="28"/>
        </w:rPr>
        <w:t xml:space="preserve"> </w:t>
      </w:r>
      <w:r>
        <w:rPr>
          <w:rFonts w:ascii="Times New Roman" w:hAnsi="仿宋_GB2312" w:eastAsia="仿宋_GB2312" w:cs="Times New Roman"/>
          <w:color w:val="auto"/>
          <w:sz w:val="28"/>
          <w:szCs w:val="28"/>
        </w:rPr>
        <w:t>第</w:t>
      </w:r>
      <w:r>
        <w:rPr>
          <w:rFonts w:ascii="Times New Roman" w:eastAsia="仿宋_GB2312" w:cs="Times New Roman"/>
          <w:color w:val="auto"/>
          <w:sz w:val="28"/>
          <w:szCs w:val="28"/>
        </w:rPr>
        <w:t>1</w:t>
      </w:r>
      <w:r>
        <w:rPr>
          <w:rFonts w:ascii="Times New Roman" w:hAnsi="仿宋_GB2312" w:eastAsia="仿宋_GB2312" w:cs="Times New Roman"/>
          <w:color w:val="auto"/>
          <w:sz w:val="28"/>
          <w:szCs w:val="28"/>
        </w:rPr>
        <w:t>部分：铁量的测定</w:t>
      </w:r>
      <w:r>
        <w:rPr>
          <w:rFonts w:ascii="Times New Roman" w:eastAsia="仿宋_GB2312" w:cs="Times New Roman"/>
          <w:color w:val="auto"/>
          <w:sz w:val="28"/>
          <w:szCs w:val="28"/>
        </w:rPr>
        <w:t xml:space="preserve">  </w:t>
      </w:r>
      <w:r>
        <w:rPr>
          <w:rFonts w:ascii="Times New Roman" w:hAnsi="仿宋_GB2312" w:eastAsia="仿宋_GB2312" w:cs="Times New Roman"/>
          <w:color w:val="auto"/>
          <w:sz w:val="28"/>
          <w:szCs w:val="28"/>
        </w:rPr>
        <w:t>磺基水杨酸分光光度法</w:t>
      </w:r>
      <w:bookmarkStart w:id="37" w:name="_Toc51745462"/>
    </w:p>
    <w:p>
      <w:pPr>
        <w:pStyle w:val="27"/>
        <w:adjustRightInd/>
        <w:spacing w:line="560" w:lineRule="exact"/>
        <w:ind w:left="836"/>
        <w:jc w:val="both"/>
        <w:rPr>
          <w:rFonts w:ascii="Times New Roman" w:eastAsia="仿宋_GB2312" w:cs="Times New Roman"/>
          <w:b/>
          <w:kern w:val="2"/>
          <w:sz w:val="28"/>
          <w:szCs w:val="28"/>
        </w:rPr>
      </w:pPr>
      <w:r>
        <w:rPr>
          <w:rFonts w:ascii="Times New Roman" w:hAnsi="仿宋_GB2312" w:eastAsia="仿宋_GB2312" w:cs="Times New Roman"/>
          <w:b/>
          <w:kern w:val="2"/>
          <w:sz w:val="28"/>
          <w:szCs w:val="28"/>
        </w:rPr>
        <w:t>十、技术平台</w:t>
      </w:r>
      <w:bookmarkEnd w:id="37"/>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（一）本赛项的技术平台主要指竞赛所用的玻璃器皿和分析设备。</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（二）玻璃量器按照国家规范和行业标准进行采购，玻璃器皿符合</w:t>
      </w:r>
      <w:r>
        <w:rPr>
          <w:rFonts w:ascii="Times New Roman" w:hAnsi="Times New Roman" w:eastAsia="仿宋_GB2312" w:cs="Times New Roman"/>
          <w:kern w:val="2"/>
          <w:sz w:val="28"/>
          <w:szCs w:val="28"/>
          <w:lang w:eastAsia="zh-CN"/>
        </w:rPr>
        <w:t>JJG196-2006</w:t>
      </w:r>
      <w:r>
        <w:rPr>
          <w:rFonts w:ascii="Times New Roman" w:hAnsi="仿宋_GB2312" w:eastAsia="仿宋_GB2312" w:cs="Times New Roman"/>
          <w:kern w:val="2"/>
          <w:sz w:val="28"/>
          <w:szCs w:val="28"/>
          <w:lang w:eastAsia="zh-CN"/>
        </w:rPr>
        <w:t>常用玻璃量器检定规程。其中设备符合国家质量监督局相关仪器检测标准，各项指标均符合或高于国家标准。</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（三）分析设备最低台套数和规格要求（台套数按</w:t>
      </w:r>
      <w:r>
        <w:rPr>
          <w:rFonts w:ascii="Times New Roman" w:hAnsi="Times New Roman" w:eastAsia="仿宋_GB2312" w:cs="Times New Roman"/>
          <w:kern w:val="2"/>
          <w:sz w:val="28"/>
          <w:szCs w:val="28"/>
          <w:lang w:eastAsia="zh-CN"/>
        </w:rPr>
        <w:t>12</w:t>
      </w:r>
      <w:r>
        <w:rPr>
          <w:rFonts w:ascii="Times New Roman" w:hAnsi="仿宋_GB2312" w:eastAsia="仿宋_GB2312" w:cs="Times New Roman"/>
          <w:kern w:val="2"/>
          <w:sz w:val="28"/>
          <w:szCs w:val="28"/>
          <w:lang w:eastAsia="zh-CN"/>
        </w:rPr>
        <w:t>支参赛队进行测算）</w:t>
      </w:r>
    </w:p>
    <w:p>
      <w:pPr>
        <w:pStyle w:val="27"/>
        <w:numPr>
          <w:ilvl w:val="0"/>
          <w:numId w:val="1"/>
        </w:numPr>
        <w:adjustRightInd/>
        <w:spacing w:line="560" w:lineRule="exact"/>
        <w:ind w:left="1056" w:hanging="220"/>
        <w:jc w:val="both"/>
        <w:rPr>
          <w:rFonts w:ascii="Times New Roman" w:eastAsia="仿宋_GB2312" w:cs="Times New Roman"/>
          <w:color w:val="auto"/>
          <w:sz w:val="28"/>
          <w:szCs w:val="28"/>
        </w:rPr>
      </w:pPr>
      <w:r>
        <w:rPr>
          <w:rFonts w:ascii="Times New Roman" w:hAnsi="仿宋_GB2312" w:eastAsia="仿宋_GB2312" w:cs="Times New Roman"/>
          <w:color w:val="auto"/>
          <w:sz w:val="28"/>
          <w:szCs w:val="28"/>
        </w:rPr>
        <w:t>分析天平，精度</w:t>
      </w:r>
      <w:r>
        <w:rPr>
          <w:rFonts w:ascii="Times New Roman" w:eastAsia="仿宋_GB2312" w:cs="Times New Roman"/>
          <w:color w:val="auto"/>
          <w:sz w:val="28"/>
          <w:szCs w:val="28"/>
        </w:rPr>
        <w:t>0.0001g</w:t>
      </w:r>
      <w:r>
        <w:rPr>
          <w:rFonts w:ascii="Times New Roman" w:hAnsi="仿宋_GB2312" w:eastAsia="仿宋_GB2312" w:cs="Times New Roman"/>
          <w:color w:val="auto"/>
          <w:sz w:val="28"/>
          <w:szCs w:val="28"/>
        </w:rPr>
        <w:t>，</w:t>
      </w:r>
      <w:r>
        <w:rPr>
          <w:rFonts w:ascii="Times New Roman" w:eastAsia="仿宋_GB2312" w:cs="Times New Roman"/>
          <w:color w:val="auto"/>
          <w:sz w:val="28"/>
          <w:szCs w:val="28"/>
        </w:rPr>
        <w:t>20</w:t>
      </w:r>
      <w:r>
        <w:rPr>
          <w:rFonts w:ascii="Times New Roman" w:hAnsi="仿宋_GB2312" w:eastAsia="仿宋_GB2312" w:cs="Times New Roman"/>
          <w:color w:val="auto"/>
          <w:sz w:val="28"/>
          <w:szCs w:val="28"/>
        </w:rPr>
        <w:t>台（含</w:t>
      </w:r>
      <w:r>
        <w:rPr>
          <w:rFonts w:ascii="Times New Roman" w:eastAsia="仿宋_GB2312" w:cs="Times New Roman"/>
          <w:color w:val="auto"/>
          <w:sz w:val="28"/>
          <w:szCs w:val="28"/>
        </w:rPr>
        <w:t>5</w:t>
      </w:r>
      <w:r>
        <w:rPr>
          <w:rFonts w:ascii="Times New Roman" w:hAnsi="仿宋_GB2312" w:eastAsia="仿宋_GB2312" w:cs="Times New Roman"/>
          <w:color w:val="auto"/>
          <w:sz w:val="28"/>
          <w:szCs w:val="28"/>
        </w:rPr>
        <w:t>台备用）</w:t>
      </w:r>
    </w:p>
    <w:p>
      <w:pPr>
        <w:pStyle w:val="27"/>
        <w:numPr>
          <w:ilvl w:val="0"/>
          <w:numId w:val="1"/>
        </w:numPr>
        <w:adjustRightInd/>
        <w:spacing w:line="560" w:lineRule="exact"/>
        <w:ind w:left="1056" w:hanging="220"/>
        <w:jc w:val="both"/>
        <w:rPr>
          <w:rFonts w:ascii="Times New Roman" w:eastAsia="仿宋_GB2312" w:cs="Times New Roman"/>
          <w:color w:val="auto"/>
          <w:sz w:val="28"/>
          <w:szCs w:val="28"/>
        </w:rPr>
      </w:pPr>
      <w:r>
        <w:rPr>
          <w:rFonts w:ascii="Times New Roman" w:hAnsi="仿宋_GB2312" w:eastAsia="仿宋_GB2312" w:cs="Times New Roman"/>
          <w:color w:val="auto"/>
          <w:sz w:val="28"/>
          <w:szCs w:val="28"/>
        </w:rPr>
        <w:t>紫外</w:t>
      </w:r>
      <w:r>
        <w:rPr>
          <w:rFonts w:ascii="Times New Roman" w:eastAsia="仿宋_GB2312" w:cs="Times New Roman"/>
          <w:color w:val="auto"/>
          <w:sz w:val="28"/>
          <w:szCs w:val="28"/>
        </w:rPr>
        <w:t>-</w:t>
      </w:r>
      <w:r>
        <w:rPr>
          <w:rFonts w:ascii="Times New Roman" w:hAnsi="仿宋_GB2312" w:eastAsia="仿宋_GB2312" w:cs="Times New Roman"/>
          <w:color w:val="auto"/>
          <w:sz w:val="28"/>
          <w:szCs w:val="28"/>
        </w:rPr>
        <w:t>可见分光光度计可联机操作，</w:t>
      </w:r>
      <w:r>
        <w:rPr>
          <w:rFonts w:ascii="Times New Roman" w:eastAsia="仿宋_GB2312" w:cs="Times New Roman"/>
          <w:color w:val="auto"/>
          <w:sz w:val="28"/>
          <w:szCs w:val="28"/>
        </w:rPr>
        <w:t>14</w:t>
      </w:r>
      <w:r>
        <w:rPr>
          <w:rFonts w:ascii="Times New Roman" w:hAnsi="仿宋_GB2312" w:eastAsia="仿宋_GB2312" w:cs="Times New Roman"/>
          <w:color w:val="auto"/>
          <w:sz w:val="28"/>
          <w:szCs w:val="28"/>
        </w:rPr>
        <w:t>套（含</w:t>
      </w:r>
      <w:r>
        <w:rPr>
          <w:rFonts w:ascii="Times New Roman" w:eastAsia="仿宋_GB2312" w:cs="Times New Roman"/>
          <w:color w:val="auto"/>
          <w:sz w:val="28"/>
          <w:szCs w:val="28"/>
        </w:rPr>
        <w:t>2</w:t>
      </w:r>
      <w:r>
        <w:rPr>
          <w:rFonts w:ascii="Times New Roman" w:hAnsi="仿宋_GB2312" w:eastAsia="仿宋_GB2312" w:cs="Times New Roman"/>
          <w:color w:val="auto"/>
          <w:sz w:val="28"/>
          <w:szCs w:val="28"/>
        </w:rPr>
        <w:t>套备用）</w:t>
      </w:r>
    </w:p>
    <w:p>
      <w:pPr>
        <w:spacing w:line="560" w:lineRule="exact"/>
        <w:ind w:firstLine="562" w:firstLineChars="200"/>
        <w:jc w:val="both"/>
        <w:rPr>
          <w:rFonts w:ascii="Times New Roman" w:hAnsi="Times New Roman" w:eastAsia="仿宋_GB2312" w:cs="Times New Roman"/>
          <w:b/>
          <w:kern w:val="2"/>
          <w:sz w:val="28"/>
          <w:szCs w:val="28"/>
          <w:lang w:eastAsia="zh-CN"/>
        </w:rPr>
      </w:pPr>
      <w:bookmarkStart w:id="38" w:name="_Toc51745463"/>
      <w:r>
        <w:rPr>
          <w:rFonts w:ascii="Times New Roman" w:hAnsi="仿宋_GB2312" w:eastAsia="仿宋_GB2312" w:cs="Times New Roman"/>
          <w:b/>
          <w:kern w:val="2"/>
          <w:sz w:val="28"/>
          <w:szCs w:val="28"/>
          <w:lang w:eastAsia="zh-CN"/>
        </w:rPr>
        <w:t>十一、成绩评定</w:t>
      </w:r>
      <w:bookmarkEnd w:id="38"/>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39" w:name="_Toc51712798"/>
      <w:bookmarkStart w:id="40" w:name="_Toc51745464"/>
      <w:r>
        <w:rPr>
          <w:rFonts w:ascii="Times New Roman" w:hAnsi="仿宋_GB2312" w:eastAsia="仿宋_GB2312" w:cs="Times New Roman"/>
          <w:b/>
          <w:bCs/>
          <w:kern w:val="2"/>
          <w:sz w:val="28"/>
          <w:szCs w:val="28"/>
          <w:lang w:eastAsia="zh-CN"/>
        </w:rPr>
        <w:t>（一）评分标准</w:t>
      </w:r>
      <w:bookmarkEnd w:id="39"/>
      <w:bookmarkEnd w:id="40"/>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本赛项各模块按实验准备、实施操作、结果报告三个部分和项目考核内容设置评分项，并结合选手能力标准规范的</w:t>
      </w:r>
      <w:r>
        <w:rPr>
          <w:rFonts w:ascii="Times New Roman" w:hAnsi="Times New Roman" w:eastAsia="仿宋_GB2312" w:cs="Times New Roman"/>
          <w:kern w:val="2"/>
          <w:sz w:val="28"/>
          <w:szCs w:val="28"/>
          <w:lang w:eastAsia="zh-CN"/>
        </w:rPr>
        <w:t>7</w:t>
      </w:r>
      <w:r>
        <w:rPr>
          <w:rFonts w:ascii="Times New Roman" w:hAnsi="仿宋_GB2312" w:eastAsia="仿宋_GB2312" w:cs="Times New Roman"/>
          <w:kern w:val="2"/>
          <w:sz w:val="28"/>
          <w:szCs w:val="28"/>
          <w:lang w:eastAsia="zh-CN"/>
        </w:rPr>
        <w:t>部分权重，给出待评分的各项和分数分配（表</w:t>
      </w:r>
      <w:r>
        <w:rPr>
          <w:rFonts w:ascii="Times New Roman" w:hAnsi="Times New Roman" w:eastAsia="仿宋_GB2312" w:cs="Times New Roman"/>
          <w:kern w:val="2"/>
          <w:sz w:val="28"/>
          <w:szCs w:val="28"/>
          <w:lang w:eastAsia="zh-CN"/>
        </w:rPr>
        <w:t>3</w:t>
      </w:r>
      <w:r>
        <w:rPr>
          <w:rFonts w:ascii="Times New Roman" w:hAnsi="仿宋_GB2312" w:eastAsia="仿宋_GB2312" w:cs="Times New Roman"/>
          <w:kern w:val="2"/>
          <w:sz w:val="28"/>
          <w:szCs w:val="28"/>
          <w:lang w:eastAsia="zh-CN"/>
        </w:rPr>
        <w:t>）。</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评判采用客观评判（测量</w:t>
      </w:r>
      <w:r>
        <w:rPr>
          <w:rFonts w:ascii="Times New Roman" w:hAnsi="Times New Roman" w:eastAsia="仿宋_GB2312" w:cs="Times New Roman"/>
          <w:kern w:val="2"/>
          <w:sz w:val="28"/>
          <w:szCs w:val="28"/>
          <w:lang w:eastAsia="zh-CN"/>
        </w:rPr>
        <w:t>M</w:t>
      </w:r>
      <w:r>
        <w:rPr>
          <w:rFonts w:ascii="Times New Roman" w:hAnsi="仿宋_GB2312" w:eastAsia="仿宋_GB2312" w:cs="Times New Roman"/>
          <w:kern w:val="2"/>
          <w:sz w:val="28"/>
          <w:szCs w:val="28"/>
          <w:lang w:eastAsia="zh-CN"/>
        </w:rPr>
        <w:t>）和主观评判（</w:t>
      </w:r>
      <w:r>
        <w:rPr>
          <w:rFonts w:ascii="Times New Roman" w:hAnsi="Times New Roman" w:eastAsia="仿宋_GB2312" w:cs="Times New Roman"/>
          <w:kern w:val="2"/>
          <w:sz w:val="28"/>
          <w:szCs w:val="28"/>
          <w:lang w:eastAsia="zh-CN"/>
        </w:rPr>
        <w:t>J</w:t>
      </w:r>
      <w:r>
        <w:rPr>
          <w:rFonts w:ascii="Times New Roman" w:hAnsi="仿宋_GB2312" w:eastAsia="仿宋_GB2312" w:cs="Times New Roman"/>
          <w:kern w:val="2"/>
          <w:sz w:val="28"/>
          <w:szCs w:val="28"/>
          <w:lang w:eastAsia="zh-CN"/>
        </w:rPr>
        <w:t>）相结合的方式进行。主观评判采用以下方法进行</w:t>
      </w:r>
      <w:r>
        <w:rPr>
          <w:rFonts w:ascii="Times New Roman" w:hAnsi="Times New Roman" w:eastAsia="仿宋_GB2312" w:cs="Times New Roman"/>
          <w:kern w:val="2"/>
          <w:sz w:val="28"/>
          <w:szCs w:val="28"/>
          <w:lang w:eastAsia="zh-CN"/>
        </w:rPr>
        <w:t>,</w:t>
      </w:r>
      <w:r>
        <w:rPr>
          <w:rFonts w:ascii="Times New Roman" w:hAnsi="仿宋_GB2312" w:eastAsia="仿宋_GB2312" w:cs="Times New Roman"/>
          <w:kern w:val="2"/>
          <w:sz w:val="28"/>
          <w:szCs w:val="28"/>
          <w:lang w:eastAsia="zh-CN"/>
        </w:rPr>
        <w:t>分值范围</w:t>
      </w:r>
      <w:r>
        <w:rPr>
          <w:rFonts w:ascii="Times New Roman" w:hAnsi="Times New Roman" w:eastAsia="仿宋_GB2312" w:cs="Times New Roman"/>
          <w:kern w:val="2"/>
          <w:sz w:val="28"/>
          <w:szCs w:val="28"/>
          <w:lang w:eastAsia="zh-CN"/>
        </w:rPr>
        <w:t>0-3</w:t>
      </w:r>
      <w:r>
        <w:rPr>
          <w:rFonts w:ascii="Times New Roman" w:hAnsi="仿宋_GB2312" w:eastAsia="仿宋_GB2312" w:cs="Times New Roman"/>
          <w:kern w:val="2"/>
          <w:sz w:val="28"/>
          <w:szCs w:val="28"/>
          <w:lang w:eastAsia="zh-CN"/>
        </w:rPr>
        <w:t>分表示：</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0</w:t>
      </w:r>
      <w:r>
        <w:rPr>
          <w:rFonts w:ascii="Times New Roman" w:hAnsi="仿宋_GB2312" w:eastAsia="仿宋_GB2312" w:cs="Times New Roman"/>
          <w:kern w:val="2"/>
          <w:sz w:val="28"/>
          <w:szCs w:val="28"/>
          <w:lang w:eastAsia="zh-CN"/>
        </w:rPr>
        <w:t>：表现低于能力标准；</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：表现符合能力标准；</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2</w:t>
      </w:r>
      <w:r>
        <w:rPr>
          <w:rFonts w:ascii="Times New Roman" w:hAnsi="仿宋_GB2312" w:eastAsia="仿宋_GB2312" w:cs="Times New Roman"/>
          <w:kern w:val="2"/>
          <w:sz w:val="28"/>
          <w:szCs w:val="28"/>
          <w:lang w:eastAsia="zh-CN"/>
        </w:rPr>
        <w:t>：表现达到并且在特定方面超过能力标准；</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3</w:t>
      </w:r>
      <w:r>
        <w:rPr>
          <w:rFonts w:ascii="Times New Roman" w:hAnsi="仿宋_GB2312" w:eastAsia="仿宋_GB2312" w:cs="Times New Roman"/>
          <w:kern w:val="2"/>
          <w:sz w:val="28"/>
          <w:szCs w:val="28"/>
          <w:lang w:eastAsia="zh-CN"/>
        </w:rPr>
        <w:t>：表现完全超过能力标准，并表现优秀。</w:t>
      </w:r>
    </w:p>
    <w:p>
      <w:pPr>
        <w:spacing w:line="560" w:lineRule="exact"/>
        <w:jc w:val="center"/>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表</w:t>
      </w:r>
      <w:r>
        <w:rPr>
          <w:rFonts w:ascii="Times New Roman" w:hAnsi="Times New Roman" w:eastAsia="仿宋_GB2312" w:cs="Times New Roman"/>
          <w:kern w:val="2"/>
          <w:sz w:val="28"/>
          <w:szCs w:val="28"/>
          <w:lang w:eastAsia="zh-CN"/>
        </w:rPr>
        <w:t xml:space="preserve">3 </w:t>
      </w:r>
      <w:r>
        <w:rPr>
          <w:rFonts w:ascii="Times New Roman" w:hAnsi="仿宋_GB2312" w:eastAsia="仿宋_GB2312" w:cs="Times New Roman"/>
          <w:kern w:val="2"/>
          <w:sz w:val="28"/>
          <w:szCs w:val="28"/>
          <w:lang w:eastAsia="zh-CN"/>
        </w:rPr>
        <w:t>各项目的评分项与分数分配</w:t>
      </w:r>
    </w:p>
    <w:tbl>
      <w:tblPr>
        <w:tblStyle w:val="19"/>
        <w:tblW w:w="8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
      <w:tblGrid>
        <w:gridCol w:w="938"/>
        <w:gridCol w:w="1751"/>
        <w:gridCol w:w="1724"/>
        <w:gridCol w:w="2528"/>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97" w:hRule="atLeast"/>
          <w:tblHeader/>
          <w:jc w:val="center"/>
        </w:trPr>
        <w:tc>
          <w:tcPr>
            <w:tcW w:w="938" w:type="dxa"/>
            <w:shd w:val="clear" w:color="auto" w:fill="auto"/>
            <w:vAlign w:val="center"/>
          </w:tcPr>
          <w:p>
            <w:pPr>
              <w:pStyle w:val="27"/>
              <w:adjustRightInd/>
              <w:jc w:val="center"/>
              <w:rPr>
                <w:rFonts w:ascii="Times New Roman" w:eastAsia="仿宋_GB2312" w:cs="Times New Roman"/>
                <w:color w:val="auto"/>
              </w:rPr>
            </w:pPr>
            <w:r>
              <w:rPr>
                <w:rFonts w:ascii="Times New Roman" w:hAnsi="仿宋_GB2312" w:eastAsia="仿宋_GB2312" w:cs="Times New Roman"/>
                <w:color w:val="auto"/>
              </w:rPr>
              <w:t>模块编号</w:t>
            </w:r>
          </w:p>
        </w:tc>
        <w:tc>
          <w:tcPr>
            <w:tcW w:w="1751" w:type="dxa"/>
            <w:shd w:val="clear" w:color="auto" w:fill="auto"/>
            <w:vAlign w:val="center"/>
          </w:tcPr>
          <w:p>
            <w:pPr>
              <w:pStyle w:val="27"/>
              <w:adjustRightInd/>
              <w:jc w:val="center"/>
              <w:rPr>
                <w:rFonts w:ascii="Times New Roman" w:eastAsia="仿宋_GB2312" w:cs="Times New Roman"/>
                <w:color w:val="auto"/>
              </w:rPr>
            </w:pPr>
            <w:r>
              <w:rPr>
                <w:rFonts w:ascii="Times New Roman" w:hAnsi="仿宋_GB2312" w:eastAsia="仿宋_GB2312" w:cs="Times New Roman"/>
                <w:color w:val="auto"/>
              </w:rPr>
              <w:t>项目名称</w:t>
            </w:r>
          </w:p>
        </w:tc>
        <w:tc>
          <w:tcPr>
            <w:tcW w:w="1724" w:type="dxa"/>
            <w:vAlign w:val="center"/>
          </w:tcPr>
          <w:p>
            <w:pPr>
              <w:pStyle w:val="27"/>
              <w:adjustRightInd/>
              <w:jc w:val="center"/>
              <w:rPr>
                <w:rFonts w:ascii="Times New Roman" w:eastAsia="仿宋_GB2312" w:cs="Times New Roman"/>
                <w:color w:val="auto"/>
              </w:rPr>
            </w:pPr>
            <w:r>
              <w:rPr>
                <w:rFonts w:ascii="Times New Roman" w:hAnsi="仿宋_GB2312" w:eastAsia="仿宋_GB2312" w:cs="Times New Roman"/>
                <w:color w:val="auto"/>
              </w:rPr>
              <w:t>评分内容</w:t>
            </w:r>
          </w:p>
        </w:tc>
        <w:tc>
          <w:tcPr>
            <w:tcW w:w="2528" w:type="dxa"/>
            <w:shd w:val="clear" w:color="auto" w:fill="auto"/>
            <w:vAlign w:val="center"/>
          </w:tcPr>
          <w:p>
            <w:pPr>
              <w:pStyle w:val="27"/>
              <w:adjustRightInd/>
              <w:jc w:val="center"/>
              <w:rPr>
                <w:rFonts w:ascii="Times New Roman" w:eastAsia="仿宋_GB2312" w:cs="Times New Roman"/>
                <w:color w:val="auto"/>
              </w:rPr>
            </w:pPr>
            <w:r>
              <w:rPr>
                <w:rFonts w:ascii="Times New Roman" w:hAnsi="仿宋_GB2312" w:eastAsia="仿宋_GB2312" w:cs="Times New Roman"/>
                <w:color w:val="auto"/>
              </w:rPr>
              <w:t>评分项</w:t>
            </w:r>
          </w:p>
        </w:tc>
        <w:tc>
          <w:tcPr>
            <w:tcW w:w="1249" w:type="dxa"/>
            <w:shd w:val="clear" w:color="auto" w:fill="auto"/>
            <w:vAlign w:val="center"/>
          </w:tcPr>
          <w:p>
            <w:pPr>
              <w:pStyle w:val="27"/>
              <w:adjustRightInd/>
              <w:jc w:val="center"/>
              <w:rPr>
                <w:rFonts w:ascii="Times New Roman" w:eastAsia="仿宋_GB2312" w:cs="Times New Roman"/>
                <w:color w:val="auto"/>
              </w:rPr>
            </w:pPr>
            <w:r>
              <w:rPr>
                <w:rFonts w:ascii="Times New Roman" w:hAnsi="仿宋_GB2312" w:eastAsia="仿宋_GB2312" w:cs="Times New Roman"/>
                <w:color w:val="auto"/>
              </w:rPr>
              <w:t>分数分配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1123" w:hRule="atLeast"/>
          <w:jc w:val="center"/>
        </w:trPr>
        <w:tc>
          <w:tcPr>
            <w:tcW w:w="938" w:type="dxa"/>
            <w:vMerge w:val="restart"/>
            <w:shd w:val="clear" w:color="auto" w:fill="auto"/>
            <w:vAlign w:val="center"/>
          </w:tcPr>
          <w:p>
            <w:pPr>
              <w:pStyle w:val="27"/>
              <w:adjustRightInd/>
              <w:jc w:val="center"/>
              <w:rPr>
                <w:rFonts w:ascii="Times New Roman" w:eastAsia="仿宋_GB2312" w:cs="Times New Roman"/>
                <w:color w:val="auto"/>
              </w:rPr>
            </w:pPr>
            <w:r>
              <w:rPr>
                <w:rFonts w:ascii="Times New Roman" w:eastAsia="仿宋_GB2312" w:cs="Times New Roman"/>
                <w:color w:val="auto"/>
              </w:rPr>
              <w:t>A</w:t>
            </w:r>
          </w:p>
        </w:tc>
        <w:tc>
          <w:tcPr>
            <w:tcW w:w="1751" w:type="dxa"/>
            <w:vMerge w:val="restart"/>
            <w:shd w:val="clear" w:color="auto" w:fill="auto"/>
            <w:vAlign w:val="center"/>
          </w:tcPr>
          <w:p>
            <w:pPr>
              <w:pStyle w:val="27"/>
              <w:adjustRightInd/>
              <w:jc w:val="center"/>
              <w:rPr>
                <w:rFonts w:ascii="Times New Roman" w:eastAsia="仿宋_GB2312" w:cs="Times New Roman"/>
                <w:color w:val="auto"/>
              </w:rPr>
            </w:pPr>
            <w:r>
              <w:rPr>
                <w:rFonts w:ascii="Times New Roman" w:hAnsi="仿宋_GB2312" w:eastAsia="仿宋_GB2312" w:cs="Times New Roman"/>
                <w:color w:val="auto"/>
              </w:rPr>
              <w:t>样品中金属组分（钴或镍）含量的测定</w:t>
            </w:r>
          </w:p>
        </w:tc>
        <w:tc>
          <w:tcPr>
            <w:tcW w:w="1724" w:type="dxa"/>
            <w:vAlign w:val="center"/>
          </w:tcPr>
          <w:p>
            <w:pPr>
              <w:pStyle w:val="27"/>
              <w:adjustRightInd/>
              <w:jc w:val="center"/>
              <w:rPr>
                <w:rFonts w:ascii="Times New Roman" w:eastAsia="仿宋_GB2312" w:cs="Times New Roman"/>
                <w:color w:val="auto"/>
              </w:rPr>
            </w:pPr>
            <w:r>
              <w:rPr>
                <w:rFonts w:ascii="Times New Roman" w:eastAsia="仿宋_GB2312" w:cs="Times New Roman"/>
                <w:color w:val="auto"/>
              </w:rPr>
              <w:t>A1</w:t>
            </w:r>
            <w:r>
              <w:rPr>
                <w:rFonts w:ascii="Times New Roman" w:hAnsi="仿宋_GB2312" w:eastAsia="仿宋_GB2312" w:cs="Times New Roman"/>
                <w:color w:val="auto"/>
              </w:rPr>
              <w:t>实验准备</w:t>
            </w:r>
          </w:p>
        </w:tc>
        <w:tc>
          <w:tcPr>
            <w:tcW w:w="2528" w:type="dxa"/>
            <w:shd w:val="clear" w:color="auto" w:fill="auto"/>
            <w:vAlign w:val="center"/>
          </w:tcPr>
          <w:p>
            <w:pPr>
              <w:pStyle w:val="27"/>
              <w:adjustRightInd/>
              <w:jc w:val="both"/>
              <w:rPr>
                <w:rFonts w:ascii="Times New Roman" w:eastAsia="仿宋_GB2312" w:cs="Times New Roman"/>
                <w:color w:val="auto"/>
              </w:rPr>
            </w:pPr>
            <w:r>
              <w:rPr>
                <w:rFonts w:ascii="Times New Roman" w:hAnsi="仿宋_GB2312" w:eastAsia="仿宋_GB2312" w:cs="Times New Roman"/>
                <w:color w:val="auto"/>
              </w:rPr>
              <w:t>个人健康安全</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药品称量</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溶液配制</w:t>
            </w:r>
          </w:p>
        </w:tc>
        <w:tc>
          <w:tcPr>
            <w:tcW w:w="1249" w:type="dxa"/>
            <w:shd w:val="clear" w:color="auto" w:fill="auto"/>
            <w:vAlign w:val="center"/>
          </w:tcPr>
          <w:p>
            <w:pPr>
              <w:pStyle w:val="27"/>
              <w:adjustRightInd/>
              <w:jc w:val="center"/>
              <w:rPr>
                <w:rFonts w:ascii="Times New Roman" w:eastAsia="仿宋_GB2312" w:cs="Times New Roman"/>
                <w:color w:val="auto"/>
              </w:rPr>
            </w:pPr>
            <w:r>
              <w:rPr>
                <w:rFonts w:ascii="Times New Roman" w:eastAsia="仿宋_GB2312" w:cs="Times New Roman"/>
                <w:color w:val="auto"/>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1318" w:hRule="atLeast"/>
          <w:jc w:val="center"/>
        </w:trPr>
        <w:tc>
          <w:tcPr>
            <w:tcW w:w="938" w:type="dxa"/>
            <w:vMerge w:val="continue"/>
            <w:shd w:val="clear" w:color="auto" w:fill="auto"/>
            <w:vAlign w:val="center"/>
          </w:tcPr>
          <w:p>
            <w:pPr>
              <w:pStyle w:val="27"/>
              <w:adjustRightInd/>
              <w:jc w:val="center"/>
              <w:rPr>
                <w:rFonts w:ascii="Times New Roman" w:eastAsia="仿宋_GB2312" w:cs="Times New Roman"/>
                <w:color w:val="auto"/>
              </w:rPr>
            </w:pPr>
          </w:p>
        </w:tc>
        <w:tc>
          <w:tcPr>
            <w:tcW w:w="1751" w:type="dxa"/>
            <w:vMerge w:val="continue"/>
            <w:shd w:val="clear" w:color="auto" w:fill="auto"/>
            <w:vAlign w:val="center"/>
          </w:tcPr>
          <w:p>
            <w:pPr>
              <w:pStyle w:val="27"/>
              <w:adjustRightInd/>
              <w:jc w:val="center"/>
              <w:rPr>
                <w:rFonts w:ascii="Times New Roman" w:eastAsia="仿宋_GB2312" w:cs="Times New Roman"/>
                <w:color w:val="auto"/>
              </w:rPr>
            </w:pPr>
          </w:p>
        </w:tc>
        <w:tc>
          <w:tcPr>
            <w:tcW w:w="1724" w:type="dxa"/>
            <w:vAlign w:val="center"/>
          </w:tcPr>
          <w:p>
            <w:pPr>
              <w:pStyle w:val="27"/>
              <w:adjustRightInd/>
              <w:jc w:val="center"/>
              <w:rPr>
                <w:rFonts w:ascii="Times New Roman" w:eastAsia="仿宋_GB2312" w:cs="Times New Roman"/>
                <w:color w:val="auto"/>
              </w:rPr>
            </w:pPr>
            <w:r>
              <w:rPr>
                <w:rFonts w:ascii="Times New Roman" w:eastAsia="仿宋_GB2312" w:cs="Times New Roman"/>
                <w:color w:val="auto"/>
              </w:rPr>
              <w:t>A2</w:t>
            </w:r>
            <w:r>
              <w:rPr>
                <w:rFonts w:ascii="Times New Roman" w:hAnsi="仿宋_GB2312" w:eastAsia="仿宋_GB2312" w:cs="Times New Roman"/>
                <w:color w:val="auto"/>
              </w:rPr>
              <w:t>实验操作</w:t>
            </w:r>
          </w:p>
        </w:tc>
        <w:tc>
          <w:tcPr>
            <w:tcW w:w="2528" w:type="dxa"/>
            <w:shd w:val="clear" w:color="auto" w:fill="auto"/>
            <w:vAlign w:val="center"/>
          </w:tcPr>
          <w:p>
            <w:pPr>
              <w:pStyle w:val="27"/>
              <w:adjustRightInd/>
              <w:jc w:val="both"/>
              <w:rPr>
                <w:rFonts w:ascii="Times New Roman" w:eastAsia="仿宋_GB2312" w:cs="Times New Roman"/>
                <w:color w:val="auto"/>
              </w:rPr>
            </w:pPr>
            <w:r>
              <w:rPr>
                <w:rFonts w:ascii="Times New Roman" w:hAnsi="仿宋_GB2312" w:eastAsia="仿宋_GB2312" w:cs="Times New Roman"/>
                <w:color w:val="auto"/>
              </w:rPr>
              <w:t>标准溶液标定</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样品制备</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含量测定</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文明操作</w:t>
            </w:r>
          </w:p>
        </w:tc>
        <w:tc>
          <w:tcPr>
            <w:tcW w:w="1249" w:type="dxa"/>
            <w:shd w:val="clear" w:color="auto" w:fill="auto"/>
            <w:vAlign w:val="center"/>
          </w:tcPr>
          <w:p>
            <w:pPr>
              <w:pStyle w:val="27"/>
              <w:adjustRightInd/>
              <w:jc w:val="center"/>
              <w:rPr>
                <w:rFonts w:ascii="Times New Roman" w:eastAsia="仿宋_GB2312" w:cs="Times New Roman"/>
                <w:color w:val="auto"/>
              </w:rPr>
            </w:pPr>
            <w:r>
              <w:rPr>
                <w:rFonts w:ascii="Times New Roman" w:eastAsia="仿宋_GB2312" w:cs="Times New Roman"/>
                <w:color w:val="auto"/>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731" w:hRule="atLeast"/>
          <w:jc w:val="center"/>
        </w:trPr>
        <w:tc>
          <w:tcPr>
            <w:tcW w:w="938" w:type="dxa"/>
            <w:vMerge w:val="continue"/>
            <w:shd w:val="clear" w:color="auto" w:fill="auto"/>
            <w:vAlign w:val="center"/>
          </w:tcPr>
          <w:p>
            <w:pPr>
              <w:pStyle w:val="27"/>
              <w:adjustRightInd/>
              <w:jc w:val="center"/>
              <w:rPr>
                <w:rFonts w:ascii="Times New Roman" w:eastAsia="仿宋_GB2312" w:cs="Times New Roman"/>
                <w:color w:val="auto"/>
              </w:rPr>
            </w:pPr>
          </w:p>
        </w:tc>
        <w:tc>
          <w:tcPr>
            <w:tcW w:w="1751" w:type="dxa"/>
            <w:vMerge w:val="continue"/>
            <w:shd w:val="clear" w:color="auto" w:fill="auto"/>
            <w:vAlign w:val="center"/>
          </w:tcPr>
          <w:p>
            <w:pPr>
              <w:pStyle w:val="27"/>
              <w:adjustRightInd/>
              <w:jc w:val="center"/>
              <w:rPr>
                <w:rFonts w:ascii="Times New Roman" w:eastAsia="仿宋_GB2312" w:cs="Times New Roman"/>
                <w:color w:val="auto"/>
              </w:rPr>
            </w:pPr>
          </w:p>
        </w:tc>
        <w:tc>
          <w:tcPr>
            <w:tcW w:w="1724" w:type="dxa"/>
            <w:vAlign w:val="center"/>
          </w:tcPr>
          <w:p>
            <w:pPr>
              <w:pStyle w:val="27"/>
              <w:adjustRightInd/>
              <w:jc w:val="center"/>
              <w:rPr>
                <w:rFonts w:ascii="Times New Roman" w:eastAsia="仿宋_GB2312" w:cs="Times New Roman"/>
                <w:color w:val="auto"/>
              </w:rPr>
            </w:pPr>
            <w:r>
              <w:rPr>
                <w:rFonts w:ascii="Times New Roman" w:eastAsia="仿宋_GB2312" w:cs="Times New Roman"/>
                <w:color w:val="auto"/>
              </w:rPr>
              <w:t>A3</w:t>
            </w:r>
            <w:r>
              <w:rPr>
                <w:rFonts w:ascii="Times New Roman" w:hAnsi="仿宋_GB2312" w:eastAsia="仿宋_GB2312" w:cs="Times New Roman"/>
                <w:color w:val="auto"/>
              </w:rPr>
              <w:t>结果报告</w:t>
            </w:r>
          </w:p>
        </w:tc>
        <w:tc>
          <w:tcPr>
            <w:tcW w:w="2528" w:type="dxa"/>
            <w:shd w:val="clear" w:color="auto" w:fill="auto"/>
            <w:vAlign w:val="center"/>
          </w:tcPr>
          <w:p>
            <w:pPr>
              <w:pStyle w:val="27"/>
              <w:adjustRightInd/>
              <w:jc w:val="both"/>
              <w:rPr>
                <w:rFonts w:ascii="Times New Roman" w:eastAsia="仿宋_GB2312" w:cs="Times New Roman"/>
                <w:color w:val="auto"/>
              </w:rPr>
            </w:pPr>
            <w:r>
              <w:rPr>
                <w:rFonts w:ascii="Times New Roman" w:hAnsi="仿宋_GB2312" w:eastAsia="仿宋_GB2312" w:cs="Times New Roman"/>
                <w:color w:val="auto"/>
              </w:rPr>
              <w:t>数据处理</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撰写报告</w:t>
            </w:r>
          </w:p>
        </w:tc>
        <w:tc>
          <w:tcPr>
            <w:tcW w:w="1249" w:type="dxa"/>
            <w:shd w:val="clear" w:color="auto" w:fill="auto"/>
            <w:vAlign w:val="center"/>
          </w:tcPr>
          <w:p>
            <w:pPr>
              <w:pStyle w:val="27"/>
              <w:adjustRightInd/>
              <w:jc w:val="center"/>
              <w:rPr>
                <w:rFonts w:ascii="Times New Roman" w:eastAsia="仿宋_GB2312" w:cs="Times New Roman"/>
                <w:color w:val="auto"/>
              </w:rPr>
            </w:pPr>
            <w:r>
              <w:rPr>
                <w:rFonts w:ascii="Times New Roman" w:eastAsia="仿宋_GB2312" w:cs="Times New Roman"/>
                <w:color w:val="auto"/>
              </w:rPr>
              <w:t>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97" w:hRule="atLeast"/>
          <w:jc w:val="center"/>
        </w:trPr>
        <w:tc>
          <w:tcPr>
            <w:tcW w:w="938" w:type="dxa"/>
            <w:vMerge w:val="restart"/>
            <w:shd w:val="clear" w:color="auto" w:fill="auto"/>
            <w:vAlign w:val="center"/>
          </w:tcPr>
          <w:p>
            <w:pPr>
              <w:pStyle w:val="27"/>
              <w:adjustRightInd/>
              <w:jc w:val="center"/>
              <w:rPr>
                <w:rFonts w:ascii="Times New Roman" w:eastAsia="仿宋_GB2312" w:cs="Times New Roman"/>
                <w:color w:val="auto"/>
              </w:rPr>
            </w:pPr>
            <w:r>
              <w:rPr>
                <w:rFonts w:ascii="Times New Roman" w:eastAsia="仿宋_GB2312" w:cs="Times New Roman"/>
                <w:color w:val="auto"/>
              </w:rPr>
              <w:t>B</w:t>
            </w:r>
          </w:p>
        </w:tc>
        <w:tc>
          <w:tcPr>
            <w:tcW w:w="1751" w:type="dxa"/>
            <w:vMerge w:val="restart"/>
            <w:shd w:val="clear" w:color="auto" w:fill="auto"/>
            <w:vAlign w:val="center"/>
          </w:tcPr>
          <w:p>
            <w:pPr>
              <w:pStyle w:val="27"/>
              <w:adjustRightInd/>
              <w:jc w:val="center"/>
              <w:rPr>
                <w:rFonts w:ascii="Times New Roman" w:eastAsia="仿宋_GB2312" w:cs="Times New Roman"/>
                <w:color w:val="auto"/>
              </w:rPr>
            </w:pPr>
            <w:r>
              <w:rPr>
                <w:rFonts w:ascii="Times New Roman" w:hAnsi="仿宋_GB2312" w:eastAsia="仿宋_GB2312" w:cs="Times New Roman"/>
                <w:color w:val="auto"/>
              </w:rPr>
              <w:t>样品中铁含量的测定</w:t>
            </w:r>
          </w:p>
        </w:tc>
        <w:tc>
          <w:tcPr>
            <w:tcW w:w="1724" w:type="dxa"/>
            <w:vAlign w:val="center"/>
          </w:tcPr>
          <w:p>
            <w:pPr>
              <w:pStyle w:val="27"/>
              <w:adjustRightInd/>
              <w:jc w:val="center"/>
              <w:rPr>
                <w:rFonts w:ascii="Times New Roman" w:eastAsia="仿宋_GB2312" w:cs="Times New Roman"/>
                <w:color w:val="auto"/>
              </w:rPr>
            </w:pPr>
            <w:r>
              <w:rPr>
                <w:rFonts w:ascii="Times New Roman" w:eastAsia="仿宋_GB2312" w:cs="Times New Roman"/>
                <w:color w:val="auto"/>
              </w:rPr>
              <w:t>B1</w:t>
            </w:r>
            <w:r>
              <w:rPr>
                <w:rFonts w:ascii="Times New Roman" w:hAnsi="仿宋_GB2312" w:eastAsia="仿宋_GB2312" w:cs="Times New Roman"/>
                <w:color w:val="auto"/>
              </w:rPr>
              <w:t>实验准备</w:t>
            </w:r>
          </w:p>
        </w:tc>
        <w:tc>
          <w:tcPr>
            <w:tcW w:w="2528" w:type="dxa"/>
            <w:shd w:val="clear" w:color="auto" w:fill="auto"/>
            <w:vAlign w:val="center"/>
          </w:tcPr>
          <w:p>
            <w:pPr>
              <w:pStyle w:val="27"/>
              <w:adjustRightInd/>
              <w:jc w:val="both"/>
              <w:rPr>
                <w:rFonts w:ascii="Times New Roman" w:eastAsia="仿宋_GB2312" w:cs="Times New Roman"/>
                <w:color w:val="auto"/>
              </w:rPr>
            </w:pPr>
            <w:r>
              <w:rPr>
                <w:rFonts w:ascii="Times New Roman" w:hAnsi="仿宋_GB2312" w:eastAsia="仿宋_GB2312" w:cs="Times New Roman"/>
                <w:color w:val="auto"/>
              </w:rPr>
              <w:t>个人健康安全</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药品称量</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溶液配制</w:t>
            </w:r>
          </w:p>
        </w:tc>
        <w:tc>
          <w:tcPr>
            <w:tcW w:w="1249" w:type="dxa"/>
            <w:shd w:val="clear" w:color="auto" w:fill="auto"/>
            <w:vAlign w:val="center"/>
          </w:tcPr>
          <w:p>
            <w:pPr>
              <w:pStyle w:val="27"/>
              <w:adjustRightInd/>
              <w:jc w:val="center"/>
              <w:rPr>
                <w:rFonts w:ascii="Times New Roman" w:eastAsia="仿宋_GB2312" w:cs="Times New Roman"/>
                <w:color w:val="auto"/>
              </w:rPr>
            </w:pPr>
            <w:r>
              <w:rPr>
                <w:rFonts w:ascii="Times New Roman" w:eastAsia="仿宋_GB2312" w:cs="Times New Roman"/>
                <w:color w:val="auto"/>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97" w:hRule="atLeast"/>
          <w:jc w:val="center"/>
        </w:trPr>
        <w:tc>
          <w:tcPr>
            <w:tcW w:w="938" w:type="dxa"/>
            <w:vMerge w:val="continue"/>
            <w:shd w:val="clear" w:color="auto" w:fill="auto"/>
            <w:vAlign w:val="center"/>
          </w:tcPr>
          <w:p>
            <w:pPr>
              <w:pStyle w:val="27"/>
              <w:adjustRightInd/>
              <w:jc w:val="center"/>
              <w:rPr>
                <w:rFonts w:ascii="Times New Roman" w:eastAsia="仿宋_GB2312" w:cs="Times New Roman"/>
                <w:color w:val="auto"/>
              </w:rPr>
            </w:pPr>
          </w:p>
        </w:tc>
        <w:tc>
          <w:tcPr>
            <w:tcW w:w="1751" w:type="dxa"/>
            <w:vMerge w:val="continue"/>
            <w:shd w:val="clear" w:color="auto" w:fill="auto"/>
            <w:vAlign w:val="center"/>
          </w:tcPr>
          <w:p>
            <w:pPr>
              <w:pStyle w:val="27"/>
              <w:adjustRightInd/>
              <w:jc w:val="center"/>
              <w:rPr>
                <w:rFonts w:ascii="Times New Roman" w:eastAsia="仿宋_GB2312" w:cs="Times New Roman"/>
                <w:color w:val="auto"/>
              </w:rPr>
            </w:pPr>
          </w:p>
        </w:tc>
        <w:tc>
          <w:tcPr>
            <w:tcW w:w="1724" w:type="dxa"/>
            <w:vAlign w:val="center"/>
          </w:tcPr>
          <w:p>
            <w:pPr>
              <w:pStyle w:val="27"/>
              <w:adjustRightInd/>
              <w:jc w:val="center"/>
              <w:rPr>
                <w:rFonts w:ascii="Times New Roman" w:eastAsia="仿宋_GB2312" w:cs="Times New Roman"/>
                <w:color w:val="auto"/>
              </w:rPr>
            </w:pPr>
            <w:r>
              <w:rPr>
                <w:rFonts w:ascii="Times New Roman" w:eastAsia="仿宋_GB2312" w:cs="Times New Roman"/>
                <w:color w:val="auto"/>
              </w:rPr>
              <w:t>B2</w:t>
            </w:r>
            <w:r>
              <w:rPr>
                <w:rFonts w:ascii="Times New Roman" w:hAnsi="仿宋_GB2312" w:eastAsia="仿宋_GB2312" w:cs="Times New Roman"/>
                <w:color w:val="auto"/>
              </w:rPr>
              <w:t>实验操作</w:t>
            </w:r>
          </w:p>
        </w:tc>
        <w:tc>
          <w:tcPr>
            <w:tcW w:w="2528" w:type="dxa"/>
            <w:shd w:val="clear" w:color="auto" w:fill="auto"/>
            <w:vAlign w:val="center"/>
          </w:tcPr>
          <w:p>
            <w:pPr>
              <w:pStyle w:val="27"/>
              <w:adjustRightInd/>
              <w:jc w:val="both"/>
              <w:rPr>
                <w:rFonts w:ascii="Times New Roman" w:eastAsia="仿宋_GB2312" w:cs="Times New Roman"/>
                <w:color w:val="auto"/>
              </w:rPr>
            </w:pPr>
            <w:r>
              <w:rPr>
                <w:rFonts w:ascii="Times New Roman" w:hAnsi="仿宋_GB2312" w:eastAsia="仿宋_GB2312" w:cs="Times New Roman"/>
                <w:color w:val="auto"/>
              </w:rPr>
              <w:t>标准工作曲线制作</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样品制备</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含量测定</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文明操作</w:t>
            </w:r>
          </w:p>
        </w:tc>
        <w:tc>
          <w:tcPr>
            <w:tcW w:w="1249" w:type="dxa"/>
            <w:shd w:val="clear" w:color="auto" w:fill="auto"/>
            <w:vAlign w:val="center"/>
          </w:tcPr>
          <w:p>
            <w:pPr>
              <w:pStyle w:val="27"/>
              <w:adjustRightInd/>
              <w:jc w:val="center"/>
              <w:rPr>
                <w:rFonts w:ascii="Times New Roman" w:eastAsia="仿宋_GB2312" w:cs="Times New Roman"/>
                <w:color w:val="auto"/>
              </w:rPr>
            </w:pPr>
            <w:r>
              <w:rPr>
                <w:rFonts w:ascii="Times New Roman" w:eastAsia="仿宋_GB2312" w:cs="Times New Roman"/>
                <w:color w:val="auto"/>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97" w:hRule="atLeast"/>
          <w:jc w:val="center"/>
        </w:trPr>
        <w:tc>
          <w:tcPr>
            <w:tcW w:w="938" w:type="dxa"/>
            <w:vMerge w:val="continue"/>
            <w:shd w:val="clear" w:color="auto" w:fill="auto"/>
            <w:vAlign w:val="center"/>
          </w:tcPr>
          <w:p>
            <w:pPr>
              <w:pStyle w:val="27"/>
              <w:adjustRightInd/>
              <w:jc w:val="center"/>
              <w:rPr>
                <w:rFonts w:ascii="Times New Roman" w:eastAsia="仿宋_GB2312" w:cs="Times New Roman"/>
                <w:color w:val="auto"/>
              </w:rPr>
            </w:pPr>
          </w:p>
        </w:tc>
        <w:tc>
          <w:tcPr>
            <w:tcW w:w="1751" w:type="dxa"/>
            <w:vMerge w:val="continue"/>
            <w:shd w:val="clear" w:color="auto" w:fill="auto"/>
            <w:vAlign w:val="center"/>
          </w:tcPr>
          <w:p>
            <w:pPr>
              <w:pStyle w:val="27"/>
              <w:adjustRightInd/>
              <w:jc w:val="center"/>
              <w:rPr>
                <w:rFonts w:ascii="Times New Roman" w:eastAsia="仿宋_GB2312" w:cs="Times New Roman"/>
                <w:color w:val="auto"/>
              </w:rPr>
            </w:pPr>
          </w:p>
        </w:tc>
        <w:tc>
          <w:tcPr>
            <w:tcW w:w="1724" w:type="dxa"/>
            <w:vAlign w:val="center"/>
          </w:tcPr>
          <w:p>
            <w:pPr>
              <w:pStyle w:val="27"/>
              <w:adjustRightInd/>
              <w:jc w:val="center"/>
              <w:rPr>
                <w:rFonts w:ascii="Times New Roman" w:eastAsia="仿宋_GB2312" w:cs="Times New Roman"/>
                <w:color w:val="auto"/>
              </w:rPr>
            </w:pPr>
            <w:r>
              <w:rPr>
                <w:rFonts w:ascii="Times New Roman" w:eastAsia="仿宋_GB2312" w:cs="Times New Roman"/>
                <w:color w:val="auto"/>
              </w:rPr>
              <w:t>B3</w:t>
            </w:r>
            <w:r>
              <w:rPr>
                <w:rFonts w:ascii="Times New Roman" w:hAnsi="仿宋_GB2312" w:eastAsia="仿宋_GB2312" w:cs="Times New Roman"/>
                <w:color w:val="auto"/>
              </w:rPr>
              <w:t>结果报告</w:t>
            </w:r>
          </w:p>
        </w:tc>
        <w:tc>
          <w:tcPr>
            <w:tcW w:w="2528" w:type="dxa"/>
            <w:shd w:val="clear" w:color="auto" w:fill="auto"/>
            <w:vAlign w:val="center"/>
          </w:tcPr>
          <w:p>
            <w:pPr>
              <w:pStyle w:val="27"/>
              <w:adjustRightInd/>
              <w:jc w:val="both"/>
              <w:rPr>
                <w:rFonts w:ascii="Times New Roman" w:eastAsia="仿宋_GB2312" w:cs="Times New Roman"/>
                <w:color w:val="auto"/>
              </w:rPr>
            </w:pPr>
            <w:r>
              <w:rPr>
                <w:rFonts w:ascii="Times New Roman" w:hAnsi="仿宋_GB2312" w:eastAsia="仿宋_GB2312" w:cs="Times New Roman"/>
                <w:color w:val="auto"/>
              </w:rPr>
              <w:t>数据处理</w:t>
            </w:r>
          </w:p>
          <w:p>
            <w:pPr>
              <w:pStyle w:val="27"/>
              <w:adjustRightInd/>
              <w:jc w:val="both"/>
              <w:rPr>
                <w:rFonts w:ascii="Times New Roman" w:eastAsia="仿宋_GB2312" w:cs="Times New Roman"/>
                <w:color w:val="auto"/>
              </w:rPr>
            </w:pPr>
            <w:r>
              <w:rPr>
                <w:rFonts w:ascii="Times New Roman" w:hAnsi="仿宋_GB2312" w:eastAsia="仿宋_GB2312" w:cs="Times New Roman"/>
                <w:color w:val="auto"/>
              </w:rPr>
              <w:t>撰写报告</w:t>
            </w:r>
          </w:p>
        </w:tc>
        <w:tc>
          <w:tcPr>
            <w:tcW w:w="1249" w:type="dxa"/>
            <w:shd w:val="clear" w:color="auto" w:fill="auto"/>
            <w:vAlign w:val="center"/>
          </w:tcPr>
          <w:p>
            <w:pPr>
              <w:pStyle w:val="27"/>
              <w:adjustRightInd/>
              <w:jc w:val="center"/>
              <w:rPr>
                <w:rFonts w:ascii="Times New Roman" w:eastAsia="仿宋_GB2312" w:cs="Times New Roman"/>
                <w:color w:val="auto"/>
              </w:rPr>
            </w:pPr>
            <w:r>
              <w:rPr>
                <w:rFonts w:ascii="Times New Roman" w:eastAsia="仿宋_GB2312" w:cs="Times New Roman"/>
                <w:color w:val="auto"/>
              </w:rPr>
              <w:t>15~16</w:t>
            </w:r>
          </w:p>
        </w:tc>
      </w:tr>
    </w:tbl>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41" w:name="_Toc51712799"/>
      <w:bookmarkStart w:id="42" w:name="_Toc51745465"/>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r>
        <w:rPr>
          <w:rFonts w:ascii="Times New Roman" w:hAnsi="仿宋_GB2312" w:eastAsia="仿宋_GB2312" w:cs="Times New Roman"/>
          <w:b/>
          <w:bCs/>
          <w:kern w:val="2"/>
          <w:sz w:val="28"/>
          <w:szCs w:val="28"/>
          <w:lang w:eastAsia="zh-CN"/>
        </w:rPr>
        <w:t>（二）评分阅卷</w:t>
      </w:r>
      <w:bookmarkEnd w:id="41"/>
      <w:bookmarkEnd w:id="42"/>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本赛项各模块的评分由过程性评分和结果评分组成。</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过程评分：由现场裁判根据选手现场实际操作表现，依据评分表进行主观评判（</w:t>
      </w:r>
      <w:r>
        <w:rPr>
          <w:rFonts w:ascii="Times New Roman" w:hAnsi="Times New Roman" w:eastAsia="仿宋_GB2312" w:cs="Times New Roman"/>
          <w:kern w:val="2"/>
          <w:sz w:val="28"/>
          <w:szCs w:val="28"/>
          <w:lang w:eastAsia="zh-CN"/>
        </w:rPr>
        <w:t>J</w:t>
      </w:r>
      <w:r>
        <w:rPr>
          <w:rFonts w:ascii="Times New Roman" w:hAnsi="仿宋_GB2312" w:eastAsia="仿宋_GB2312" w:cs="Times New Roman"/>
          <w:kern w:val="2"/>
          <w:sz w:val="28"/>
          <w:szCs w:val="28"/>
          <w:lang w:eastAsia="zh-CN"/>
        </w:rPr>
        <w:t>）和客观评价（</w:t>
      </w:r>
      <w:r>
        <w:rPr>
          <w:rFonts w:ascii="Times New Roman" w:hAnsi="Times New Roman" w:eastAsia="仿宋_GB2312" w:cs="Times New Roman"/>
          <w:kern w:val="2"/>
          <w:sz w:val="28"/>
          <w:szCs w:val="28"/>
          <w:lang w:eastAsia="zh-CN"/>
        </w:rPr>
        <w:t>M</w:t>
      </w:r>
      <w:r>
        <w:rPr>
          <w:rFonts w:ascii="Times New Roman" w:hAnsi="仿宋_GB2312" w:eastAsia="仿宋_GB2312" w:cs="Times New Roman"/>
          <w:kern w:val="2"/>
          <w:sz w:val="28"/>
          <w:szCs w:val="28"/>
          <w:lang w:eastAsia="zh-CN"/>
        </w:rPr>
        <w:t>）。</w:t>
      </w:r>
      <w:r>
        <w:rPr>
          <w:rFonts w:ascii="Times New Roman" w:hAnsi="仿宋_GB2312" w:eastAsia="仿宋_GB2312" w:cs="Times New Roman"/>
          <w:b/>
          <w:bCs/>
          <w:kern w:val="2"/>
          <w:sz w:val="28"/>
          <w:szCs w:val="28"/>
          <w:lang w:eastAsia="zh-CN"/>
        </w:rPr>
        <w:t>由</w:t>
      </w:r>
      <w:r>
        <w:rPr>
          <w:rFonts w:ascii="Times New Roman" w:hAnsi="Times New Roman" w:eastAsia="仿宋_GB2312" w:cs="Times New Roman"/>
          <w:b/>
          <w:bCs/>
          <w:kern w:val="2"/>
          <w:sz w:val="28"/>
          <w:szCs w:val="28"/>
          <w:lang w:eastAsia="zh-CN"/>
        </w:rPr>
        <w:t>1</w:t>
      </w:r>
      <w:r>
        <w:rPr>
          <w:rFonts w:ascii="Times New Roman" w:hAnsi="仿宋_GB2312" w:eastAsia="仿宋_GB2312" w:cs="Times New Roman"/>
          <w:b/>
          <w:bCs/>
          <w:kern w:val="2"/>
          <w:sz w:val="28"/>
          <w:szCs w:val="28"/>
          <w:lang w:eastAsia="zh-CN"/>
        </w:rPr>
        <w:t>名现场裁判同时评判</w:t>
      </w:r>
      <w:r>
        <w:rPr>
          <w:rFonts w:hint="eastAsia" w:ascii="Times New Roman" w:hAnsi="Times New Roman" w:eastAsia="仿宋_GB2312" w:cs="Times New Roman"/>
          <w:b/>
          <w:bCs/>
          <w:kern w:val="2"/>
          <w:sz w:val="28"/>
          <w:szCs w:val="28"/>
          <w:lang w:eastAsia="zh-CN"/>
        </w:rPr>
        <w:t>3</w:t>
      </w:r>
      <w:r>
        <w:rPr>
          <w:rFonts w:ascii="Times New Roman" w:hAnsi="仿宋_GB2312" w:eastAsia="仿宋_GB2312" w:cs="Times New Roman"/>
          <w:b/>
          <w:bCs/>
          <w:kern w:val="2"/>
          <w:sz w:val="28"/>
          <w:szCs w:val="28"/>
          <w:lang w:eastAsia="zh-CN"/>
        </w:rPr>
        <w:t>名选手</w:t>
      </w:r>
      <w:r>
        <w:rPr>
          <w:rFonts w:ascii="Times New Roman" w:hAnsi="仿宋_GB2312" w:eastAsia="仿宋_GB2312" w:cs="Times New Roman"/>
          <w:kern w:val="2"/>
          <w:sz w:val="28"/>
          <w:szCs w:val="28"/>
          <w:lang w:eastAsia="zh-CN"/>
        </w:rPr>
        <w:t>。对每个考核项目客观评分项的得分点，现场裁判只能给出一个分值，即最高分或者零分，否则必须另有说明。</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结果评分：现场考核结束后，密封试卷。每一选手的试卷由</w:t>
      </w:r>
      <w:r>
        <w:rPr>
          <w:rFonts w:ascii="Times New Roman" w:hAnsi="Times New Roman" w:eastAsia="仿宋_GB2312" w:cs="Times New Roman"/>
          <w:kern w:val="2"/>
          <w:sz w:val="28"/>
          <w:szCs w:val="28"/>
          <w:lang w:eastAsia="zh-CN"/>
        </w:rPr>
        <w:t>2</w:t>
      </w:r>
      <w:r>
        <w:rPr>
          <w:rFonts w:ascii="Times New Roman" w:hAnsi="仿宋_GB2312" w:eastAsia="仿宋_GB2312" w:cs="Times New Roman"/>
          <w:kern w:val="2"/>
          <w:sz w:val="28"/>
          <w:szCs w:val="28"/>
          <w:lang w:eastAsia="zh-CN"/>
        </w:rPr>
        <w:t>名现场裁判依据真值对选手现场测定的结果进行精密度和准确度的评定，并经项目裁判长、赛项裁判长的复核签字确定。上述所有行为须在监督人员监督下完成。</w:t>
      </w:r>
    </w:p>
    <w:p>
      <w:pPr>
        <w:tabs>
          <w:tab w:val="left" w:pos="6120"/>
        </w:tabs>
        <w:spacing w:line="560" w:lineRule="exact"/>
        <w:ind w:firstLine="562" w:firstLineChars="200"/>
        <w:jc w:val="both"/>
        <w:rPr>
          <w:rFonts w:ascii="Times New Roman" w:hAnsi="Times New Roman" w:eastAsia="仿宋_GB2312" w:cs="Times New Roman"/>
          <w:b/>
          <w:bCs/>
          <w:kern w:val="2"/>
          <w:sz w:val="28"/>
          <w:szCs w:val="28"/>
          <w:lang w:eastAsia="zh-CN"/>
        </w:rPr>
      </w:pPr>
      <w:r>
        <w:rPr>
          <w:rFonts w:ascii="Times New Roman" w:hAnsi="仿宋_GB2312" w:eastAsia="仿宋_GB2312" w:cs="Times New Roman"/>
          <w:b/>
          <w:bCs/>
          <w:kern w:val="2"/>
          <w:sz w:val="28"/>
          <w:szCs w:val="28"/>
          <w:lang w:eastAsia="zh-CN"/>
        </w:rPr>
        <w:t>按参赛队总数</w:t>
      </w:r>
      <w:r>
        <w:rPr>
          <w:rFonts w:hint="eastAsia" w:ascii="Times New Roman" w:hAnsi="Times New Roman" w:eastAsia="仿宋_GB2312" w:cs="Times New Roman"/>
          <w:b/>
          <w:bCs/>
          <w:kern w:val="2"/>
          <w:sz w:val="28"/>
          <w:szCs w:val="28"/>
          <w:lang w:eastAsia="zh-CN"/>
        </w:rPr>
        <w:t>12</w:t>
      </w:r>
      <w:r>
        <w:rPr>
          <w:rFonts w:ascii="Times New Roman" w:hAnsi="仿宋_GB2312" w:eastAsia="仿宋_GB2312" w:cs="Times New Roman"/>
          <w:b/>
          <w:bCs/>
          <w:kern w:val="2"/>
          <w:sz w:val="28"/>
          <w:szCs w:val="28"/>
          <w:lang w:eastAsia="zh-CN"/>
        </w:rPr>
        <w:t>支进行测算，本赛项所需现场裁判</w:t>
      </w:r>
      <w:r>
        <w:rPr>
          <w:rFonts w:hint="eastAsia" w:ascii="Times New Roman" w:hAnsi="Times New Roman" w:eastAsia="仿宋_GB2312" w:cs="Times New Roman"/>
          <w:b/>
          <w:bCs/>
          <w:kern w:val="2"/>
          <w:sz w:val="28"/>
          <w:szCs w:val="28"/>
          <w:lang w:eastAsia="zh-CN"/>
        </w:rPr>
        <w:t>4</w:t>
      </w:r>
      <w:r>
        <w:rPr>
          <w:rFonts w:ascii="Times New Roman" w:hAnsi="仿宋_GB2312" w:eastAsia="仿宋_GB2312" w:cs="Times New Roman"/>
          <w:b/>
          <w:bCs/>
          <w:kern w:val="2"/>
          <w:sz w:val="28"/>
          <w:szCs w:val="28"/>
          <w:lang w:eastAsia="zh-CN"/>
        </w:rPr>
        <w:t>名</w:t>
      </w:r>
      <w:r>
        <w:rPr>
          <w:rFonts w:hint="eastAsia" w:ascii="Times New Roman" w:hAnsi="仿宋_GB2312" w:eastAsia="仿宋_GB2312" w:cs="Times New Roman"/>
          <w:b/>
          <w:bCs/>
          <w:kern w:val="2"/>
          <w:sz w:val="28"/>
          <w:szCs w:val="28"/>
          <w:lang w:eastAsia="zh-CN"/>
        </w:rPr>
        <w:t>，项目总</w:t>
      </w:r>
      <w:r>
        <w:rPr>
          <w:rFonts w:ascii="Times New Roman" w:hAnsi="仿宋_GB2312" w:eastAsia="仿宋_GB2312" w:cs="Times New Roman"/>
          <w:b/>
          <w:bCs/>
          <w:kern w:val="2"/>
          <w:sz w:val="28"/>
          <w:szCs w:val="28"/>
          <w:lang w:eastAsia="zh-CN"/>
        </w:rPr>
        <w:t>赛项裁判长</w:t>
      </w:r>
      <w:r>
        <w:rPr>
          <w:rFonts w:ascii="Times New Roman" w:hAnsi="Times New Roman" w:eastAsia="仿宋_GB2312" w:cs="Times New Roman"/>
          <w:b/>
          <w:bCs/>
          <w:kern w:val="2"/>
          <w:sz w:val="28"/>
          <w:szCs w:val="28"/>
          <w:lang w:eastAsia="zh-CN"/>
        </w:rPr>
        <w:t>1</w:t>
      </w:r>
      <w:r>
        <w:rPr>
          <w:rFonts w:ascii="Times New Roman" w:hAnsi="仿宋_GB2312" w:eastAsia="仿宋_GB2312" w:cs="Times New Roman"/>
          <w:b/>
          <w:bCs/>
          <w:kern w:val="2"/>
          <w:sz w:val="28"/>
          <w:szCs w:val="28"/>
          <w:lang w:eastAsia="zh-CN"/>
        </w:rPr>
        <w:t>名，共计</w:t>
      </w:r>
      <w:r>
        <w:rPr>
          <w:rFonts w:hint="eastAsia" w:ascii="Times New Roman" w:hAnsi="Times New Roman" w:eastAsia="仿宋_GB2312" w:cs="Times New Roman"/>
          <w:b/>
          <w:bCs/>
          <w:kern w:val="2"/>
          <w:sz w:val="28"/>
          <w:szCs w:val="28"/>
          <w:lang w:eastAsia="zh-CN"/>
        </w:rPr>
        <w:t>5</w:t>
      </w:r>
      <w:r>
        <w:rPr>
          <w:rFonts w:ascii="Times New Roman" w:hAnsi="仿宋_GB2312" w:eastAsia="仿宋_GB2312" w:cs="Times New Roman"/>
          <w:b/>
          <w:bCs/>
          <w:kern w:val="2"/>
          <w:sz w:val="28"/>
          <w:szCs w:val="28"/>
          <w:lang w:eastAsia="zh-CN"/>
        </w:rPr>
        <w:t>名。</w:t>
      </w:r>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43" w:name="_Toc51712800"/>
      <w:bookmarkStart w:id="44" w:name="_Toc51745466"/>
      <w:r>
        <w:rPr>
          <w:rFonts w:ascii="Times New Roman" w:hAnsi="仿宋_GB2312" w:eastAsia="仿宋_GB2312" w:cs="Times New Roman"/>
          <w:b/>
          <w:bCs/>
          <w:kern w:val="2"/>
          <w:sz w:val="28"/>
          <w:szCs w:val="28"/>
          <w:lang w:eastAsia="zh-CN"/>
        </w:rPr>
        <w:t>（三）成绩计算</w:t>
      </w:r>
      <w:bookmarkEnd w:id="43"/>
      <w:bookmarkEnd w:id="44"/>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在监督人员的现场监督下，由加密裁判</w:t>
      </w:r>
      <w:r>
        <w:rPr>
          <w:rFonts w:hint="eastAsia" w:ascii="Times New Roman" w:hAnsi="仿宋_GB2312" w:eastAsia="仿宋_GB2312" w:cs="Times New Roman"/>
          <w:kern w:val="2"/>
          <w:sz w:val="28"/>
          <w:szCs w:val="28"/>
          <w:lang w:eastAsia="zh-CN"/>
        </w:rPr>
        <w:t>（</w:t>
      </w:r>
      <w:r>
        <w:rPr>
          <w:rFonts w:hint="eastAsia" w:ascii="Times New Roman" w:hAnsi="仿宋_GB2312" w:eastAsia="仿宋_GB2312" w:cs="Times New Roman"/>
          <w:b/>
          <w:kern w:val="2"/>
          <w:sz w:val="28"/>
          <w:szCs w:val="28"/>
          <w:lang w:eastAsia="zh-CN"/>
        </w:rPr>
        <w:t>总裁判长</w:t>
      </w:r>
      <w:r>
        <w:rPr>
          <w:rFonts w:hint="eastAsia" w:ascii="Times New Roman" w:hAnsi="仿宋_GB2312" w:eastAsia="仿宋_GB2312" w:cs="Times New Roman"/>
          <w:kern w:val="2"/>
          <w:sz w:val="28"/>
          <w:szCs w:val="28"/>
          <w:lang w:eastAsia="zh-CN"/>
        </w:rPr>
        <w:t>）</w:t>
      </w:r>
      <w:r>
        <w:rPr>
          <w:rFonts w:ascii="Times New Roman" w:hAnsi="仿宋_GB2312" w:eastAsia="仿宋_GB2312" w:cs="Times New Roman"/>
          <w:kern w:val="2"/>
          <w:sz w:val="28"/>
          <w:szCs w:val="28"/>
          <w:lang w:eastAsia="zh-CN"/>
        </w:rPr>
        <w:t>汇总选手各模块项目评分，并计算出参赛选手的总成绩，复核无误后，经裁判长、监督人员和仲裁人员签字确认后提交监督组再次复核</w:t>
      </w:r>
      <w:r>
        <w:rPr>
          <w:rFonts w:hint="eastAsia" w:ascii="Times New Roman" w:hAnsi="仿宋_GB2312" w:eastAsia="仿宋_GB2312" w:cs="Times New Roman"/>
          <w:kern w:val="2"/>
          <w:sz w:val="28"/>
          <w:szCs w:val="28"/>
          <w:lang w:eastAsia="zh-CN"/>
        </w:rPr>
        <w:t>后上报</w:t>
      </w:r>
      <w:r>
        <w:rPr>
          <w:rFonts w:ascii="Times New Roman" w:hAnsi="仿宋_GB2312" w:eastAsia="仿宋_GB2312" w:cs="Times New Roman"/>
          <w:kern w:val="2"/>
          <w:sz w:val="28"/>
          <w:szCs w:val="28"/>
          <w:lang w:eastAsia="zh-CN"/>
        </w:rPr>
        <w:t>。。</w:t>
      </w:r>
    </w:p>
    <w:p>
      <w:pPr>
        <w:spacing w:line="560" w:lineRule="exact"/>
        <w:ind w:firstLine="562" w:firstLineChars="200"/>
        <w:jc w:val="both"/>
        <w:rPr>
          <w:rFonts w:ascii="Times New Roman" w:hAnsi="Times New Roman" w:eastAsia="仿宋_GB2312" w:cs="Times New Roman"/>
          <w:b/>
          <w:kern w:val="2"/>
          <w:sz w:val="28"/>
          <w:szCs w:val="28"/>
          <w:lang w:eastAsia="zh-CN"/>
        </w:rPr>
      </w:pPr>
      <w:bookmarkStart w:id="45" w:name="_Toc51745470"/>
      <w:r>
        <w:rPr>
          <w:rFonts w:ascii="Times New Roman" w:hAnsi="仿宋_GB2312" w:eastAsia="仿宋_GB2312" w:cs="Times New Roman"/>
          <w:b/>
          <w:kern w:val="2"/>
          <w:sz w:val="28"/>
          <w:szCs w:val="28"/>
          <w:lang w:eastAsia="zh-CN"/>
        </w:rPr>
        <w:t>十</w:t>
      </w:r>
      <w:r>
        <w:rPr>
          <w:rFonts w:hint="eastAsia" w:ascii="Times New Roman" w:hAnsi="仿宋_GB2312" w:eastAsia="仿宋_GB2312" w:cs="Times New Roman"/>
          <w:b/>
          <w:kern w:val="2"/>
          <w:sz w:val="28"/>
          <w:szCs w:val="28"/>
          <w:lang w:eastAsia="zh-CN"/>
        </w:rPr>
        <w:t>二</w:t>
      </w:r>
      <w:r>
        <w:rPr>
          <w:rFonts w:ascii="Times New Roman" w:hAnsi="仿宋_GB2312" w:eastAsia="仿宋_GB2312" w:cs="Times New Roman"/>
          <w:b/>
          <w:kern w:val="2"/>
          <w:sz w:val="28"/>
          <w:szCs w:val="28"/>
          <w:lang w:eastAsia="zh-CN"/>
        </w:rPr>
        <w:t>、赛场预案</w:t>
      </w:r>
      <w:bookmarkEnd w:id="45"/>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46" w:name="_Toc51745471"/>
      <w:r>
        <w:rPr>
          <w:rFonts w:ascii="Times New Roman" w:hAnsi="仿宋_GB2312" w:eastAsia="仿宋_GB2312" w:cs="Times New Roman"/>
          <w:b/>
          <w:bCs/>
          <w:kern w:val="2"/>
          <w:sz w:val="28"/>
          <w:szCs w:val="28"/>
          <w:lang w:eastAsia="zh-CN"/>
        </w:rPr>
        <w:t>（一）指导思想</w:t>
      </w:r>
      <w:bookmarkEnd w:id="46"/>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根据</w:t>
      </w:r>
      <w:r>
        <w:rPr>
          <w:rFonts w:ascii="Times New Roman" w:hAnsi="Times New Roman" w:eastAsia="仿宋_GB2312" w:cs="Times New Roman"/>
          <w:kern w:val="2"/>
          <w:sz w:val="28"/>
          <w:szCs w:val="28"/>
          <w:lang w:eastAsia="zh-CN"/>
        </w:rPr>
        <w:t>“</w:t>
      </w:r>
      <w:r>
        <w:rPr>
          <w:rFonts w:ascii="Times New Roman" w:hAnsi="仿宋_GB2312" w:eastAsia="仿宋_GB2312" w:cs="Times New Roman"/>
          <w:kern w:val="2"/>
          <w:sz w:val="28"/>
          <w:szCs w:val="28"/>
          <w:lang w:eastAsia="zh-CN"/>
        </w:rPr>
        <w:t>安全第一，预防为主</w:t>
      </w:r>
      <w:r>
        <w:rPr>
          <w:rFonts w:ascii="Times New Roman" w:hAnsi="Times New Roman" w:eastAsia="仿宋_GB2312" w:cs="Times New Roman"/>
          <w:kern w:val="2"/>
          <w:sz w:val="28"/>
          <w:szCs w:val="28"/>
          <w:lang w:eastAsia="zh-CN"/>
        </w:rPr>
        <w:t>”</w:t>
      </w:r>
      <w:r>
        <w:rPr>
          <w:rFonts w:ascii="Times New Roman" w:hAnsi="仿宋_GB2312" w:eastAsia="仿宋_GB2312" w:cs="Times New Roman"/>
          <w:kern w:val="2"/>
          <w:sz w:val="28"/>
          <w:szCs w:val="28"/>
          <w:lang w:eastAsia="zh-CN"/>
        </w:rPr>
        <w:t>的原则，保障大赛期间赛场安全，防范安全事故发生，对引发的突发性事故有充分的思想准备和应变措施，确保赛场在发生事故后，能科学有效地实施处置，切实有效降低和控制安全事故的危害，确保竞赛顺利开展。</w:t>
      </w:r>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47" w:name="_Toc51745472"/>
      <w:r>
        <w:rPr>
          <w:rFonts w:ascii="Times New Roman" w:hAnsi="仿宋_GB2312" w:eastAsia="仿宋_GB2312" w:cs="Times New Roman"/>
          <w:b/>
          <w:bCs/>
          <w:kern w:val="2"/>
          <w:sz w:val="28"/>
          <w:szCs w:val="28"/>
          <w:lang w:eastAsia="zh-CN"/>
        </w:rPr>
        <w:t>（二）组织领导</w:t>
      </w:r>
      <w:bookmarkEnd w:id="47"/>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成立赛项竞赛安全应急工作领导小组</w:t>
      </w:r>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48" w:name="_Toc51745473"/>
      <w:r>
        <w:rPr>
          <w:rFonts w:ascii="Times New Roman" w:hAnsi="仿宋_GB2312" w:eastAsia="仿宋_GB2312" w:cs="Times New Roman"/>
          <w:b/>
          <w:bCs/>
          <w:kern w:val="2"/>
          <w:sz w:val="28"/>
          <w:szCs w:val="28"/>
          <w:lang w:eastAsia="zh-CN"/>
        </w:rPr>
        <w:t>（三）竞赛过程中主要突发事故及应急处理方法</w:t>
      </w:r>
      <w:bookmarkEnd w:id="48"/>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药品使用事故</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w:t>
      </w: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）比赛用药品由专人统一保管和更换。</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w:t>
      </w:r>
      <w:r>
        <w:rPr>
          <w:rFonts w:ascii="Times New Roman" w:hAnsi="Times New Roman" w:eastAsia="仿宋_GB2312" w:cs="Times New Roman"/>
          <w:kern w:val="2"/>
          <w:sz w:val="28"/>
          <w:szCs w:val="28"/>
          <w:lang w:eastAsia="zh-CN"/>
        </w:rPr>
        <w:t>2</w:t>
      </w:r>
      <w:r>
        <w:rPr>
          <w:rFonts w:ascii="Times New Roman" w:hAnsi="仿宋_GB2312" w:eastAsia="仿宋_GB2312" w:cs="Times New Roman"/>
          <w:kern w:val="2"/>
          <w:sz w:val="28"/>
          <w:szCs w:val="28"/>
          <w:lang w:eastAsia="zh-CN"/>
        </w:rPr>
        <w:t>）取用药品要佩戴专用防护手套。</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w:t>
      </w:r>
      <w:r>
        <w:rPr>
          <w:rFonts w:ascii="Times New Roman" w:hAnsi="Times New Roman" w:eastAsia="仿宋_GB2312" w:cs="Times New Roman"/>
          <w:kern w:val="2"/>
          <w:sz w:val="28"/>
          <w:szCs w:val="28"/>
          <w:lang w:eastAsia="zh-CN"/>
        </w:rPr>
        <w:t>3</w:t>
      </w:r>
      <w:r>
        <w:rPr>
          <w:rFonts w:ascii="Times New Roman" w:hAnsi="仿宋_GB2312" w:eastAsia="仿宋_GB2312" w:cs="Times New Roman"/>
          <w:kern w:val="2"/>
          <w:sz w:val="28"/>
          <w:szCs w:val="28"/>
          <w:lang w:eastAsia="zh-CN"/>
        </w:rPr>
        <w:t>）药品分组使用不能串用、混用，使用后要及时归还回位置。</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w:t>
      </w:r>
      <w:r>
        <w:rPr>
          <w:rFonts w:ascii="Times New Roman" w:hAnsi="Times New Roman" w:eastAsia="仿宋_GB2312" w:cs="Times New Roman"/>
          <w:kern w:val="2"/>
          <w:sz w:val="28"/>
          <w:szCs w:val="28"/>
          <w:lang w:eastAsia="zh-CN"/>
        </w:rPr>
        <w:t>4</w:t>
      </w:r>
      <w:r>
        <w:rPr>
          <w:rFonts w:ascii="Times New Roman" w:hAnsi="仿宋_GB2312" w:eastAsia="仿宋_GB2312" w:cs="Times New Roman"/>
          <w:kern w:val="2"/>
          <w:sz w:val="28"/>
          <w:szCs w:val="28"/>
          <w:lang w:eastAsia="zh-CN"/>
        </w:rPr>
        <w:t>）发生涉及药品的安全事故，由现场人员依不同情况酌情实施急救，并及时上报。</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w:t>
      </w:r>
      <w:r>
        <w:rPr>
          <w:rFonts w:ascii="Times New Roman" w:hAnsi="Times New Roman" w:eastAsia="仿宋_GB2312" w:cs="Times New Roman"/>
          <w:kern w:val="2"/>
          <w:sz w:val="28"/>
          <w:szCs w:val="28"/>
          <w:lang w:eastAsia="zh-CN"/>
        </w:rPr>
        <w:t>5</w:t>
      </w:r>
      <w:r>
        <w:rPr>
          <w:rFonts w:ascii="Times New Roman" w:hAnsi="仿宋_GB2312" w:eastAsia="仿宋_GB2312" w:cs="Times New Roman"/>
          <w:kern w:val="2"/>
          <w:sz w:val="28"/>
          <w:szCs w:val="28"/>
          <w:lang w:eastAsia="zh-CN"/>
        </w:rPr>
        <w:t>）组织人员对事发场地外围进行封锁，严禁无关人员进入，防止危害进一步扩大。</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w:t>
      </w:r>
      <w:r>
        <w:rPr>
          <w:rFonts w:ascii="Times New Roman" w:hAnsi="Times New Roman" w:eastAsia="仿宋_GB2312" w:cs="Times New Roman"/>
          <w:kern w:val="2"/>
          <w:sz w:val="28"/>
          <w:szCs w:val="28"/>
          <w:lang w:eastAsia="zh-CN"/>
        </w:rPr>
        <w:t>6</w:t>
      </w:r>
      <w:r>
        <w:rPr>
          <w:rFonts w:ascii="Times New Roman" w:hAnsi="仿宋_GB2312" w:eastAsia="仿宋_GB2312" w:cs="Times New Roman"/>
          <w:kern w:val="2"/>
          <w:sz w:val="28"/>
          <w:szCs w:val="28"/>
          <w:lang w:eastAsia="zh-CN"/>
        </w:rPr>
        <w:t>）立即联系医疗救护人员到现场进行医疗救护工作，同时拨打</w:t>
      </w:r>
      <w:r>
        <w:rPr>
          <w:rFonts w:ascii="Times New Roman" w:hAnsi="Times New Roman" w:eastAsia="仿宋_GB2312" w:cs="Times New Roman"/>
          <w:kern w:val="2"/>
          <w:sz w:val="28"/>
          <w:szCs w:val="28"/>
          <w:lang w:eastAsia="zh-CN"/>
        </w:rPr>
        <w:t>120</w:t>
      </w:r>
      <w:r>
        <w:rPr>
          <w:rFonts w:ascii="Times New Roman" w:hAnsi="仿宋_GB2312" w:eastAsia="仿宋_GB2312" w:cs="Times New Roman"/>
          <w:kern w:val="2"/>
          <w:sz w:val="28"/>
          <w:szCs w:val="28"/>
          <w:lang w:eastAsia="zh-CN"/>
        </w:rPr>
        <w:t>急救电话。</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2.</w:t>
      </w:r>
      <w:r>
        <w:rPr>
          <w:rFonts w:ascii="Times New Roman" w:hAnsi="仿宋_GB2312" w:eastAsia="仿宋_GB2312" w:cs="Times New Roman"/>
          <w:kern w:val="2"/>
          <w:sz w:val="28"/>
          <w:szCs w:val="28"/>
          <w:lang w:eastAsia="zh-CN"/>
        </w:rPr>
        <w:t>水、电使用事故</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w:t>
      </w: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）一旦发生水电路故障、停水、停电等现象，现场人员要在第一时间向应急处置小组报告，并采取有效措施，防止发生事故。</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w:t>
      </w:r>
      <w:r>
        <w:rPr>
          <w:rFonts w:ascii="Times New Roman" w:hAnsi="Times New Roman" w:eastAsia="仿宋_GB2312" w:cs="Times New Roman"/>
          <w:kern w:val="2"/>
          <w:sz w:val="28"/>
          <w:szCs w:val="28"/>
          <w:lang w:eastAsia="zh-CN"/>
        </w:rPr>
        <w:t>2</w:t>
      </w:r>
      <w:r>
        <w:rPr>
          <w:rFonts w:ascii="Times New Roman" w:hAnsi="仿宋_GB2312" w:eastAsia="仿宋_GB2312" w:cs="Times New Roman"/>
          <w:kern w:val="2"/>
          <w:sz w:val="28"/>
          <w:szCs w:val="28"/>
          <w:lang w:eastAsia="zh-CN"/>
        </w:rPr>
        <w:t>）应急小组接到报告后，立即启动预案。</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仿宋_GB2312" w:hAnsi="仿宋_GB2312" w:eastAsia="仿宋_GB2312" w:cs="Times New Roman"/>
          <w:kern w:val="2"/>
          <w:sz w:val="28"/>
          <w:szCs w:val="28"/>
          <w:lang w:eastAsia="zh-CN"/>
        </w:rPr>
        <w:t>①</w:t>
      </w:r>
      <w:r>
        <w:rPr>
          <w:rFonts w:ascii="Times New Roman" w:hAnsi="Times New Roman" w:eastAsia="仿宋_GB2312" w:cs="Times New Roman"/>
          <w:kern w:val="2"/>
          <w:sz w:val="28"/>
          <w:szCs w:val="28"/>
          <w:lang w:eastAsia="zh-CN"/>
        </w:rPr>
        <w:t xml:space="preserve"> </w:t>
      </w:r>
      <w:r>
        <w:rPr>
          <w:rFonts w:ascii="Times New Roman" w:hAnsi="仿宋_GB2312" w:eastAsia="仿宋_GB2312" w:cs="Times New Roman"/>
          <w:kern w:val="2"/>
          <w:sz w:val="28"/>
          <w:szCs w:val="28"/>
          <w:lang w:eastAsia="zh-CN"/>
        </w:rPr>
        <w:t>发生水、电路故障，立即联系学院后勤处，由后勤处立即安排专业人员在第一时间到现场进行检测、维修，尽快修复。</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仿宋_GB2312" w:hAnsi="仿宋_GB2312" w:eastAsia="仿宋_GB2312" w:cs="Times New Roman"/>
          <w:kern w:val="2"/>
          <w:sz w:val="28"/>
          <w:szCs w:val="28"/>
          <w:lang w:eastAsia="zh-CN"/>
        </w:rPr>
        <w:t>②</w:t>
      </w:r>
      <w:r>
        <w:rPr>
          <w:rFonts w:ascii="Times New Roman" w:hAnsi="Times New Roman" w:eastAsia="仿宋_GB2312" w:cs="Times New Roman"/>
          <w:kern w:val="2"/>
          <w:sz w:val="28"/>
          <w:szCs w:val="28"/>
          <w:lang w:eastAsia="zh-CN"/>
        </w:rPr>
        <w:t xml:space="preserve"> </w:t>
      </w:r>
      <w:r>
        <w:rPr>
          <w:rFonts w:ascii="Times New Roman" w:hAnsi="仿宋_GB2312" w:eastAsia="仿宋_GB2312" w:cs="Times New Roman"/>
          <w:kern w:val="2"/>
          <w:sz w:val="28"/>
          <w:szCs w:val="28"/>
          <w:lang w:eastAsia="zh-CN"/>
        </w:rPr>
        <w:t>发生停水、停电现象，立即联系承办单位后勤部门，立即安排人员查明停电原因，组织发电工作。</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w:t>
      </w:r>
      <w:r>
        <w:rPr>
          <w:rFonts w:ascii="Times New Roman" w:hAnsi="Times New Roman" w:eastAsia="仿宋_GB2312" w:cs="Times New Roman"/>
          <w:kern w:val="2"/>
          <w:sz w:val="28"/>
          <w:szCs w:val="28"/>
          <w:lang w:eastAsia="zh-CN"/>
        </w:rPr>
        <w:t>3</w:t>
      </w:r>
      <w:r>
        <w:rPr>
          <w:rFonts w:ascii="Times New Roman" w:hAnsi="仿宋_GB2312" w:eastAsia="仿宋_GB2312" w:cs="Times New Roman"/>
          <w:kern w:val="2"/>
          <w:sz w:val="28"/>
          <w:szCs w:val="28"/>
          <w:lang w:eastAsia="zh-CN"/>
        </w:rPr>
        <w:t>）触电事故</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仿宋_GB2312" w:hAnsi="仿宋_GB2312" w:eastAsia="仿宋_GB2312" w:cs="Times New Roman"/>
          <w:kern w:val="2"/>
          <w:sz w:val="28"/>
          <w:szCs w:val="28"/>
          <w:lang w:eastAsia="zh-CN"/>
        </w:rPr>
        <w:t>①</w:t>
      </w:r>
      <w:r>
        <w:rPr>
          <w:rFonts w:ascii="Times New Roman" w:hAnsi="仿宋_GB2312" w:eastAsia="仿宋_GB2312" w:cs="Times New Roman"/>
          <w:kern w:val="2"/>
          <w:sz w:val="28"/>
          <w:szCs w:val="28"/>
          <w:lang w:eastAsia="zh-CN"/>
        </w:rPr>
        <w:t>一旦发生触电事故，首先要在安全的情况下使触电者尽快脱离电源。</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仿宋_GB2312" w:hAnsi="仿宋_GB2312" w:eastAsia="仿宋_GB2312" w:cs="Times New Roman"/>
          <w:kern w:val="2"/>
          <w:sz w:val="28"/>
          <w:szCs w:val="28"/>
          <w:lang w:eastAsia="zh-CN"/>
        </w:rPr>
        <w:t>②</w:t>
      </w:r>
      <w:r>
        <w:rPr>
          <w:rFonts w:ascii="Times New Roman" w:hAnsi="仿宋_GB2312" w:eastAsia="仿宋_GB2312" w:cs="Times New Roman"/>
          <w:kern w:val="2"/>
          <w:sz w:val="28"/>
          <w:szCs w:val="28"/>
          <w:lang w:eastAsia="zh-CN"/>
        </w:rPr>
        <w:t>责任人员负责协调救援工作，下达救援指令等工作。并向承办单位相关部门及主要领导报告救援信息。</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仿宋_GB2312" w:hAnsi="仿宋_GB2312" w:eastAsia="仿宋_GB2312" w:cs="Times New Roman"/>
          <w:kern w:val="2"/>
          <w:sz w:val="28"/>
          <w:szCs w:val="28"/>
          <w:lang w:eastAsia="zh-CN"/>
        </w:rPr>
        <w:t>③</w:t>
      </w:r>
      <w:r>
        <w:rPr>
          <w:rFonts w:ascii="Times New Roman" w:hAnsi="仿宋_GB2312" w:eastAsia="仿宋_GB2312" w:cs="Times New Roman"/>
          <w:kern w:val="2"/>
          <w:sz w:val="28"/>
          <w:szCs w:val="28"/>
          <w:lang w:eastAsia="zh-CN"/>
        </w:rPr>
        <w:t>根据触电者症状及时进行现场紧急救护。触电者脱离电源后，救护者应立即将其就近移至干燥通风处，可依不同情况酌情实施救护。</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仿宋_GB2312" w:hAnsi="仿宋_GB2312" w:eastAsia="仿宋_GB2312" w:cs="Times New Roman"/>
          <w:kern w:val="2"/>
          <w:sz w:val="28"/>
          <w:szCs w:val="28"/>
          <w:lang w:eastAsia="zh-CN"/>
        </w:rPr>
        <w:t>④</w:t>
      </w:r>
      <w:r>
        <w:rPr>
          <w:rFonts w:ascii="Times New Roman" w:hAnsi="仿宋_GB2312" w:eastAsia="仿宋_GB2312" w:cs="Times New Roman"/>
          <w:kern w:val="2"/>
          <w:sz w:val="28"/>
          <w:szCs w:val="28"/>
          <w:lang w:eastAsia="zh-CN"/>
        </w:rPr>
        <w:t>组织人员对事发场地外围进行封锁，严禁无关人员进入，防止造成更大灾害。</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仿宋_GB2312" w:hAnsi="仿宋_GB2312" w:eastAsia="仿宋_GB2312" w:cs="Times New Roman"/>
          <w:kern w:val="2"/>
          <w:sz w:val="28"/>
          <w:szCs w:val="28"/>
          <w:lang w:eastAsia="zh-CN"/>
        </w:rPr>
        <w:t>⑤</w:t>
      </w:r>
      <w:r>
        <w:rPr>
          <w:rFonts w:ascii="Times New Roman" w:hAnsi="仿宋_GB2312" w:eastAsia="仿宋_GB2312" w:cs="Times New Roman"/>
          <w:kern w:val="2"/>
          <w:sz w:val="28"/>
          <w:szCs w:val="28"/>
          <w:lang w:eastAsia="zh-CN"/>
        </w:rPr>
        <w:t>立即联系医疗救护人员到现场进行医疗救护工作，同时拨打</w:t>
      </w:r>
      <w:r>
        <w:rPr>
          <w:rFonts w:ascii="Times New Roman" w:hAnsi="Times New Roman" w:eastAsia="仿宋_GB2312" w:cs="Times New Roman"/>
          <w:kern w:val="2"/>
          <w:sz w:val="28"/>
          <w:szCs w:val="28"/>
          <w:lang w:eastAsia="zh-CN"/>
        </w:rPr>
        <w:t>120</w:t>
      </w:r>
      <w:r>
        <w:rPr>
          <w:rFonts w:ascii="Times New Roman" w:hAnsi="仿宋_GB2312" w:eastAsia="仿宋_GB2312" w:cs="Times New Roman"/>
          <w:kern w:val="2"/>
          <w:sz w:val="28"/>
          <w:szCs w:val="28"/>
          <w:lang w:eastAsia="zh-CN"/>
        </w:rPr>
        <w:t>急救电话。</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3.</w:t>
      </w:r>
      <w:r>
        <w:rPr>
          <w:rFonts w:ascii="Times New Roman" w:hAnsi="仿宋_GB2312" w:eastAsia="仿宋_GB2312" w:cs="Times New Roman"/>
          <w:kern w:val="2"/>
          <w:sz w:val="28"/>
          <w:szCs w:val="28"/>
          <w:lang w:eastAsia="zh-CN"/>
        </w:rPr>
        <w:t>其他设备安全事故</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w:t>
      </w: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）玻璃器皿使用</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仿宋_GB2312" w:hAnsi="仿宋_GB2312" w:eastAsia="仿宋_GB2312" w:cs="Times New Roman"/>
          <w:kern w:val="2"/>
          <w:sz w:val="28"/>
          <w:szCs w:val="28"/>
          <w:lang w:eastAsia="zh-CN"/>
        </w:rPr>
        <w:t>①</w:t>
      </w:r>
      <w:r>
        <w:rPr>
          <w:rFonts w:ascii="Times New Roman" w:hAnsi="仿宋_GB2312" w:eastAsia="仿宋_GB2312" w:cs="Times New Roman"/>
          <w:kern w:val="2"/>
          <w:sz w:val="28"/>
          <w:szCs w:val="28"/>
          <w:lang w:eastAsia="zh-CN"/>
        </w:rPr>
        <w:t>玻璃器皿要按规定使用，防止破碎及产生继生伤害事故。</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仿宋_GB2312" w:hAnsi="仿宋_GB2312" w:eastAsia="仿宋_GB2312" w:cs="Times New Roman"/>
          <w:kern w:val="2"/>
          <w:sz w:val="28"/>
          <w:szCs w:val="28"/>
          <w:lang w:eastAsia="zh-CN"/>
        </w:rPr>
        <w:t>②</w:t>
      </w:r>
      <w:r>
        <w:rPr>
          <w:rFonts w:ascii="Times New Roman" w:hAnsi="仿宋_GB2312" w:eastAsia="仿宋_GB2312" w:cs="Times New Roman"/>
          <w:kern w:val="2"/>
          <w:sz w:val="28"/>
          <w:szCs w:val="28"/>
          <w:lang w:eastAsia="zh-CN"/>
        </w:rPr>
        <w:t>发生玻璃割伤事故，由现场人员依不同情况酌情实施急救，并及时上报。</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仿宋_GB2312" w:hAnsi="仿宋_GB2312" w:eastAsia="仿宋_GB2312" w:cs="Times New Roman"/>
          <w:kern w:val="2"/>
          <w:sz w:val="28"/>
          <w:szCs w:val="28"/>
          <w:lang w:eastAsia="zh-CN"/>
        </w:rPr>
        <w:t>③</w:t>
      </w:r>
      <w:r>
        <w:rPr>
          <w:rFonts w:ascii="Times New Roman" w:hAnsi="仿宋_GB2312" w:eastAsia="仿宋_GB2312" w:cs="Times New Roman"/>
          <w:kern w:val="2"/>
          <w:sz w:val="28"/>
          <w:szCs w:val="28"/>
          <w:lang w:eastAsia="zh-CN"/>
        </w:rPr>
        <w:t>情况严重时由责任人员立即联系医疗救护人员到现场进行医疗救护工作。或同时拨打</w:t>
      </w:r>
      <w:r>
        <w:rPr>
          <w:rFonts w:ascii="Times New Roman" w:hAnsi="Times New Roman" w:eastAsia="仿宋_GB2312" w:cs="Times New Roman"/>
          <w:kern w:val="2"/>
          <w:sz w:val="28"/>
          <w:szCs w:val="28"/>
          <w:lang w:eastAsia="zh-CN"/>
        </w:rPr>
        <w:t>120</w:t>
      </w:r>
      <w:r>
        <w:rPr>
          <w:rFonts w:ascii="Times New Roman" w:hAnsi="仿宋_GB2312" w:eastAsia="仿宋_GB2312" w:cs="Times New Roman"/>
          <w:kern w:val="2"/>
          <w:sz w:val="28"/>
          <w:szCs w:val="28"/>
          <w:lang w:eastAsia="zh-CN"/>
        </w:rPr>
        <w:t>急救电话。</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仿宋_GB2312" w:eastAsia="仿宋_GB2312" w:cs="Times New Roman"/>
          <w:kern w:val="2"/>
          <w:sz w:val="28"/>
          <w:szCs w:val="28"/>
          <w:lang w:eastAsia="zh-CN"/>
        </w:rPr>
        <w:t>（</w:t>
      </w:r>
      <w:r>
        <w:rPr>
          <w:rFonts w:ascii="Times New Roman" w:hAnsi="Times New Roman" w:eastAsia="仿宋_GB2312" w:cs="Times New Roman"/>
          <w:kern w:val="2"/>
          <w:sz w:val="28"/>
          <w:szCs w:val="28"/>
          <w:lang w:eastAsia="zh-CN"/>
        </w:rPr>
        <w:t>2</w:t>
      </w:r>
      <w:r>
        <w:rPr>
          <w:rFonts w:ascii="Times New Roman" w:hAnsi="仿宋_GB2312" w:eastAsia="仿宋_GB2312" w:cs="Times New Roman"/>
          <w:kern w:val="2"/>
          <w:sz w:val="28"/>
          <w:szCs w:val="28"/>
          <w:lang w:eastAsia="zh-CN"/>
        </w:rPr>
        <w:t>）精密仪器</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仿宋_GB2312" w:hAnsi="仿宋_GB2312" w:eastAsia="仿宋_GB2312" w:cs="Times New Roman"/>
          <w:kern w:val="2"/>
          <w:sz w:val="28"/>
          <w:szCs w:val="28"/>
          <w:lang w:eastAsia="zh-CN"/>
        </w:rPr>
        <w:t>①</w:t>
      </w:r>
      <w:r>
        <w:rPr>
          <w:rFonts w:ascii="Times New Roman" w:hAnsi="仿宋_GB2312" w:eastAsia="仿宋_GB2312" w:cs="Times New Roman"/>
          <w:kern w:val="2"/>
          <w:sz w:val="28"/>
          <w:szCs w:val="28"/>
          <w:lang w:eastAsia="zh-CN"/>
        </w:rPr>
        <w:t>精密仪器要按规定使用，防止触电及产生继生伤害事故。</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仿宋_GB2312" w:hAnsi="仿宋_GB2312" w:eastAsia="仿宋_GB2312" w:cs="Times New Roman"/>
          <w:kern w:val="2"/>
          <w:sz w:val="28"/>
          <w:szCs w:val="28"/>
          <w:lang w:eastAsia="zh-CN"/>
        </w:rPr>
        <w:t>②</w:t>
      </w:r>
      <w:r>
        <w:rPr>
          <w:rFonts w:ascii="Times New Roman" w:hAnsi="仿宋_GB2312" w:eastAsia="仿宋_GB2312" w:cs="Times New Roman"/>
          <w:kern w:val="2"/>
          <w:sz w:val="28"/>
          <w:szCs w:val="28"/>
          <w:lang w:eastAsia="zh-CN"/>
        </w:rPr>
        <w:t>如遇仪器产生故障，由责任人员负责更换。</w:t>
      </w:r>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49" w:name="_Toc51745474"/>
      <w:r>
        <w:rPr>
          <w:rFonts w:ascii="Times New Roman" w:hAnsi="仿宋_GB2312" w:eastAsia="仿宋_GB2312" w:cs="Times New Roman"/>
          <w:b/>
          <w:bCs/>
          <w:kern w:val="2"/>
          <w:sz w:val="28"/>
          <w:szCs w:val="28"/>
          <w:lang w:eastAsia="zh-CN"/>
        </w:rPr>
        <w:t>（四）疫情下防控要点</w:t>
      </w:r>
      <w:bookmarkEnd w:id="49"/>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赛前了解所有选手的健康状况，对于出现咳嗽发烧等症状的选手，禁止参加比赛。</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2.</w:t>
      </w:r>
      <w:r>
        <w:rPr>
          <w:rFonts w:ascii="Times New Roman" w:hAnsi="仿宋_GB2312" w:eastAsia="仿宋_GB2312" w:cs="Times New Roman"/>
          <w:kern w:val="2"/>
          <w:sz w:val="28"/>
          <w:szCs w:val="28"/>
          <w:lang w:eastAsia="zh-CN"/>
        </w:rPr>
        <w:t>对赛区实行封闭式管理，非选手和工作人员不得入内。</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3.</w:t>
      </w:r>
      <w:r>
        <w:rPr>
          <w:rFonts w:ascii="Times New Roman" w:hAnsi="仿宋_GB2312" w:eastAsia="仿宋_GB2312" w:cs="Times New Roman"/>
          <w:kern w:val="2"/>
          <w:sz w:val="28"/>
          <w:szCs w:val="28"/>
          <w:lang w:eastAsia="zh-CN"/>
        </w:rPr>
        <w:t>赛前工作人员全部打开赛场窗户，确保通风。赛前和每一场比赛结束后，对赛区和考场环境进行全面消毒，不留死角。</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4.</w:t>
      </w:r>
      <w:r>
        <w:rPr>
          <w:rFonts w:ascii="Times New Roman" w:hAnsi="仿宋_GB2312" w:eastAsia="仿宋_GB2312" w:cs="Times New Roman"/>
          <w:kern w:val="2"/>
          <w:sz w:val="28"/>
          <w:szCs w:val="28"/>
          <w:lang w:eastAsia="zh-CN"/>
        </w:rPr>
        <w:t>赛位原则上间隔</w:t>
      </w: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米。准备备用隔离赛场，预防突发情况。</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5.</w:t>
      </w:r>
      <w:r>
        <w:rPr>
          <w:rFonts w:ascii="Times New Roman" w:hAnsi="仿宋_GB2312" w:eastAsia="仿宋_GB2312" w:cs="Times New Roman"/>
          <w:kern w:val="2"/>
          <w:sz w:val="28"/>
          <w:szCs w:val="28"/>
          <w:lang w:eastAsia="zh-CN"/>
        </w:rPr>
        <w:t>所有选手和工作人员进入赛区前都要进行体温测量，查验健康码，体温超过</w:t>
      </w:r>
      <w:r>
        <w:rPr>
          <w:rFonts w:ascii="Times New Roman" w:hAnsi="Times New Roman" w:eastAsia="仿宋_GB2312" w:cs="Times New Roman"/>
          <w:kern w:val="2"/>
          <w:sz w:val="28"/>
          <w:szCs w:val="28"/>
          <w:lang w:eastAsia="zh-CN"/>
        </w:rPr>
        <w:t xml:space="preserve"> 37.3 </w:t>
      </w:r>
      <w:r>
        <w:rPr>
          <w:rFonts w:ascii="Times New Roman" w:hAnsi="仿宋_GB2312" w:eastAsia="仿宋_GB2312" w:cs="Times New Roman"/>
          <w:kern w:val="2"/>
          <w:sz w:val="28"/>
          <w:szCs w:val="28"/>
          <w:lang w:eastAsia="zh-CN"/>
        </w:rPr>
        <w:t>度和健康码显示健康状况异常者不得进入赛区。</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6.</w:t>
      </w:r>
      <w:r>
        <w:rPr>
          <w:rFonts w:ascii="Times New Roman" w:hAnsi="仿宋_GB2312" w:eastAsia="仿宋_GB2312" w:cs="Times New Roman"/>
          <w:kern w:val="2"/>
          <w:sz w:val="28"/>
          <w:szCs w:val="28"/>
          <w:lang w:eastAsia="zh-CN"/>
        </w:rPr>
        <w:t>所有选手和工作人员必须全程佩戴口罩，没有佩戴口罩的人员不准进入考点。</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7.</w:t>
      </w:r>
      <w:r>
        <w:rPr>
          <w:rFonts w:ascii="Times New Roman" w:hAnsi="仿宋_GB2312" w:eastAsia="仿宋_GB2312" w:cs="Times New Roman"/>
          <w:kern w:val="2"/>
          <w:sz w:val="28"/>
          <w:szCs w:val="28"/>
          <w:lang w:eastAsia="zh-CN"/>
        </w:rPr>
        <w:t>赛区配备洗手液，提醒选手和工作人员在赛前和赛后使用。</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8.</w:t>
      </w:r>
      <w:r>
        <w:rPr>
          <w:rFonts w:ascii="Times New Roman" w:hAnsi="仿宋_GB2312" w:eastAsia="仿宋_GB2312" w:cs="Times New Roman"/>
          <w:kern w:val="2"/>
          <w:sz w:val="28"/>
          <w:szCs w:val="28"/>
          <w:lang w:eastAsia="zh-CN"/>
        </w:rPr>
        <w:t>安排医务人员在比赛现场值班。比赛过程中如果发现选手突然出现发热状况，由专人护送至备用隔离赛场参加比赛，或者中止其比赛。医务人员到场处置并做好情况登记工作，必要时请求属地卫生部门协助。</w:t>
      </w:r>
    </w:p>
    <w:p>
      <w:pPr>
        <w:spacing w:line="560" w:lineRule="exact"/>
        <w:ind w:firstLine="562" w:firstLineChars="200"/>
        <w:jc w:val="both"/>
        <w:rPr>
          <w:rFonts w:ascii="Times New Roman" w:hAnsi="Times New Roman" w:eastAsia="仿宋_GB2312" w:cs="Times New Roman"/>
          <w:b/>
          <w:kern w:val="2"/>
          <w:sz w:val="28"/>
          <w:szCs w:val="28"/>
          <w:lang w:eastAsia="zh-CN"/>
        </w:rPr>
      </w:pPr>
      <w:bookmarkStart w:id="50" w:name="_Toc51745475"/>
      <w:r>
        <w:rPr>
          <w:rFonts w:ascii="Times New Roman" w:hAnsi="仿宋_GB2312" w:eastAsia="仿宋_GB2312" w:cs="Times New Roman"/>
          <w:b/>
          <w:kern w:val="2"/>
          <w:sz w:val="28"/>
          <w:szCs w:val="28"/>
          <w:lang w:eastAsia="zh-CN"/>
        </w:rPr>
        <w:t>十四、赛项安全</w:t>
      </w:r>
      <w:bookmarkEnd w:id="50"/>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51" w:name="_Toc51745476"/>
      <w:r>
        <w:rPr>
          <w:rFonts w:ascii="Times New Roman" w:hAnsi="仿宋_GB2312" w:eastAsia="仿宋_GB2312" w:cs="Times New Roman"/>
          <w:b/>
          <w:bCs/>
          <w:kern w:val="2"/>
          <w:sz w:val="28"/>
          <w:szCs w:val="28"/>
          <w:lang w:eastAsia="zh-CN"/>
        </w:rPr>
        <w:t>（一）安全操作</w:t>
      </w:r>
      <w:bookmarkEnd w:id="51"/>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参赛人员必须按规定穿戴好劳动防护服装。</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2.</w:t>
      </w:r>
      <w:r>
        <w:rPr>
          <w:rFonts w:ascii="Times New Roman" w:hAnsi="仿宋_GB2312" w:eastAsia="仿宋_GB2312" w:cs="Times New Roman"/>
          <w:kern w:val="2"/>
          <w:sz w:val="28"/>
          <w:szCs w:val="28"/>
          <w:lang w:eastAsia="zh-CN"/>
        </w:rPr>
        <w:t>参赛选手在比赛过程中，要注意安全用电，不要用湿手、湿物接触电源，比赛结束后应关闭电源。</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3.</w:t>
      </w:r>
      <w:r>
        <w:rPr>
          <w:rFonts w:ascii="Times New Roman" w:hAnsi="仿宋_GB2312" w:eastAsia="仿宋_GB2312" w:cs="Times New Roman"/>
          <w:kern w:val="2"/>
          <w:sz w:val="28"/>
          <w:szCs w:val="28"/>
          <w:lang w:eastAsia="zh-CN"/>
        </w:rPr>
        <w:t>要熟悉掌握实验中的注意事项和化学试剂特性，严禁进行具有安全风险的操作。</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4.</w:t>
      </w:r>
      <w:r>
        <w:rPr>
          <w:rFonts w:ascii="Times New Roman" w:hAnsi="仿宋_GB2312" w:eastAsia="仿宋_GB2312" w:cs="Times New Roman"/>
          <w:kern w:val="2"/>
          <w:sz w:val="28"/>
          <w:szCs w:val="28"/>
          <w:lang w:eastAsia="zh-CN"/>
        </w:rPr>
        <w:t>比赛期间，若突遇停电、停水等突发状况，应及时通知裁判，冷静处置。</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5.</w:t>
      </w:r>
      <w:r>
        <w:rPr>
          <w:rFonts w:ascii="Times New Roman" w:hAnsi="仿宋_GB2312" w:eastAsia="仿宋_GB2312" w:cs="Times New Roman"/>
          <w:kern w:val="2"/>
          <w:sz w:val="28"/>
          <w:szCs w:val="28"/>
          <w:lang w:eastAsia="zh-CN"/>
        </w:rPr>
        <w:t>严禁在比赛场地内饮食或把餐具带进比赛场地，更不能把比赛用器皿当作餐具。</w:t>
      </w:r>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52" w:name="_Toc51745477"/>
      <w:r>
        <w:rPr>
          <w:rFonts w:ascii="Times New Roman" w:hAnsi="仿宋_GB2312" w:eastAsia="仿宋_GB2312" w:cs="Times New Roman"/>
          <w:b/>
          <w:bCs/>
          <w:kern w:val="2"/>
          <w:sz w:val="28"/>
          <w:szCs w:val="28"/>
          <w:lang w:eastAsia="zh-CN"/>
        </w:rPr>
        <w:t>（二）赛场安全保障</w:t>
      </w:r>
      <w:bookmarkEnd w:id="52"/>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领队、裁判、指导教师及参赛选手等所有人员佩戴标志分别进入指定区域，并主动向安保管理人员出示。</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2.</w:t>
      </w:r>
      <w:r>
        <w:rPr>
          <w:rFonts w:ascii="Times New Roman" w:hAnsi="仿宋_GB2312" w:eastAsia="仿宋_GB2312" w:cs="Times New Roman"/>
          <w:kern w:val="2"/>
          <w:sz w:val="28"/>
          <w:szCs w:val="28"/>
          <w:lang w:eastAsia="zh-CN"/>
        </w:rPr>
        <w:t>领队、裁判、指导教师及参赛选手等所有人员不准携带液体饮料、管制器械及易燃易爆等危险物品进入指定区域。</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3.</w:t>
      </w:r>
      <w:r>
        <w:rPr>
          <w:rFonts w:ascii="Times New Roman" w:hAnsi="仿宋_GB2312" w:eastAsia="仿宋_GB2312" w:cs="Times New Roman"/>
          <w:kern w:val="2"/>
          <w:sz w:val="28"/>
          <w:szCs w:val="28"/>
          <w:lang w:eastAsia="zh-CN"/>
        </w:rPr>
        <w:t>领队、裁判、指导教师及参赛选手等所有人员不准在指定区域和禁烟区吸烟。</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4.</w:t>
      </w:r>
      <w:r>
        <w:rPr>
          <w:rFonts w:ascii="Times New Roman" w:hAnsi="仿宋_GB2312" w:eastAsia="仿宋_GB2312" w:cs="Times New Roman"/>
          <w:kern w:val="2"/>
          <w:sz w:val="28"/>
          <w:szCs w:val="28"/>
          <w:lang w:eastAsia="zh-CN"/>
        </w:rPr>
        <w:t>听从指挥，在规定区域内活动，不得擅自离开。</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5.</w:t>
      </w:r>
      <w:r>
        <w:rPr>
          <w:rFonts w:ascii="Times New Roman" w:hAnsi="仿宋_GB2312" w:eastAsia="仿宋_GB2312" w:cs="Times New Roman"/>
          <w:kern w:val="2"/>
          <w:sz w:val="28"/>
          <w:szCs w:val="28"/>
          <w:lang w:eastAsia="zh-CN"/>
        </w:rPr>
        <w:t>参赛人员要妥善保管个人财物。</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6.</w:t>
      </w:r>
      <w:r>
        <w:rPr>
          <w:rFonts w:ascii="Times New Roman" w:hAnsi="仿宋_GB2312" w:eastAsia="仿宋_GB2312" w:cs="Times New Roman"/>
          <w:kern w:val="2"/>
          <w:sz w:val="28"/>
          <w:szCs w:val="28"/>
          <w:lang w:eastAsia="zh-CN"/>
        </w:rPr>
        <w:t>比赛期间如发生火情等特殊情况，要保持镇静，在第一时间向现场工作人员报告，并按照现场工作人员的统一指挥，参与扑救或有序撤离。</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7.</w:t>
      </w:r>
      <w:r>
        <w:rPr>
          <w:rFonts w:ascii="Times New Roman" w:hAnsi="仿宋_GB2312" w:eastAsia="仿宋_GB2312" w:cs="Times New Roman"/>
          <w:kern w:val="2"/>
          <w:sz w:val="28"/>
          <w:szCs w:val="28"/>
          <w:lang w:eastAsia="zh-CN"/>
        </w:rPr>
        <w:t>比赛期间一旦发生人员意外伤害或紧急突发病情，要服从现场救护人员指挥，医护人员要立即进入紧急施救状态，采取积极有效的医疗救治措施，对症处理快速解决；遇有病情严重情况时，要尽快指派专人护送病人到医院进行救治。</w:t>
      </w:r>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53" w:name="_Toc51745478"/>
      <w:r>
        <w:rPr>
          <w:rFonts w:ascii="Times New Roman" w:hAnsi="仿宋_GB2312" w:eastAsia="仿宋_GB2312" w:cs="Times New Roman"/>
          <w:b/>
          <w:bCs/>
          <w:kern w:val="2"/>
          <w:sz w:val="28"/>
          <w:szCs w:val="28"/>
          <w:lang w:eastAsia="zh-CN"/>
        </w:rPr>
        <w:t>（三）安保工作要求</w:t>
      </w:r>
      <w:bookmarkEnd w:id="53"/>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在发生突发事件时安保工作负责人要掌握信息，统一布置工作，其他人员不得干扰。</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2.</w:t>
      </w:r>
      <w:r>
        <w:rPr>
          <w:rFonts w:ascii="Times New Roman" w:hAnsi="仿宋_GB2312" w:eastAsia="仿宋_GB2312" w:cs="Times New Roman"/>
          <w:kern w:val="2"/>
          <w:sz w:val="28"/>
          <w:szCs w:val="28"/>
          <w:lang w:eastAsia="zh-CN"/>
        </w:rPr>
        <w:t>发生突发事件时，全体安全保卫人员必须服从命令、听众指挥，以大局为重，不得顶撞、拖延或临时逃脱。</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3.</w:t>
      </w:r>
      <w:r>
        <w:rPr>
          <w:rFonts w:ascii="Times New Roman" w:hAnsi="仿宋_GB2312" w:eastAsia="仿宋_GB2312" w:cs="Times New Roman"/>
          <w:kern w:val="2"/>
          <w:sz w:val="28"/>
          <w:szCs w:val="28"/>
          <w:lang w:eastAsia="zh-CN"/>
        </w:rPr>
        <w:t>突发事件发生时，全体安全保卫人员要坚守岗位、尽职尽责，在未接到撤岗指令之前，不得离开岗位。</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4.</w:t>
      </w:r>
      <w:r>
        <w:rPr>
          <w:rFonts w:ascii="Times New Roman" w:hAnsi="仿宋_GB2312" w:eastAsia="仿宋_GB2312" w:cs="Times New Roman"/>
          <w:kern w:val="2"/>
          <w:sz w:val="28"/>
          <w:szCs w:val="28"/>
          <w:lang w:eastAsia="zh-CN"/>
        </w:rPr>
        <w:t>发现安全隐患或突发事件时，现场人员应立即向保卫组汇报，保卫组接报后要火速到达案发现场，指挥并配合公安干警及安全保卫人员搞好抢救工作。</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5.</w:t>
      </w:r>
      <w:r>
        <w:rPr>
          <w:rFonts w:ascii="Times New Roman" w:hAnsi="仿宋_GB2312" w:eastAsia="仿宋_GB2312" w:cs="Times New Roman"/>
          <w:kern w:val="2"/>
          <w:sz w:val="28"/>
          <w:szCs w:val="28"/>
          <w:lang w:eastAsia="zh-CN"/>
        </w:rPr>
        <w:t>视突发事件的具体情况，分别向上级主管部门和相关部门报告，并立即启动《赛区安全保卫突发事件处理预案》。</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6.</w:t>
      </w:r>
      <w:r>
        <w:rPr>
          <w:rFonts w:ascii="Times New Roman" w:hAnsi="仿宋_GB2312" w:eastAsia="仿宋_GB2312" w:cs="Times New Roman"/>
          <w:kern w:val="2"/>
          <w:sz w:val="28"/>
          <w:szCs w:val="28"/>
          <w:lang w:eastAsia="zh-CN"/>
        </w:rPr>
        <w:t>发生火警和恶性事件时，现场人员应主动向公安机关报警并向领导汇报，立即组织抢救，以免贻误时机；启用消防应急广播，通知疏散路线，稳定人心，避免踩踏伤人。</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7.</w:t>
      </w:r>
      <w:r>
        <w:rPr>
          <w:rFonts w:ascii="Times New Roman" w:hAnsi="仿宋_GB2312" w:eastAsia="仿宋_GB2312" w:cs="Times New Roman"/>
          <w:kern w:val="2"/>
          <w:sz w:val="28"/>
          <w:szCs w:val="28"/>
          <w:lang w:eastAsia="zh-CN"/>
        </w:rPr>
        <w:t>安全出口执勤人员，接到指令后立即打开出口门，疏导参赛人员有序撤离现场。</w:t>
      </w:r>
    </w:p>
    <w:p>
      <w:pPr>
        <w:spacing w:line="560" w:lineRule="exact"/>
        <w:ind w:firstLine="562" w:firstLineChars="200"/>
        <w:jc w:val="both"/>
        <w:rPr>
          <w:rFonts w:ascii="Times New Roman" w:hAnsi="Times New Roman" w:eastAsia="仿宋_GB2312" w:cs="Times New Roman"/>
          <w:b/>
          <w:kern w:val="2"/>
          <w:sz w:val="28"/>
          <w:szCs w:val="28"/>
          <w:lang w:eastAsia="zh-CN"/>
        </w:rPr>
      </w:pPr>
      <w:bookmarkStart w:id="54" w:name="_Toc51745479"/>
      <w:r>
        <w:rPr>
          <w:rFonts w:ascii="Times New Roman" w:hAnsi="仿宋_GB2312" w:eastAsia="仿宋_GB2312" w:cs="Times New Roman"/>
          <w:b/>
          <w:kern w:val="2"/>
          <w:sz w:val="28"/>
          <w:szCs w:val="28"/>
          <w:lang w:eastAsia="zh-CN"/>
        </w:rPr>
        <w:t>十五、竞赛须知</w:t>
      </w:r>
      <w:bookmarkEnd w:id="54"/>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55" w:name="_Toc51745480"/>
      <w:r>
        <w:rPr>
          <w:rFonts w:ascii="Times New Roman" w:hAnsi="仿宋_GB2312" w:eastAsia="仿宋_GB2312" w:cs="Times New Roman"/>
          <w:b/>
          <w:bCs/>
          <w:kern w:val="2"/>
          <w:sz w:val="28"/>
          <w:szCs w:val="28"/>
          <w:lang w:eastAsia="zh-CN"/>
        </w:rPr>
        <w:t>（一）参赛队须知</w:t>
      </w:r>
      <w:bookmarkEnd w:id="55"/>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参赛队对赛项执委会发布的所有文件要仔细阅读，确切了解大赛时间安排、评判细节等，以保证顺利参加大赛。</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2.</w:t>
      </w:r>
      <w:r>
        <w:rPr>
          <w:rFonts w:ascii="Times New Roman" w:hAnsi="仿宋_GB2312" w:eastAsia="仿宋_GB2312" w:cs="Times New Roman"/>
          <w:kern w:val="2"/>
          <w:sz w:val="28"/>
          <w:szCs w:val="28"/>
          <w:lang w:eastAsia="zh-CN"/>
        </w:rPr>
        <w:t>参赛队领队负责本参赛队的参赛组织和与大赛的联络。</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3.</w:t>
      </w:r>
      <w:r>
        <w:rPr>
          <w:rFonts w:ascii="Times New Roman" w:hAnsi="仿宋_GB2312" w:eastAsia="仿宋_GB2312" w:cs="Times New Roman"/>
          <w:kern w:val="2"/>
          <w:sz w:val="28"/>
          <w:szCs w:val="28"/>
          <w:lang w:eastAsia="zh-CN"/>
        </w:rPr>
        <w:t>比赛前一天，各参赛队按时参加领队会。每场比赛前</w:t>
      </w:r>
      <w:r>
        <w:rPr>
          <w:rFonts w:ascii="Times New Roman" w:hAnsi="Times New Roman" w:eastAsia="仿宋_GB2312" w:cs="Times New Roman"/>
          <w:kern w:val="2"/>
          <w:sz w:val="28"/>
          <w:szCs w:val="28"/>
          <w:lang w:eastAsia="zh-CN"/>
        </w:rPr>
        <w:t>45</w:t>
      </w:r>
      <w:r>
        <w:rPr>
          <w:rFonts w:ascii="Times New Roman" w:hAnsi="仿宋_GB2312" w:eastAsia="仿宋_GB2312" w:cs="Times New Roman"/>
          <w:kern w:val="2"/>
          <w:sz w:val="28"/>
          <w:szCs w:val="28"/>
          <w:lang w:eastAsia="zh-CN"/>
        </w:rPr>
        <w:t>分钟参赛选手在检录处抽取比赛赛位号。</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4.</w:t>
      </w:r>
      <w:r>
        <w:rPr>
          <w:rFonts w:ascii="Times New Roman" w:hAnsi="仿宋_GB2312" w:eastAsia="仿宋_GB2312" w:cs="Times New Roman"/>
          <w:kern w:val="2"/>
          <w:sz w:val="28"/>
          <w:szCs w:val="28"/>
          <w:lang w:eastAsia="zh-CN"/>
        </w:rPr>
        <w:t>参赛选手须认真填写报名表各项内容，提供个人真实身份证明，凡弄虚作假者，将取消其比赛资格。</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5.</w:t>
      </w:r>
      <w:r>
        <w:rPr>
          <w:rFonts w:ascii="Times New Roman" w:hAnsi="仿宋_GB2312" w:eastAsia="仿宋_GB2312" w:cs="Times New Roman"/>
          <w:kern w:val="2"/>
          <w:sz w:val="28"/>
          <w:szCs w:val="28"/>
          <w:lang w:eastAsia="zh-CN"/>
        </w:rPr>
        <w:t>参赛队按照大赛赛程安排和具体时间前往指定地点，各参赛选手凭大赛组委会颁发的参赛证和有效身份证件参加比赛及相关活动。</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6.</w:t>
      </w:r>
      <w:r>
        <w:rPr>
          <w:rFonts w:ascii="Times New Roman" w:hAnsi="仿宋_GB2312" w:eastAsia="仿宋_GB2312" w:cs="Times New Roman"/>
          <w:kern w:val="2"/>
          <w:sz w:val="28"/>
          <w:szCs w:val="28"/>
          <w:lang w:eastAsia="zh-CN"/>
        </w:rPr>
        <w:t>参赛选手比赛服装由赛场统一配备，进入赛场领取，比赛结束交回。</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7.</w:t>
      </w:r>
      <w:r>
        <w:rPr>
          <w:rFonts w:ascii="Times New Roman" w:hAnsi="仿宋_GB2312" w:eastAsia="仿宋_GB2312" w:cs="Times New Roman"/>
          <w:kern w:val="2"/>
          <w:sz w:val="28"/>
          <w:szCs w:val="28"/>
          <w:lang w:eastAsia="zh-CN"/>
        </w:rPr>
        <w:t>参赛选手应自觉遵守赛场纪律，服从裁判、听从指挥。</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8.</w:t>
      </w:r>
      <w:r>
        <w:rPr>
          <w:rFonts w:ascii="Times New Roman" w:hAnsi="仿宋_GB2312" w:eastAsia="仿宋_GB2312" w:cs="Times New Roman"/>
          <w:kern w:val="2"/>
          <w:sz w:val="28"/>
          <w:szCs w:val="28"/>
          <w:lang w:eastAsia="zh-CN"/>
        </w:rPr>
        <w:t>参赛选手证件齐全，选手本人的</w:t>
      </w:r>
      <w:r>
        <w:rPr>
          <w:rFonts w:ascii="Times New Roman" w:hAnsi="仿宋_GB2312" w:eastAsia="仿宋_GB2312" w:cs="Times New Roman"/>
          <w:b/>
          <w:kern w:val="2"/>
          <w:sz w:val="28"/>
          <w:szCs w:val="28"/>
          <w:lang w:eastAsia="zh-CN"/>
        </w:rPr>
        <w:t>参赛证、身份证（或其他有效证件）、检录后赛位号</w:t>
      </w:r>
      <w:r>
        <w:rPr>
          <w:rFonts w:ascii="Times New Roman" w:hAnsi="仿宋_GB2312" w:eastAsia="仿宋_GB2312" w:cs="Times New Roman"/>
          <w:kern w:val="2"/>
          <w:sz w:val="28"/>
          <w:szCs w:val="28"/>
          <w:lang w:eastAsia="zh-CN"/>
        </w:rPr>
        <w:t>严格一致，自行变更参赛选手、参赛赛位的参赛队按作弊处理，取消该参赛队参赛资格。</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9.</w:t>
      </w:r>
      <w:r>
        <w:rPr>
          <w:rFonts w:ascii="Times New Roman" w:hAnsi="仿宋_GB2312" w:eastAsia="仿宋_GB2312" w:cs="Times New Roman"/>
          <w:kern w:val="2"/>
          <w:sz w:val="28"/>
          <w:szCs w:val="28"/>
          <w:lang w:eastAsia="zh-CN"/>
        </w:rPr>
        <w:t>参赛队领队及指导教师做好本单位比赛选手的业务辅导、心理疏导和思想引导工作，对参赛选手及比赛过程报以平和、包容的心态，共同维护竞赛秩序。</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10.</w:t>
      </w:r>
      <w:r>
        <w:rPr>
          <w:rFonts w:ascii="Times New Roman" w:hAnsi="仿宋_GB2312" w:eastAsia="仿宋_GB2312" w:cs="Times New Roman"/>
          <w:kern w:val="2"/>
          <w:sz w:val="28"/>
          <w:szCs w:val="28"/>
          <w:lang w:eastAsia="zh-CN"/>
        </w:rPr>
        <w:t>参赛队自觉遵守竞赛规则，尊重和支持裁判工作，不随意进入比赛现场及其他禁止入内的区域，确保比赛进程的公平、公正、顺畅、高效。</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11.</w:t>
      </w:r>
      <w:r>
        <w:rPr>
          <w:rFonts w:ascii="Times New Roman" w:hAnsi="仿宋_GB2312" w:eastAsia="仿宋_GB2312" w:cs="Times New Roman"/>
          <w:kern w:val="2"/>
          <w:sz w:val="28"/>
          <w:szCs w:val="28"/>
          <w:lang w:eastAsia="zh-CN"/>
        </w:rPr>
        <w:t>当本单位参赛选手对比赛进程中出现异常或疑问，应及时了解情况，客观做出判断，并做好选手的安抚工作，经内部进行协商，认为有必要时可在规定时限内向大赛仲裁委员会反映情况或提出书面仲裁申请。</w:t>
      </w:r>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56" w:name="_Toc51745481"/>
      <w:r>
        <w:rPr>
          <w:rFonts w:ascii="Times New Roman" w:hAnsi="仿宋_GB2312" w:eastAsia="仿宋_GB2312" w:cs="Times New Roman"/>
          <w:b/>
          <w:bCs/>
          <w:kern w:val="2"/>
          <w:sz w:val="28"/>
          <w:szCs w:val="28"/>
          <w:lang w:eastAsia="zh-CN"/>
        </w:rPr>
        <w:t>（二）工作人员须知</w:t>
      </w:r>
      <w:bookmarkEnd w:id="56"/>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树立服务观念，一切为选手着想，以高度负责的精神、严肃认真的态度和严谨细致的作风，积极完成本职任务。</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2.</w:t>
      </w:r>
      <w:r>
        <w:rPr>
          <w:rFonts w:ascii="Times New Roman" w:hAnsi="仿宋_GB2312" w:eastAsia="仿宋_GB2312" w:cs="Times New Roman"/>
          <w:kern w:val="2"/>
          <w:sz w:val="28"/>
          <w:szCs w:val="28"/>
          <w:lang w:eastAsia="zh-CN"/>
        </w:rPr>
        <w:t>按规定统一着装，注意文明礼貌，保持良好形象，熟悉大赛指南。</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3.</w:t>
      </w:r>
      <w:r>
        <w:rPr>
          <w:rFonts w:ascii="Times New Roman" w:hAnsi="仿宋_GB2312" w:eastAsia="仿宋_GB2312" w:cs="Times New Roman"/>
          <w:kern w:val="2"/>
          <w:sz w:val="28"/>
          <w:szCs w:val="28"/>
          <w:lang w:eastAsia="zh-CN"/>
        </w:rPr>
        <w:t>于赛前</w:t>
      </w:r>
      <w:r>
        <w:rPr>
          <w:rFonts w:ascii="Times New Roman" w:hAnsi="Times New Roman" w:eastAsia="仿宋_GB2312" w:cs="Times New Roman"/>
          <w:kern w:val="2"/>
          <w:sz w:val="28"/>
          <w:szCs w:val="28"/>
          <w:lang w:eastAsia="zh-CN"/>
        </w:rPr>
        <w:t>45</w:t>
      </w:r>
      <w:r>
        <w:rPr>
          <w:rFonts w:ascii="Times New Roman" w:hAnsi="仿宋_GB2312" w:eastAsia="仿宋_GB2312" w:cs="Times New Roman"/>
          <w:kern w:val="2"/>
          <w:sz w:val="28"/>
          <w:szCs w:val="28"/>
          <w:lang w:eastAsia="zh-CN"/>
        </w:rPr>
        <w:t>分钟到达赛场或根据岗位要求提前上岗，严守工作岗位，不迟到，不早退，不无故离岗，特殊情况需向赛项执委会请假。</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4.</w:t>
      </w:r>
      <w:r>
        <w:rPr>
          <w:rFonts w:ascii="Times New Roman" w:hAnsi="仿宋_GB2312" w:eastAsia="仿宋_GB2312" w:cs="Times New Roman"/>
          <w:kern w:val="2"/>
          <w:sz w:val="28"/>
          <w:szCs w:val="28"/>
          <w:lang w:eastAsia="zh-CN"/>
        </w:rPr>
        <w:t>熟悉竞赛规程，严格按照工作程序和有关规定办事，遇突发事件，按照安全工作预案，组织指挥人员疏散，确保人员安全。</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5.</w:t>
      </w:r>
      <w:r>
        <w:rPr>
          <w:rFonts w:ascii="Times New Roman" w:hAnsi="仿宋_GB2312" w:eastAsia="仿宋_GB2312" w:cs="Times New Roman"/>
          <w:kern w:val="2"/>
          <w:sz w:val="28"/>
          <w:szCs w:val="28"/>
          <w:lang w:eastAsia="zh-CN"/>
        </w:rPr>
        <w:t>保持通信畅通，服从统一领导，严格遵守竞赛纪律，加强协作配合，提高工作效率。</w:t>
      </w:r>
    </w:p>
    <w:p>
      <w:pPr>
        <w:tabs>
          <w:tab w:val="left" w:pos="6120"/>
        </w:tabs>
        <w:spacing w:line="560" w:lineRule="exact"/>
        <w:ind w:firstLine="562" w:firstLineChars="200"/>
        <w:jc w:val="both"/>
        <w:outlineLvl w:val="1"/>
        <w:rPr>
          <w:rFonts w:ascii="Times New Roman" w:hAnsi="Times New Roman" w:eastAsia="仿宋_GB2312" w:cs="Times New Roman"/>
          <w:b/>
          <w:bCs/>
          <w:kern w:val="2"/>
          <w:sz w:val="28"/>
          <w:szCs w:val="28"/>
          <w:lang w:eastAsia="zh-CN"/>
        </w:rPr>
      </w:pPr>
      <w:bookmarkStart w:id="57" w:name="_Toc51745482"/>
      <w:r>
        <w:rPr>
          <w:rFonts w:ascii="Times New Roman" w:hAnsi="仿宋_GB2312" w:eastAsia="仿宋_GB2312" w:cs="Times New Roman"/>
          <w:b/>
          <w:bCs/>
          <w:kern w:val="2"/>
          <w:sz w:val="28"/>
          <w:szCs w:val="28"/>
          <w:lang w:eastAsia="zh-CN"/>
        </w:rPr>
        <w:t>（三）裁判员须知</w:t>
      </w:r>
      <w:bookmarkEnd w:id="57"/>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实行回避制度，裁判员不得担任自己所在参赛省（自治区、直辖市，计划单列市，新疆生产建设兵团）选手的竞赛裁判工作，不得与参赛选手及相关人员接触联系。</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2.</w:t>
      </w:r>
      <w:r>
        <w:rPr>
          <w:rFonts w:ascii="Times New Roman" w:hAnsi="仿宋_GB2312" w:eastAsia="仿宋_GB2312" w:cs="Times New Roman"/>
          <w:kern w:val="2"/>
          <w:sz w:val="28"/>
          <w:szCs w:val="28"/>
          <w:lang w:eastAsia="zh-CN"/>
        </w:rPr>
        <w:t>裁判员仪表整洁统一着装，并佩带裁判员的胸卡；语言、举止文明礼貌，主动接受仲裁组成员、监督组成员和参赛人员的监督。</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3.</w:t>
      </w:r>
      <w:r>
        <w:rPr>
          <w:rFonts w:ascii="Times New Roman" w:hAnsi="仿宋_GB2312" w:eastAsia="仿宋_GB2312" w:cs="Times New Roman"/>
          <w:kern w:val="2"/>
          <w:sz w:val="28"/>
          <w:szCs w:val="28"/>
          <w:lang w:eastAsia="zh-CN"/>
        </w:rPr>
        <w:t>按制度和程序领取试卷、文件和物品。</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4.</w:t>
      </w:r>
      <w:r>
        <w:rPr>
          <w:rFonts w:ascii="Times New Roman" w:hAnsi="仿宋_GB2312" w:eastAsia="仿宋_GB2312" w:cs="Times New Roman"/>
          <w:kern w:val="2"/>
          <w:sz w:val="28"/>
          <w:szCs w:val="28"/>
          <w:lang w:eastAsia="zh-CN"/>
        </w:rPr>
        <w:t>裁判员和选手共同进行赛前检查，清点比赛使用仪器设备，确认设备完好。</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5.</w:t>
      </w:r>
      <w:r>
        <w:rPr>
          <w:rFonts w:ascii="Times New Roman" w:hAnsi="仿宋_GB2312" w:eastAsia="仿宋_GB2312" w:cs="Times New Roman"/>
          <w:kern w:val="2"/>
          <w:sz w:val="28"/>
          <w:szCs w:val="28"/>
          <w:lang w:eastAsia="zh-CN"/>
        </w:rPr>
        <w:t>裁判员场上应该充分仔细观察尽到裁判员的职责，确保现场安全、有序。裁判应特别注意涉及安全操作的项目，选手有违反安全操作规程的应及时提醒选手，并做记录，确保现场操作安全。</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6.</w:t>
      </w:r>
      <w:r>
        <w:rPr>
          <w:rFonts w:ascii="Times New Roman" w:hAnsi="仿宋_GB2312" w:eastAsia="仿宋_GB2312" w:cs="Times New Roman"/>
          <w:kern w:val="2"/>
          <w:sz w:val="28"/>
          <w:szCs w:val="28"/>
          <w:lang w:eastAsia="zh-CN"/>
        </w:rPr>
        <w:t>裁判员在工作中严肃赛纪，遵守公平、公正的原则。特别注意参赛选手有作弊行为时，应立即没收相关物品，取消该队的比赛资格。</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7.</w:t>
      </w:r>
      <w:r>
        <w:rPr>
          <w:rFonts w:ascii="Times New Roman" w:hAnsi="仿宋_GB2312" w:eastAsia="仿宋_GB2312" w:cs="Times New Roman"/>
          <w:kern w:val="2"/>
          <w:sz w:val="28"/>
          <w:szCs w:val="28"/>
          <w:lang w:eastAsia="zh-CN"/>
        </w:rPr>
        <w:t>裁判员认真填写比赛过程记录表，比赛结束后，裁判员和参赛选手一同在比赛过程记录表上签字确认。</w:t>
      </w:r>
      <w:r>
        <w:rPr>
          <w:rFonts w:ascii="Times New Roman" w:hAnsi="Times New Roman" w:eastAsia="仿宋_GB2312" w:cs="Times New Roman"/>
          <w:kern w:val="2"/>
          <w:sz w:val="28"/>
          <w:szCs w:val="28"/>
          <w:lang w:eastAsia="zh-CN"/>
        </w:rPr>
        <w:t xml:space="preserve"> </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8.</w:t>
      </w:r>
      <w:r>
        <w:rPr>
          <w:rFonts w:ascii="Times New Roman" w:hAnsi="仿宋_GB2312" w:eastAsia="仿宋_GB2312" w:cs="Times New Roman"/>
          <w:kern w:val="2"/>
          <w:sz w:val="28"/>
          <w:szCs w:val="28"/>
          <w:lang w:eastAsia="zh-CN"/>
        </w:rPr>
        <w:t>裁判员未经同意不得擅自发布关于比赛的言论，不得接受记者的采访，评定分数不得向选手公开。</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9.</w:t>
      </w:r>
      <w:r>
        <w:rPr>
          <w:rFonts w:ascii="Times New Roman" w:hAnsi="仿宋_GB2312" w:eastAsia="仿宋_GB2312" w:cs="Times New Roman"/>
          <w:kern w:val="2"/>
          <w:sz w:val="28"/>
          <w:szCs w:val="28"/>
          <w:lang w:eastAsia="zh-CN"/>
        </w:rPr>
        <w:t>裁判员执裁期间在能看清现场状况与选手行为的情况下，应尽量远离选手，不得影响选手的工作，一般情况应与选手保持</w:t>
      </w:r>
      <w:r>
        <w:rPr>
          <w:rFonts w:ascii="Times New Roman" w:hAnsi="Times New Roman" w:eastAsia="仿宋_GB2312" w:cs="Times New Roman"/>
          <w:kern w:val="2"/>
          <w:sz w:val="28"/>
          <w:szCs w:val="28"/>
          <w:lang w:eastAsia="zh-CN"/>
        </w:rPr>
        <w:t>1</w:t>
      </w:r>
      <w:r>
        <w:rPr>
          <w:rFonts w:ascii="Times New Roman" w:hAnsi="仿宋_GB2312" w:eastAsia="仿宋_GB2312" w:cs="Times New Roman"/>
          <w:kern w:val="2"/>
          <w:sz w:val="28"/>
          <w:szCs w:val="28"/>
          <w:lang w:eastAsia="zh-CN"/>
        </w:rPr>
        <w:t>米以上的距离。</w:t>
      </w:r>
    </w:p>
    <w:p>
      <w:pPr>
        <w:tabs>
          <w:tab w:val="left" w:pos="6120"/>
        </w:tabs>
        <w:spacing w:line="560" w:lineRule="exact"/>
        <w:ind w:firstLine="560" w:firstLineChars="200"/>
        <w:jc w:val="both"/>
        <w:rPr>
          <w:rFonts w:ascii="Times New Roman" w:hAnsi="Times New Roman" w:eastAsia="仿宋_GB2312" w:cs="Times New Roman"/>
          <w:kern w:val="2"/>
          <w:sz w:val="28"/>
          <w:szCs w:val="28"/>
          <w:lang w:eastAsia="zh-CN"/>
        </w:rPr>
      </w:pPr>
      <w:r>
        <w:rPr>
          <w:rFonts w:ascii="Times New Roman" w:hAnsi="Times New Roman" w:eastAsia="仿宋_GB2312" w:cs="Times New Roman"/>
          <w:kern w:val="2"/>
          <w:sz w:val="28"/>
          <w:szCs w:val="28"/>
          <w:lang w:eastAsia="zh-CN"/>
        </w:rPr>
        <w:t>10.</w:t>
      </w:r>
      <w:r>
        <w:rPr>
          <w:rFonts w:ascii="Times New Roman" w:hAnsi="仿宋_GB2312" w:eastAsia="仿宋_GB2312" w:cs="Times New Roman"/>
          <w:kern w:val="2"/>
          <w:sz w:val="28"/>
          <w:szCs w:val="28"/>
          <w:lang w:eastAsia="zh-CN"/>
        </w:rPr>
        <w:t>裁判员完整填写现场评分记录表。</w:t>
      </w:r>
    </w:p>
    <w:sectPr>
      <w:footerReference r:id="rId3" w:type="default"/>
      <w:pgSz w:w="11910" w:h="16840"/>
      <w:pgMar w:top="1340" w:right="1100" w:bottom="1260" w:left="1360" w:header="0" w:footer="1166"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2"/>
        <w:rFonts w:ascii="宋体" w:hAnsi="宋体" w:eastAsia="宋体"/>
        <w:b/>
        <w:bCs/>
        <w:sz w:val="22"/>
        <w:szCs w:val="22"/>
      </w:rPr>
      <w:id w:val="1168745719"/>
      <w:docPartObj>
        <w:docPartGallery w:val="AutoText"/>
      </w:docPartObj>
    </w:sdtPr>
    <w:sdtEndPr>
      <w:rPr>
        <w:rStyle w:val="22"/>
        <w:rFonts w:ascii="宋体" w:hAnsi="宋体" w:eastAsia="宋体"/>
        <w:b/>
        <w:bCs/>
        <w:sz w:val="22"/>
        <w:szCs w:val="22"/>
      </w:rPr>
    </w:sdtEndPr>
    <w:sdtContent>
      <w:p>
        <w:pPr>
          <w:pStyle w:val="14"/>
          <w:framePr w:w="264" w:h="370" w:hRule="exact" w:wrap="auto" w:vAnchor="text" w:hAnchor="page" w:x="5849" w:y="60"/>
          <w:jc w:val="center"/>
          <w:rPr>
            <w:rStyle w:val="22"/>
            <w:rFonts w:ascii="宋体" w:hAnsi="宋体" w:eastAsia="宋体"/>
            <w:b/>
            <w:bCs/>
            <w:sz w:val="22"/>
            <w:szCs w:val="22"/>
          </w:rPr>
        </w:pPr>
        <w:r>
          <w:rPr>
            <w:rStyle w:val="22"/>
            <w:rFonts w:ascii="宋体" w:hAnsi="宋体" w:eastAsia="宋体"/>
            <w:b/>
            <w:bCs/>
            <w:sz w:val="22"/>
            <w:szCs w:val="22"/>
          </w:rPr>
          <w:fldChar w:fldCharType="begin"/>
        </w:r>
        <w:r>
          <w:rPr>
            <w:rStyle w:val="22"/>
            <w:rFonts w:ascii="宋体" w:hAnsi="宋体" w:eastAsia="宋体"/>
            <w:b/>
            <w:bCs/>
            <w:sz w:val="22"/>
            <w:szCs w:val="22"/>
          </w:rPr>
          <w:instrText xml:space="preserve"> PAGE </w:instrText>
        </w:r>
        <w:r>
          <w:rPr>
            <w:rStyle w:val="22"/>
            <w:rFonts w:ascii="宋体" w:hAnsi="宋体" w:eastAsia="宋体"/>
            <w:b/>
            <w:bCs/>
            <w:sz w:val="22"/>
            <w:szCs w:val="22"/>
          </w:rPr>
          <w:fldChar w:fldCharType="separate"/>
        </w:r>
        <w:r>
          <w:rPr>
            <w:rStyle w:val="22"/>
            <w:rFonts w:ascii="宋体" w:hAnsi="宋体" w:eastAsia="宋体"/>
            <w:b/>
            <w:bCs/>
            <w:sz w:val="22"/>
            <w:szCs w:val="22"/>
          </w:rPr>
          <w:t>16</w:t>
        </w:r>
        <w:r>
          <w:rPr>
            <w:rStyle w:val="22"/>
            <w:rFonts w:ascii="宋体" w:hAnsi="宋体" w:eastAsia="宋体"/>
            <w:b/>
            <w:bCs/>
            <w:sz w:val="22"/>
            <w:szCs w:val="22"/>
          </w:rPr>
          <w:fldChar w:fldCharType="end"/>
        </w:r>
      </w:p>
    </w:sdtContent>
  </w:sdt>
  <w:p>
    <w:pPr>
      <w:pStyle w:val="1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E02710"/>
    <w:multiLevelType w:val="multilevel"/>
    <w:tmpl w:val="26E02710"/>
    <w:lvl w:ilvl="0" w:tentative="0">
      <w:start w:val="0"/>
      <w:numFmt w:val="bullet"/>
      <w:lvlText w:val="•"/>
      <w:lvlJc w:val="left"/>
      <w:pPr>
        <w:ind w:left="1540" w:hanging="420"/>
      </w:pPr>
      <w:rPr>
        <w:rFonts w:hint="default" w:ascii="Times New Roman" w:hAnsi="Times New Roman" w:eastAsia="宋体" w:cs="Times New Roman"/>
      </w:rPr>
    </w:lvl>
    <w:lvl w:ilvl="1" w:tentative="0">
      <w:start w:val="1"/>
      <w:numFmt w:val="bullet"/>
      <w:lvlText w:val=""/>
      <w:lvlJc w:val="left"/>
      <w:pPr>
        <w:ind w:left="1960" w:hanging="420"/>
      </w:pPr>
      <w:rPr>
        <w:rFonts w:hint="default" w:ascii="Wingdings" w:hAnsi="Wingdings"/>
      </w:rPr>
    </w:lvl>
    <w:lvl w:ilvl="2" w:tentative="0">
      <w:start w:val="1"/>
      <w:numFmt w:val="bullet"/>
      <w:lvlText w:val=""/>
      <w:lvlJc w:val="left"/>
      <w:pPr>
        <w:ind w:left="2380" w:hanging="420"/>
      </w:pPr>
      <w:rPr>
        <w:rFonts w:hint="default" w:ascii="Wingdings" w:hAnsi="Wingdings"/>
      </w:rPr>
    </w:lvl>
    <w:lvl w:ilvl="3" w:tentative="0">
      <w:start w:val="1"/>
      <w:numFmt w:val="bullet"/>
      <w:lvlText w:val=""/>
      <w:lvlJc w:val="left"/>
      <w:pPr>
        <w:ind w:left="2800" w:hanging="420"/>
      </w:pPr>
      <w:rPr>
        <w:rFonts w:hint="default" w:ascii="Wingdings" w:hAnsi="Wingdings"/>
      </w:rPr>
    </w:lvl>
    <w:lvl w:ilvl="4" w:tentative="0">
      <w:start w:val="1"/>
      <w:numFmt w:val="bullet"/>
      <w:lvlText w:val=""/>
      <w:lvlJc w:val="left"/>
      <w:pPr>
        <w:ind w:left="3220" w:hanging="420"/>
      </w:pPr>
      <w:rPr>
        <w:rFonts w:hint="default" w:ascii="Wingdings" w:hAnsi="Wingdings"/>
      </w:rPr>
    </w:lvl>
    <w:lvl w:ilvl="5" w:tentative="0">
      <w:start w:val="1"/>
      <w:numFmt w:val="bullet"/>
      <w:lvlText w:val=""/>
      <w:lvlJc w:val="left"/>
      <w:pPr>
        <w:ind w:left="3640" w:hanging="420"/>
      </w:pPr>
      <w:rPr>
        <w:rFonts w:hint="default" w:ascii="Wingdings" w:hAnsi="Wingdings"/>
      </w:rPr>
    </w:lvl>
    <w:lvl w:ilvl="6" w:tentative="0">
      <w:start w:val="1"/>
      <w:numFmt w:val="bullet"/>
      <w:lvlText w:val=""/>
      <w:lvlJc w:val="left"/>
      <w:pPr>
        <w:ind w:left="4060" w:hanging="420"/>
      </w:pPr>
      <w:rPr>
        <w:rFonts w:hint="default" w:ascii="Wingdings" w:hAnsi="Wingdings"/>
      </w:rPr>
    </w:lvl>
    <w:lvl w:ilvl="7" w:tentative="0">
      <w:start w:val="1"/>
      <w:numFmt w:val="bullet"/>
      <w:lvlText w:val=""/>
      <w:lvlJc w:val="left"/>
      <w:pPr>
        <w:ind w:left="4480" w:hanging="420"/>
      </w:pPr>
      <w:rPr>
        <w:rFonts w:hint="default" w:ascii="Wingdings" w:hAnsi="Wingdings"/>
      </w:rPr>
    </w:lvl>
    <w:lvl w:ilvl="8" w:tentative="0">
      <w:start w:val="1"/>
      <w:numFmt w:val="bullet"/>
      <w:lvlText w:val=""/>
      <w:lvlJc w:val="left"/>
      <w:pPr>
        <w:ind w:left="49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6D15"/>
    <w:rsid w:val="000011C7"/>
    <w:rsid w:val="000035CF"/>
    <w:rsid w:val="00005C11"/>
    <w:rsid w:val="000062AF"/>
    <w:rsid w:val="00010100"/>
    <w:rsid w:val="00013029"/>
    <w:rsid w:val="00015867"/>
    <w:rsid w:val="00021B4C"/>
    <w:rsid w:val="0002333D"/>
    <w:rsid w:val="000246B7"/>
    <w:rsid w:val="000252EE"/>
    <w:rsid w:val="000264CE"/>
    <w:rsid w:val="0004071C"/>
    <w:rsid w:val="0004236C"/>
    <w:rsid w:val="00047A2C"/>
    <w:rsid w:val="00052AF5"/>
    <w:rsid w:val="00056185"/>
    <w:rsid w:val="00056493"/>
    <w:rsid w:val="00057A76"/>
    <w:rsid w:val="00066DF6"/>
    <w:rsid w:val="0006703D"/>
    <w:rsid w:val="00070249"/>
    <w:rsid w:val="0007246E"/>
    <w:rsid w:val="000730EE"/>
    <w:rsid w:val="000823A4"/>
    <w:rsid w:val="00084453"/>
    <w:rsid w:val="00086D15"/>
    <w:rsid w:val="0009076C"/>
    <w:rsid w:val="00094994"/>
    <w:rsid w:val="00095655"/>
    <w:rsid w:val="0009607F"/>
    <w:rsid w:val="00097FC5"/>
    <w:rsid w:val="000A02BB"/>
    <w:rsid w:val="000B409B"/>
    <w:rsid w:val="000D5B0D"/>
    <w:rsid w:val="000D65EF"/>
    <w:rsid w:val="000E5997"/>
    <w:rsid w:val="000F176A"/>
    <w:rsid w:val="000F2BB1"/>
    <w:rsid w:val="000F2F1E"/>
    <w:rsid w:val="001025C5"/>
    <w:rsid w:val="00113376"/>
    <w:rsid w:val="001145CF"/>
    <w:rsid w:val="00120F5C"/>
    <w:rsid w:val="00123F3A"/>
    <w:rsid w:val="001244D1"/>
    <w:rsid w:val="00124CBD"/>
    <w:rsid w:val="0012759B"/>
    <w:rsid w:val="0013028A"/>
    <w:rsid w:val="00135350"/>
    <w:rsid w:val="00140DC9"/>
    <w:rsid w:val="00141238"/>
    <w:rsid w:val="001562B8"/>
    <w:rsid w:val="00162902"/>
    <w:rsid w:val="0016514F"/>
    <w:rsid w:val="00166ACA"/>
    <w:rsid w:val="00171EB7"/>
    <w:rsid w:val="00173E3C"/>
    <w:rsid w:val="00180481"/>
    <w:rsid w:val="00185656"/>
    <w:rsid w:val="001859AD"/>
    <w:rsid w:val="00190A57"/>
    <w:rsid w:val="001912B0"/>
    <w:rsid w:val="001941EA"/>
    <w:rsid w:val="001966A8"/>
    <w:rsid w:val="001A26F8"/>
    <w:rsid w:val="001A3AAC"/>
    <w:rsid w:val="001B27C2"/>
    <w:rsid w:val="001B2C4F"/>
    <w:rsid w:val="001B512E"/>
    <w:rsid w:val="001C5A20"/>
    <w:rsid w:val="001D41CF"/>
    <w:rsid w:val="001D4208"/>
    <w:rsid w:val="001E2302"/>
    <w:rsid w:val="001E3A36"/>
    <w:rsid w:val="001F4159"/>
    <w:rsid w:val="00204015"/>
    <w:rsid w:val="002049A8"/>
    <w:rsid w:val="00204E98"/>
    <w:rsid w:val="00205ECB"/>
    <w:rsid w:val="00211568"/>
    <w:rsid w:val="0021201C"/>
    <w:rsid w:val="00213E31"/>
    <w:rsid w:val="002162E7"/>
    <w:rsid w:val="00220027"/>
    <w:rsid w:val="00221437"/>
    <w:rsid w:val="002255ED"/>
    <w:rsid w:val="002259BE"/>
    <w:rsid w:val="00225EF9"/>
    <w:rsid w:val="00225F5D"/>
    <w:rsid w:val="00227912"/>
    <w:rsid w:val="0023093E"/>
    <w:rsid w:val="0023249A"/>
    <w:rsid w:val="002350F1"/>
    <w:rsid w:val="0023581A"/>
    <w:rsid w:val="00237006"/>
    <w:rsid w:val="00244F11"/>
    <w:rsid w:val="002455FE"/>
    <w:rsid w:val="002465F2"/>
    <w:rsid w:val="00250870"/>
    <w:rsid w:val="00250B67"/>
    <w:rsid w:val="00252DA9"/>
    <w:rsid w:val="002555A9"/>
    <w:rsid w:val="00256A3B"/>
    <w:rsid w:val="00263E3C"/>
    <w:rsid w:val="00263F99"/>
    <w:rsid w:val="00267638"/>
    <w:rsid w:val="00281D77"/>
    <w:rsid w:val="002828C1"/>
    <w:rsid w:val="0028447E"/>
    <w:rsid w:val="00287B0A"/>
    <w:rsid w:val="0029397E"/>
    <w:rsid w:val="00296660"/>
    <w:rsid w:val="0029669B"/>
    <w:rsid w:val="002971E5"/>
    <w:rsid w:val="002A1340"/>
    <w:rsid w:val="002A15FB"/>
    <w:rsid w:val="002A24D8"/>
    <w:rsid w:val="002A4748"/>
    <w:rsid w:val="002B1A4F"/>
    <w:rsid w:val="002B26F7"/>
    <w:rsid w:val="002B6F23"/>
    <w:rsid w:val="002C4D0E"/>
    <w:rsid w:val="002D103C"/>
    <w:rsid w:val="002D3343"/>
    <w:rsid w:val="002D4AB0"/>
    <w:rsid w:val="002D5DE1"/>
    <w:rsid w:val="002E0FE7"/>
    <w:rsid w:val="002E21A4"/>
    <w:rsid w:val="002E2F9F"/>
    <w:rsid w:val="002E5648"/>
    <w:rsid w:val="002E5DFB"/>
    <w:rsid w:val="002E5F86"/>
    <w:rsid w:val="002F23DD"/>
    <w:rsid w:val="002F4A0E"/>
    <w:rsid w:val="0031065D"/>
    <w:rsid w:val="00312657"/>
    <w:rsid w:val="003130F3"/>
    <w:rsid w:val="00316E2B"/>
    <w:rsid w:val="00317304"/>
    <w:rsid w:val="003200C0"/>
    <w:rsid w:val="00321D18"/>
    <w:rsid w:val="00324CD9"/>
    <w:rsid w:val="003254AE"/>
    <w:rsid w:val="00331123"/>
    <w:rsid w:val="0034127C"/>
    <w:rsid w:val="00353401"/>
    <w:rsid w:val="0035513A"/>
    <w:rsid w:val="00357FBA"/>
    <w:rsid w:val="00360676"/>
    <w:rsid w:val="003614F2"/>
    <w:rsid w:val="00362EE2"/>
    <w:rsid w:val="003665ED"/>
    <w:rsid w:val="003701DE"/>
    <w:rsid w:val="003759E3"/>
    <w:rsid w:val="00376374"/>
    <w:rsid w:val="00376B13"/>
    <w:rsid w:val="00376ECF"/>
    <w:rsid w:val="0038276B"/>
    <w:rsid w:val="003A23CD"/>
    <w:rsid w:val="003A274C"/>
    <w:rsid w:val="003A38C1"/>
    <w:rsid w:val="003B05BA"/>
    <w:rsid w:val="003B3D35"/>
    <w:rsid w:val="003B3D91"/>
    <w:rsid w:val="003C0C05"/>
    <w:rsid w:val="003C57DC"/>
    <w:rsid w:val="003C58F8"/>
    <w:rsid w:val="003D24B5"/>
    <w:rsid w:val="003D5638"/>
    <w:rsid w:val="003D64D6"/>
    <w:rsid w:val="003D6D16"/>
    <w:rsid w:val="003D6F87"/>
    <w:rsid w:val="003E079D"/>
    <w:rsid w:val="003E77B3"/>
    <w:rsid w:val="003F1711"/>
    <w:rsid w:val="003F2424"/>
    <w:rsid w:val="003F3B09"/>
    <w:rsid w:val="0040069F"/>
    <w:rsid w:val="00407193"/>
    <w:rsid w:val="00411ACB"/>
    <w:rsid w:val="00411BEE"/>
    <w:rsid w:val="00413FEE"/>
    <w:rsid w:val="00431E69"/>
    <w:rsid w:val="0043213D"/>
    <w:rsid w:val="00432F5C"/>
    <w:rsid w:val="0043380B"/>
    <w:rsid w:val="00434973"/>
    <w:rsid w:val="00436335"/>
    <w:rsid w:val="00436670"/>
    <w:rsid w:val="004420F0"/>
    <w:rsid w:val="004449BA"/>
    <w:rsid w:val="004449EA"/>
    <w:rsid w:val="00444DE5"/>
    <w:rsid w:val="00445761"/>
    <w:rsid w:val="00446CF4"/>
    <w:rsid w:val="00447687"/>
    <w:rsid w:val="00463276"/>
    <w:rsid w:val="004643E1"/>
    <w:rsid w:val="00466756"/>
    <w:rsid w:val="00467325"/>
    <w:rsid w:val="00470D7D"/>
    <w:rsid w:val="004751CB"/>
    <w:rsid w:val="00483485"/>
    <w:rsid w:val="004916FE"/>
    <w:rsid w:val="0049282C"/>
    <w:rsid w:val="00494321"/>
    <w:rsid w:val="00495E55"/>
    <w:rsid w:val="004A68BB"/>
    <w:rsid w:val="004A73F2"/>
    <w:rsid w:val="004B1882"/>
    <w:rsid w:val="004B2760"/>
    <w:rsid w:val="004B3C11"/>
    <w:rsid w:val="004C2557"/>
    <w:rsid w:val="004D14F2"/>
    <w:rsid w:val="004D7B57"/>
    <w:rsid w:val="004E1B5A"/>
    <w:rsid w:val="004E29B9"/>
    <w:rsid w:val="004E41A6"/>
    <w:rsid w:val="004E62B3"/>
    <w:rsid w:val="004E749A"/>
    <w:rsid w:val="004F16A3"/>
    <w:rsid w:val="004F1A83"/>
    <w:rsid w:val="004F550A"/>
    <w:rsid w:val="004F7B75"/>
    <w:rsid w:val="00501B0E"/>
    <w:rsid w:val="0050245B"/>
    <w:rsid w:val="00505037"/>
    <w:rsid w:val="00515C56"/>
    <w:rsid w:val="005168E3"/>
    <w:rsid w:val="00517ACB"/>
    <w:rsid w:val="0052113D"/>
    <w:rsid w:val="00522EC5"/>
    <w:rsid w:val="0052752A"/>
    <w:rsid w:val="0052796B"/>
    <w:rsid w:val="005335FA"/>
    <w:rsid w:val="00533BAC"/>
    <w:rsid w:val="005368F7"/>
    <w:rsid w:val="00541109"/>
    <w:rsid w:val="00544713"/>
    <w:rsid w:val="00545600"/>
    <w:rsid w:val="00551DA7"/>
    <w:rsid w:val="005520A0"/>
    <w:rsid w:val="00553F2D"/>
    <w:rsid w:val="00561577"/>
    <w:rsid w:val="00563966"/>
    <w:rsid w:val="00566890"/>
    <w:rsid w:val="00570C34"/>
    <w:rsid w:val="00571739"/>
    <w:rsid w:val="00576F2D"/>
    <w:rsid w:val="005814DA"/>
    <w:rsid w:val="00583E24"/>
    <w:rsid w:val="00595D99"/>
    <w:rsid w:val="00597656"/>
    <w:rsid w:val="005A19DE"/>
    <w:rsid w:val="005A4346"/>
    <w:rsid w:val="005A4939"/>
    <w:rsid w:val="005B7118"/>
    <w:rsid w:val="005C3AAF"/>
    <w:rsid w:val="005C630E"/>
    <w:rsid w:val="005D533E"/>
    <w:rsid w:val="005F42BC"/>
    <w:rsid w:val="005F4416"/>
    <w:rsid w:val="00602AE0"/>
    <w:rsid w:val="00604502"/>
    <w:rsid w:val="00605697"/>
    <w:rsid w:val="00606342"/>
    <w:rsid w:val="00607294"/>
    <w:rsid w:val="00616D9E"/>
    <w:rsid w:val="00617ECA"/>
    <w:rsid w:val="0062197E"/>
    <w:rsid w:val="00624C8D"/>
    <w:rsid w:val="0063687C"/>
    <w:rsid w:val="00643535"/>
    <w:rsid w:val="006447C3"/>
    <w:rsid w:val="00654F51"/>
    <w:rsid w:val="006555CF"/>
    <w:rsid w:val="00656585"/>
    <w:rsid w:val="006605D1"/>
    <w:rsid w:val="00662369"/>
    <w:rsid w:val="00671D27"/>
    <w:rsid w:val="0067380B"/>
    <w:rsid w:val="00673EC5"/>
    <w:rsid w:val="00674EC1"/>
    <w:rsid w:val="00674EC8"/>
    <w:rsid w:val="006900F6"/>
    <w:rsid w:val="00696531"/>
    <w:rsid w:val="0069779E"/>
    <w:rsid w:val="006A48FF"/>
    <w:rsid w:val="006A6032"/>
    <w:rsid w:val="006B56F8"/>
    <w:rsid w:val="006C0C36"/>
    <w:rsid w:val="006C2389"/>
    <w:rsid w:val="006C389F"/>
    <w:rsid w:val="006C3FB7"/>
    <w:rsid w:val="006D25F9"/>
    <w:rsid w:val="006D5929"/>
    <w:rsid w:val="006D66C6"/>
    <w:rsid w:val="006E187C"/>
    <w:rsid w:val="006E2130"/>
    <w:rsid w:val="006E322A"/>
    <w:rsid w:val="006E386D"/>
    <w:rsid w:val="006E5FAB"/>
    <w:rsid w:val="006E6B9F"/>
    <w:rsid w:val="006F18A7"/>
    <w:rsid w:val="006F33CC"/>
    <w:rsid w:val="006F4955"/>
    <w:rsid w:val="006F4AE3"/>
    <w:rsid w:val="006F6A56"/>
    <w:rsid w:val="0070361A"/>
    <w:rsid w:val="007041F7"/>
    <w:rsid w:val="007245A8"/>
    <w:rsid w:val="0073232A"/>
    <w:rsid w:val="007368B2"/>
    <w:rsid w:val="00737C18"/>
    <w:rsid w:val="007469C7"/>
    <w:rsid w:val="00746A68"/>
    <w:rsid w:val="0076065B"/>
    <w:rsid w:val="0076084A"/>
    <w:rsid w:val="00762401"/>
    <w:rsid w:val="007639A2"/>
    <w:rsid w:val="007652C4"/>
    <w:rsid w:val="00772995"/>
    <w:rsid w:val="00772E78"/>
    <w:rsid w:val="00773483"/>
    <w:rsid w:val="00776FD6"/>
    <w:rsid w:val="00781C26"/>
    <w:rsid w:val="00784710"/>
    <w:rsid w:val="0078756F"/>
    <w:rsid w:val="007916AB"/>
    <w:rsid w:val="007920E3"/>
    <w:rsid w:val="007930F3"/>
    <w:rsid w:val="00794BAF"/>
    <w:rsid w:val="00795E6F"/>
    <w:rsid w:val="007963F4"/>
    <w:rsid w:val="007A2591"/>
    <w:rsid w:val="007A4C52"/>
    <w:rsid w:val="007A7805"/>
    <w:rsid w:val="007B3771"/>
    <w:rsid w:val="007B68DD"/>
    <w:rsid w:val="007C0212"/>
    <w:rsid w:val="007C0326"/>
    <w:rsid w:val="007C3A97"/>
    <w:rsid w:val="007C4C2F"/>
    <w:rsid w:val="007C4F34"/>
    <w:rsid w:val="007D1E50"/>
    <w:rsid w:val="007E2401"/>
    <w:rsid w:val="007F0681"/>
    <w:rsid w:val="007F0AF1"/>
    <w:rsid w:val="007F5EF6"/>
    <w:rsid w:val="007F68C9"/>
    <w:rsid w:val="007F7A18"/>
    <w:rsid w:val="008030AF"/>
    <w:rsid w:val="008104F6"/>
    <w:rsid w:val="00814AEC"/>
    <w:rsid w:val="00834AEB"/>
    <w:rsid w:val="008369A1"/>
    <w:rsid w:val="00836DC1"/>
    <w:rsid w:val="00840A01"/>
    <w:rsid w:val="0084458A"/>
    <w:rsid w:val="00847090"/>
    <w:rsid w:val="00850B05"/>
    <w:rsid w:val="00853C39"/>
    <w:rsid w:val="00854150"/>
    <w:rsid w:val="00856523"/>
    <w:rsid w:val="00860D73"/>
    <w:rsid w:val="00861E4C"/>
    <w:rsid w:val="00863ABE"/>
    <w:rsid w:val="0087180C"/>
    <w:rsid w:val="0087209A"/>
    <w:rsid w:val="00877A94"/>
    <w:rsid w:val="00885043"/>
    <w:rsid w:val="00891D88"/>
    <w:rsid w:val="00891ECE"/>
    <w:rsid w:val="00893A1B"/>
    <w:rsid w:val="008A0646"/>
    <w:rsid w:val="008B395E"/>
    <w:rsid w:val="008B3AFA"/>
    <w:rsid w:val="008B7C75"/>
    <w:rsid w:val="008C1BB1"/>
    <w:rsid w:val="008C311B"/>
    <w:rsid w:val="008C4187"/>
    <w:rsid w:val="008C462E"/>
    <w:rsid w:val="008C7C16"/>
    <w:rsid w:val="008D618D"/>
    <w:rsid w:val="008E3A45"/>
    <w:rsid w:val="008E5F27"/>
    <w:rsid w:val="008F5330"/>
    <w:rsid w:val="00902B6F"/>
    <w:rsid w:val="00902D8C"/>
    <w:rsid w:val="00904E3A"/>
    <w:rsid w:val="00916F35"/>
    <w:rsid w:val="0092527F"/>
    <w:rsid w:val="0092561E"/>
    <w:rsid w:val="009347E0"/>
    <w:rsid w:val="00935418"/>
    <w:rsid w:val="0093665E"/>
    <w:rsid w:val="0095177C"/>
    <w:rsid w:val="00957B5A"/>
    <w:rsid w:val="00965DF6"/>
    <w:rsid w:val="0097172B"/>
    <w:rsid w:val="00972281"/>
    <w:rsid w:val="009764E2"/>
    <w:rsid w:val="00983906"/>
    <w:rsid w:val="009908A9"/>
    <w:rsid w:val="00992B32"/>
    <w:rsid w:val="0099327C"/>
    <w:rsid w:val="009A0148"/>
    <w:rsid w:val="009A01C9"/>
    <w:rsid w:val="009A1D2C"/>
    <w:rsid w:val="009A60FF"/>
    <w:rsid w:val="009B4678"/>
    <w:rsid w:val="009B5327"/>
    <w:rsid w:val="009B65C6"/>
    <w:rsid w:val="009C0B6B"/>
    <w:rsid w:val="009C1B1B"/>
    <w:rsid w:val="009C6EA2"/>
    <w:rsid w:val="009D218D"/>
    <w:rsid w:val="009D337E"/>
    <w:rsid w:val="009D590E"/>
    <w:rsid w:val="009D749A"/>
    <w:rsid w:val="009E2CE6"/>
    <w:rsid w:val="009E347D"/>
    <w:rsid w:val="009E5ABA"/>
    <w:rsid w:val="009E7D9C"/>
    <w:rsid w:val="009F0480"/>
    <w:rsid w:val="009F049E"/>
    <w:rsid w:val="009F74D6"/>
    <w:rsid w:val="00A00434"/>
    <w:rsid w:val="00A032A4"/>
    <w:rsid w:val="00A332C2"/>
    <w:rsid w:val="00A43601"/>
    <w:rsid w:val="00A45F0C"/>
    <w:rsid w:val="00A46D36"/>
    <w:rsid w:val="00A47191"/>
    <w:rsid w:val="00A47367"/>
    <w:rsid w:val="00A55649"/>
    <w:rsid w:val="00A62DE7"/>
    <w:rsid w:val="00A73A0B"/>
    <w:rsid w:val="00A7753B"/>
    <w:rsid w:val="00A803B8"/>
    <w:rsid w:val="00A8581F"/>
    <w:rsid w:val="00AA4530"/>
    <w:rsid w:val="00AB3AA2"/>
    <w:rsid w:val="00AB4352"/>
    <w:rsid w:val="00AB7B9C"/>
    <w:rsid w:val="00AC1485"/>
    <w:rsid w:val="00AC3015"/>
    <w:rsid w:val="00AC3EB5"/>
    <w:rsid w:val="00AD105C"/>
    <w:rsid w:val="00AD16DD"/>
    <w:rsid w:val="00AD761B"/>
    <w:rsid w:val="00AE06D3"/>
    <w:rsid w:val="00AE7A33"/>
    <w:rsid w:val="00AF1C76"/>
    <w:rsid w:val="00AF4E11"/>
    <w:rsid w:val="00AF6865"/>
    <w:rsid w:val="00B01078"/>
    <w:rsid w:val="00B04C2C"/>
    <w:rsid w:val="00B05873"/>
    <w:rsid w:val="00B061EF"/>
    <w:rsid w:val="00B076A6"/>
    <w:rsid w:val="00B0776A"/>
    <w:rsid w:val="00B10024"/>
    <w:rsid w:val="00B23675"/>
    <w:rsid w:val="00B24231"/>
    <w:rsid w:val="00B253FB"/>
    <w:rsid w:val="00B261BC"/>
    <w:rsid w:val="00B32E3D"/>
    <w:rsid w:val="00B36A96"/>
    <w:rsid w:val="00B43746"/>
    <w:rsid w:val="00B47AEC"/>
    <w:rsid w:val="00B517F3"/>
    <w:rsid w:val="00B5362E"/>
    <w:rsid w:val="00B5390F"/>
    <w:rsid w:val="00B57B25"/>
    <w:rsid w:val="00B80E97"/>
    <w:rsid w:val="00B87646"/>
    <w:rsid w:val="00B87838"/>
    <w:rsid w:val="00B9461F"/>
    <w:rsid w:val="00BA1A51"/>
    <w:rsid w:val="00BA24C1"/>
    <w:rsid w:val="00BB1640"/>
    <w:rsid w:val="00BB22EF"/>
    <w:rsid w:val="00BB731E"/>
    <w:rsid w:val="00BC4C4F"/>
    <w:rsid w:val="00BC5125"/>
    <w:rsid w:val="00BD1227"/>
    <w:rsid w:val="00BD12E0"/>
    <w:rsid w:val="00BD2026"/>
    <w:rsid w:val="00BD4ED7"/>
    <w:rsid w:val="00BD7504"/>
    <w:rsid w:val="00BD7F5A"/>
    <w:rsid w:val="00BE0514"/>
    <w:rsid w:val="00BE100F"/>
    <w:rsid w:val="00BF06F2"/>
    <w:rsid w:val="00C03A82"/>
    <w:rsid w:val="00C0473C"/>
    <w:rsid w:val="00C06DB2"/>
    <w:rsid w:val="00C12676"/>
    <w:rsid w:val="00C13AC1"/>
    <w:rsid w:val="00C161DA"/>
    <w:rsid w:val="00C229A9"/>
    <w:rsid w:val="00C23E70"/>
    <w:rsid w:val="00C24F27"/>
    <w:rsid w:val="00C24F38"/>
    <w:rsid w:val="00C26D70"/>
    <w:rsid w:val="00C30898"/>
    <w:rsid w:val="00C31246"/>
    <w:rsid w:val="00C316DE"/>
    <w:rsid w:val="00C35CD1"/>
    <w:rsid w:val="00C4020F"/>
    <w:rsid w:val="00C41724"/>
    <w:rsid w:val="00C4440D"/>
    <w:rsid w:val="00C46151"/>
    <w:rsid w:val="00C46C55"/>
    <w:rsid w:val="00C506E8"/>
    <w:rsid w:val="00C520E8"/>
    <w:rsid w:val="00C53FD2"/>
    <w:rsid w:val="00C54E02"/>
    <w:rsid w:val="00C650CB"/>
    <w:rsid w:val="00C71337"/>
    <w:rsid w:val="00C735C5"/>
    <w:rsid w:val="00C80681"/>
    <w:rsid w:val="00C83779"/>
    <w:rsid w:val="00C855A6"/>
    <w:rsid w:val="00C93C51"/>
    <w:rsid w:val="00C94EC8"/>
    <w:rsid w:val="00CA0D22"/>
    <w:rsid w:val="00CA1C68"/>
    <w:rsid w:val="00CA3A59"/>
    <w:rsid w:val="00CA6C5A"/>
    <w:rsid w:val="00CB6EDB"/>
    <w:rsid w:val="00CC059D"/>
    <w:rsid w:val="00CC1DA9"/>
    <w:rsid w:val="00CC4027"/>
    <w:rsid w:val="00CE094B"/>
    <w:rsid w:val="00CE1312"/>
    <w:rsid w:val="00CE13B9"/>
    <w:rsid w:val="00D06FBA"/>
    <w:rsid w:val="00D07F74"/>
    <w:rsid w:val="00D11FD5"/>
    <w:rsid w:val="00D12B11"/>
    <w:rsid w:val="00D208FC"/>
    <w:rsid w:val="00D25A0D"/>
    <w:rsid w:val="00D26E0F"/>
    <w:rsid w:val="00D33736"/>
    <w:rsid w:val="00D34B3E"/>
    <w:rsid w:val="00D40D0F"/>
    <w:rsid w:val="00D46C50"/>
    <w:rsid w:val="00D54449"/>
    <w:rsid w:val="00D57C9B"/>
    <w:rsid w:val="00D635FA"/>
    <w:rsid w:val="00D65882"/>
    <w:rsid w:val="00D71AFA"/>
    <w:rsid w:val="00D72B0D"/>
    <w:rsid w:val="00D73D5F"/>
    <w:rsid w:val="00D77FDA"/>
    <w:rsid w:val="00D80A5B"/>
    <w:rsid w:val="00D83D32"/>
    <w:rsid w:val="00D87E62"/>
    <w:rsid w:val="00D90CD6"/>
    <w:rsid w:val="00D94522"/>
    <w:rsid w:val="00DA1662"/>
    <w:rsid w:val="00DA5B79"/>
    <w:rsid w:val="00DA7B00"/>
    <w:rsid w:val="00DA7C59"/>
    <w:rsid w:val="00DC5396"/>
    <w:rsid w:val="00DD285E"/>
    <w:rsid w:val="00DD3B94"/>
    <w:rsid w:val="00DD7355"/>
    <w:rsid w:val="00DE50EB"/>
    <w:rsid w:val="00DF238F"/>
    <w:rsid w:val="00DF2659"/>
    <w:rsid w:val="00DF2663"/>
    <w:rsid w:val="00E06A19"/>
    <w:rsid w:val="00E07C06"/>
    <w:rsid w:val="00E10873"/>
    <w:rsid w:val="00E2270C"/>
    <w:rsid w:val="00E24BB3"/>
    <w:rsid w:val="00E27AA3"/>
    <w:rsid w:val="00E30B90"/>
    <w:rsid w:val="00E32D42"/>
    <w:rsid w:val="00E333B9"/>
    <w:rsid w:val="00E334E6"/>
    <w:rsid w:val="00E355E8"/>
    <w:rsid w:val="00E3646A"/>
    <w:rsid w:val="00E37C48"/>
    <w:rsid w:val="00E40D83"/>
    <w:rsid w:val="00E40E05"/>
    <w:rsid w:val="00E43584"/>
    <w:rsid w:val="00E45688"/>
    <w:rsid w:val="00E50011"/>
    <w:rsid w:val="00E5191B"/>
    <w:rsid w:val="00E56F99"/>
    <w:rsid w:val="00E61217"/>
    <w:rsid w:val="00E6467A"/>
    <w:rsid w:val="00E65F3A"/>
    <w:rsid w:val="00E67CD5"/>
    <w:rsid w:val="00E7690F"/>
    <w:rsid w:val="00E76B17"/>
    <w:rsid w:val="00E76FCD"/>
    <w:rsid w:val="00E82E8B"/>
    <w:rsid w:val="00E83BA5"/>
    <w:rsid w:val="00E83EE5"/>
    <w:rsid w:val="00E84A8A"/>
    <w:rsid w:val="00E87B4B"/>
    <w:rsid w:val="00E902AD"/>
    <w:rsid w:val="00E96026"/>
    <w:rsid w:val="00E96CAD"/>
    <w:rsid w:val="00EA5294"/>
    <w:rsid w:val="00EA532B"/>
    <w:rsid w:val="00EA5B2F"/>
    <w:rsid w:val="00EA6892"/>
    <w:rsid w:val="00EB06AB"/>
    <w:rsid w:val="00EB51DA"/>
    <w:rsid w:val="00EB5EA3"/>
    <w:rsid w:val="00ED292A"/>
    <w:rsid w:val="00ED4499"/>
    <w:rsid w:val="00ED69FC"/>
    <w:rsid w:val="00EE1704"/>
    <w:rsid w:val="00EF00FF"/>
    <w:rsid w:val="00EF1BDC"/>
    <w:rsid w:val="00EF23C4"/>
    <w:rsid w:val="00EF3058"/>
    <w:rsid w:val="00EF662C"/>
    <w:rsid w:val="00EF66DA"/>
    <w:rsid w:val="00F04BF4"/>
    <w:rsid w:val="00F057E3"/>
    <w:rsid w:val="00F05E19"/>
    <w:rsid w:val="00F065F8"/>
    <w:rsid w:val="00F10B55"/>
    <w:rsid w:val="00F10C6B"/>
    <w:rsid w:val="00F2102C"/>
    <w:rsid w:val="00F22840"/>
    <w:rsid w:val="00F3056A"/>
    <w:rsid w:val="00F37D58"/>
    <w:rsid w:val="00F41EB2"/>
    <w:rsid w:val="00F42309"/>
    <w:rsid w:val="00F46995"/>
    <w:rsid w:val="00F475E3"/>
    <w:rsid w:val="00F52433"/>
    <w:rsid w:val="00F52B74"/>
    <w:rsid w:val="00F55095"/>
    <w:rsid w:val="00F6296B"/>
    <w:rsid w:val="00F64BC6"/>
    <w:rsid w:val="00F67AB1"/>
    <w:rsid w:val="00F72B6D"/>
    <w:rsid w:val="00F7408F"/>
    <w:rsid w:val="00F90C3E"/>
    <w:rsid w:val="00F927E5"/>
    <w:rsid w:val="00F972A5"/>
    <w:rsid w:val="00FA5040"/>
    <w:rsid w:val="00FB1919"/>
    <w:rsid w:val="00FB301E"/>
    <w:rsid w:val="00FC0C59"/>
    <w:rsid w:val="00FC0E30"/>
    <w:rsid w:val="00FE076E"/>
    <w:rsid w:val="00FE5DE1"/>
    <w:rsid w:val="00FF20E6"/>
    <w:rsid w:val="00FF394D"/>
    <w:rsid w:val="00FF7AE8"/>
    <w:rsid w:val="06560BF0"/>
    <w:rsid w:val="06612953"/>
    <w:rsid w:val="09D43A6C"/>
    <w:rsid w:val="0EBB4836"/>
    <w:rsid w:val="19AC744E"/>
    <w:rsid w:val="21EA0ADC"/>
    <w:rsid w:val="2EF10891"/>
    <w:rsid w:val="4C2D6504"/>
    <w:rsid w:val="57EC06DB"/>
    <w:rsid w:val="5A665647"/>
    <w:rsid w:val="5D9331FF"/>
    <w:rsid w:val="719B2F69"/>
    <w:rsid w:val="76F6391C"/>
    <w:rsid w:val="7D083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0" w:semiHidden="0" w:name="heading 2"/>
    <w:lsdException w:qFormat="1" w:uiPriority="1" w:semiHidden="0" w:name="heading 3"/>
    <w:lsdException w:qFormat="1" w:uiPriority="1" w:semiHidden="0" w:name="heading 4"/>
    <w:lsdException w:qFormat="1" w:unhideWhenUsed="0" w:uiPriority="1" w:semiHidden="0" w:name="heading 5"/>
    <w:lsdException w:qFormat="1" w:uiPriority="1" w:semiHidden="0" w:name="heading 6"/>
    <w:lsdException w:qFormat="1" w:uiPriority="1" w:semiHidden="0" w:name="heading 7"/>
    <w:lsdException w:qFormat="1"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25"/>
    <w:qFormat/>
    <w:uiPriority w:val="1"/>
    <w:pPr>
      <w:ind w:left="120"/>
      <w:outlineLvl w:val="0"/>
    </w:pPr>
    <w:rPr>
      <w:rFonts w:ascii="黑体" w:hAnsi="黑体" w:eastAsia="黑体"/>
      <w:b/>
      <w:bCs/>
      <w:sz w:val="44"/>
      <w:szCs w:val="44"/>
    </w:rPr>
  </w:style>
  <w:style w:type="paragraph" w:styleId="3">
    <w:name w:val="heading 2"/>
    <w:basedOn w:val="1"/>
    <w:next w:val="1"/>
    <w:link w:val="26"/>
    <w:qFormat/>
    <w:uiPriority w:val="0"/>
    <w:pPr>
      <w:ind w:left="120"/>
      <w:outlineLvl w:val="1"/>
    </w:pPr>
    <w:rPr>
      <w:rFonts w:ascii="宋体" w:hAnsi="宋体" w:eastAsia="宋体"/>
      <w:b/>
      <w:bCs/>
      <w:sz w:val="32"/>
      <w:szCs w:val="32"/>
    </w:rPr>
  </w:style>
  <w:style w:type="paragraph" w:styleId="4">
    <w:name w:val="heading 3"/>
    <w:basedOn w:val="1"/>
    <w:next w:val="1"/>
    <w:link w:val="36"/>
    <w:unhideWhenUsed/>
    <w:qFormat/>
    <w:uiPriority w:val="1"/>
    <w:pPr>
      <w:keepNext/>
      <w:keepLines/>
      <w:spacing w:before="260" w:after="260" w:line="416" w:lineRule="auto"/>
      <w:outlineLvl w:val="2"/>
    </w:pPr>
    <w:rPr>
      <w:b/>
      <w:bCs/>
      <w:sz w:val="32"/>
      <w:szCs w:val="32"/>
    </w:rPr>
  </w:style>
  <w:style w:type="paragraph" w:styleId="5">
    <w:name w:val="heading 4"/>
    <w:basedOn w:val="1"/>
    <w:next w:val="1"/>
    <w:link w:val="37"/>
    <w:unhideWhenUsed/>
    <w:qFormat/>
    <w:uiPriority w:val="1"/>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8"/>
    <w:qFormat/>
    <w:uiPriority w:val="1"/>
    <w:pPr>
      <w:ind w:left="120"/>
      <w:outlineLvl w:val="4"/>
    </w:pPr>
    <w:rPr>
      <w:rFonts w:ascii="宋体" w:hAnsi="宋体" w:eastAsia="宋体"/>
      <w:sz w:val="30"/>
      <w:szCs w:val="30"/>
    </w:rPr>
  </w:style>
  <w:style w:type="paragraph" w:styleId="7">
    <w:name w:val="heading 6"/>
    <w:basedOn w:val="1"/>
    <w:next w:val="1"/>
    <w:link w:val="31"/>
    <w:unhideWhenUsed/>
    <w:qFormat/>
    <w:uiPriority w:val="1"/>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32"/>
    <w:unhideWhenUsed/>
    <w:qFormat/>
    <w:uiPriority w:val="1"/>
    <w:pPr>
      <w:keepNext/>
      <w:keepLines/>
      <w:spacing w:before="240" w:after="64" w:line="320" w:lineRule="auto"/>
      <w:outlineLvl w:val="6"/>
    </w:pPr>
    <w:rPr>
      <w:b/>
      <w:bCs/>
      <w:sz w:val="24"/>
      <w:szCs w:val="24"/>
    </w:rPr>
  </w:style>
  <w:style w:type="paragraph" w:styleId="9">
    <w:name w:val="heading 8"/>
    <w:basedOn w:val="1"/>
    <w:next w:val="1"/>
    <w:link w:val="33"/>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0">
    <w:name w:val="annotation text"/>
    <w:basedOn w:val="1"/>
    <w:link w:val="47"/>
    <w:semiHidden/>
    <w:unhideWhenUsed/>
    <w:qFormat/>
    <w:uiPriority w:val="99"/>
  </w:style>
  <w:style w:type="paragraph" w:styleId="11">
    <w:name w:val="Body Text"/>
    <w:basedOn w:val="1"/>
    <w:link w:val="28"/>
    <w:qFormat/>
    <w:uiPriority w:val="1"/>
    <w:pPr>
      <w:ind w:left="120"/>
    </w:pPr>
    <w:rPr>
      <w:rFonts w:ascii="宋体" w:hAnsi="宋体" w:eastAsia="宋体"/>
      <w:sz w:val="24"/>
      <w:szCs w:val="24"/>
    </w:rPr>
  </w:style>
  <w:style w:type="paragraph" w:styleId="12">
    <w:name w:val="toc 3"/>
    <w:basedOn w:val="1"/>
    <w:next w:val="1"/>
    <w:unhideWhenUsed/>
    <w:qFormat/>
    <w:uiPriority w:val="39"/>
    <w:pPr>
      <w:ind w:left="840" w:leftChars="400"/>
    </w:pPr>
  </w:style>
  <w:style w:type="paragraph" w:styleId="13">
    <w:name w:val="Balloon Text"/>
    <w:basedOn w:val="1"/>
    <w:link w:val="40"/>
    <w:qFormat/>
    <w:uiPriority w:val="0"/>
    <w:pPr>
      <w:jc w:val="both"/>
    </w:pPr>
    <w:rPr>
      <w:rFonts w:ascii="Calibri" w:hAnsi="Calibri" w:eastAsia="宋体" w:cs="Times New Roman"/>
      <w:kern w:val="2"/>
      <w:sz w:val="18"/>
      <w:szCs w:val="18"/>
      <w:lang w:eastAsia="zh-CN"/>
    </w:rPr>
  </w:style>
  <w:style w:type="paragraph" w:styleId="14">
    <w:name w:val="footer"/>
    <w:basedOn w:val="1"/>
    <w:link w:val="30"/>
    <w:unhideWhenUsed/>
    <w:qFormat/>
    <w:uiPriority w:val="0"/>
    <w:pPr>
      <w:tabs>
        <w:tab w:val="center" w:pos="4153"/>
        <w:tab w:val="right" w:pos="8306"/>
      </w:tabs>
      <w:snapToGrid w:val="0"/>
    </w:pPr>
    <w:rPr>
      <w:sz w:val="18"/>
      <w:szCs w:val="18"/>
    </w:rPr>
  </w:style>
  <w:style w:type="paragraph" w:styleId="15">
    <w:name w:val="header"/>
    <w:basedOn w:val="1"/>
    <w:link w:val="29"/>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21"/>
    </w:pPr>
    <w:rPr>
      <w:rFonts w:ascii="宋体" w:hAnsi="宋体" w:eastAsia="宋体"/>
      <w:sz w:val="21"/>
      <w:szCs w:val="21"/>
    </w:rPr>
  </w:style>
  <w:style w:type="paragraph" w:styleId="17">
    <w:name w:val="toc 2"/>
    <w:basedOn w:val="1"/>
    <w:next w:val="1"/>
    <w:qFormat/>
    <w:uiPriority w:val="39"/>
    <w:pPr>
      <w:spacing w:before="21"/>
      <w:ind w:left="540"/>
    </w:pPr>
    <w:rPr>
      <w:rFonts w:ascii="宋体" w:hAnsi="宋体" w:eastAsia="宋体"/>
      <w:sz w:val="21"/>
      <w:szCs w:val="21"/>
    </w:rPr>
  </w:style>
  <w:style w:type="paragraph" w:styleId="18">
    <w:name w:val="annotation subject"/>
    <w:basedOn w:val="10"/>
    <w:next w:val="10"/>
    <w:link w:val="48"/>
    <w:semiHidden/>
    <w:unhideWhenUsed/>
    <w:qFormat/>
    <w:uiPriority w:val="99"/>
    <w:rPr>
      <w:b/>
      <w:bCs/>
    </w:rPr>
  </w:style>
  <w:style w:type="table" w:styleId="20">
    <w:name w:val="Table Grid"/>
    <w:basedOn w:val="19"/>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semiHidden/>
    <w:unhideWhenUsed/>
    <w:uiPriority w:val="99"/>
  </w:style>
  <w:style w:type="character" w:styleId="23">
    <w:name w:val="Hyperlink"/>
    <w:basedOn w:val="21"/>
    <w:unhideWhenUsed/>
    <w:qFormat/>
    <w:uiPriority w:val="99"/>
    <w:rPr>
      <w:color w:val="0000FF"/>
      <w:u w:val="none"/>
    </w:rPr>
  </w:style>
  <w:style w:type="character" w:styleId="24">
    <w:name w:val="annotation reference"/>
    <w:basedOn w:val="21"/>
    <w:semiHidden/>
    <w:unhideWhenUsed/>
    <w:qFormat/>
    <w:uiPriority w:val="99"/>
    <w:rPr>
      <w:sz w:val="21"/>
      <w:szCs w:val="21"/>
    </w:rPr>
  </w:style>
  <w:style w:type="character" w:customStyle="1" w:styleId="25">
    <w:name w:val="标题 1 Char"/>
    <w:basedOn w:val="21"/>
    <w:link w:val="2"/>
    <w:qFormat/>
    <w:uiPriority w:val="1"/>
    <w:rPr>
      <w:rFonts w:ascii="黑体" w:hAnsi="黑体" w:eastAsia="黑体"/>
      <w:b/>
      <w:bCs/>
      <w:kern w:val="0"/>
      <w:sz w:val="44"/>
      <w:szCs w:val="44"/>
      <w:lang w:eastAsia="en-US"/>
    </w:rPr>
  </w:style>
  <w:style w:type="character" w:customStyle="1" w:styleId="26">
    <w:name w:val="标题 2 Char"/>
    <w:basedOn w:val="21"/>
    <w:link w:val="3"/>
    <w:qFormat/>
    <w:uiPriority w:val="0"/>
    <w:rPr>
      <w:rFonts w:ascii="宋体" w:hAnsi="宋体" w:eastAsia="宋体"/>
      <w:b/>
      <w:bCs/>
      <w:kern w:val="0"/>
      <w:sz w:val="32"/>
      <w:szCs w:val="32"/>
      <w:lang w:eastAsia="en-US"/>
    </w:rPr>
  </w:style>
  <w:style w:type="paragraph" w:customStyle="1" w:styleId="2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8">
    <w:name w:val="正文文本 Char"/>
    <w:basedOn w:val="21"/>
    <w:link w:val="11"/>
    <w:qFormat/>
    <w:uiPriority w:val="1"/>
    <w:rPr>
      <w:rFonts w:ascii="宋体" w:hAnsi="宋体" w:eastAsia="宋体"/>
      <w:kern w:val="0"/>
      <w:sz w:val="24"/>
      <w:szCs w:val="24"/>
      <w:lang w:eastAsia="en-US"/>
    </w:rPr>
  </w:style>
  <w:style w:type="character" w:customStyle="1" w:styleId="29">
    <w:name w:val="页眉 Char"/>
    <w:basedOn w:val="21"/>
    <w:link w:val="15"/>
    <w:qFormat/>
    <w:uiPriority w:val="0"/>
    <w:rPr>
      <w:kern w:val="0"/>
      <w:sz w:val="18"/>
      <w:szCs w:val="18"/>
      <w:lang w:eastAsia="en-US"/>
    </w:rPr>
  </w:style>
  <w:style w:type="character" w:customStyle="1" w:styleId="30">
    <w:name w:val="页脚 Char"/>
    <w:basedOn w:val="21"/>
    <w:link w:val="14"/>
    <w:qFormat/>
    <w:uiPriority w:val="0"/>
    <w:rPr>
      <w:kern w:val="0"/>
      <w:sz w:val="18"/>
      <w:szCs w:val="18"/>
      <w:lang w:eastAsia="en-US"/>
    </w:rPr>
  </w:style>
  <w:style w:type="character" w:customStyle="1" w:styleId="31">
    <w:name w:val="标题 6 Char"/>
    <w:basedOn w:val="21"/>
    <w:link w:val="7"/>
    <w:qFormat/>
    <w:uiPriority w:val="1"/>
    <w:rPr>
      <w:rFonts w:asciiTheme="majorHAnsi" w:hAnsiTheme="majorHAnsi" w:eastAsiaTheme="majorEastAsia" w:cstheme="majorBidi"/>
      <w:b/>
      <w:bCs/>
      <w:kern w:val="0"/>
      <w:sz w:val="24"/>
      <w:szCs w:val="24"/>
      <w:lang w:eastAsia="en-US"/>
    </w:rPr>
  </w:style>
  <w:style w:type="character" w:customStyle="1" w:styleId="32">
    <w:name w:val="标题 7 Char"/>
    <w:basedOn w:val="21"/>
    <w:link w:val="8"/>
    <w:qFormat/>
    <w:uiPriority w:val="1"/>
    <w:rPr>
      <w:b/>
      <w:bCs/>
      <w:kern w:val="0"/>
      <w:sz w:val="24"/>
      <w:szCs w:val="24"/>
      <w:lang w:eastAsia="en-US"/>
    </w:rPr>
  </w:style>
  <w:style w:type="character" w:customStyle="1" w:styleId="33">
    <w:name w:val="标题 8 Char"/>
    <w:basedOn w:val="21"/>
    <w:link w:val="9"/>
    <w:qFormat/>
    <w:uiPriority w:val="0"/>
    <w:rPr>
      <w:rFonts w:asciiTheme="majorHAnsi" w:hAnsiTheme="majorHAnsi" w:eastAsiaTheme="majorEastAsia" w:cstheme="majorBidi"/>
      <w:kern w:val="0"/>
      <w:sz w:val="24"/>
      <w:szCs w:val="24"/>
      <w:lang w:eastAsia="en-US"/>
    </w:rPr>
  </w:style>
  <w:style w:type="table" w:customStyle="1" w:styleId="34">
    <w:name w:val="Table Normal"/>
    <w:semiHidden/>
    <w:unhideWhenUsed/>
    <w:qFormat/>
    <w:uiPriority w:val="2"/>
    <w:pPr>
      <w:widowControl w:val="0"/>
    </w:pPr>
    <w:rPr>
      <w:sz w:val="22"/>
      <w:lang w:eastAsia="en-US"/>
    </w:rPr>
    <w:tblPr>
      <w:tblCellMar>
        <w:top w:w="0" w:type="dxa"/>
        <w:left w:w="0" w:type="dxa"/>
        <w:bottom w:w="0" w:type="dxa"/>
        <w:right w:w="0" w:type="dxa"/>
      </w:tblCellMar>
    </w:tblPr>
  </w:style>
  <w:style w:type="paragraph" w:customStyle="1" w:styleId="35">
    <w:name w:val="Table Paragraph"/>
    <w:basedOn w:val="1"/>
    <w:qFormat/>
    <w:uiPriority w:val="0"/>
  </w:style>
  <w:style w:type="character" w:customStyle="1" w:styleId="36">
    <w:name w:val="标题 3 Char"/>
    <w:basedOn w:val="21"/>
    <w:link w:val="4"/>
    <w:qFormat/>
    <w:uiPriority w:val="1"/>
    <w:rPr>
      <w:b/>
      <w:bCs/>
      <w:kern w:val="0"/>
      <w:sz w:val="32"/>
      <w:szCs w:val="32"/>
      <w:lang w:eastAsia="en-US"/>
    </w:rPr>
  </w:style>
  <w:style w:type="character" w:customStyle="1" w:styleId="37">
    <w:name w:val="标题 4 Char"/>
    <w:basedOn w:val="21"/>
    <w:link w:val="5"/>
    <w:qFormat/>
    <w:uiPriority w:val="1"/>
    <w:rPr>
      <w:rFonts w:asciiTheme="majorHAnsi" w:hAnsiTheme="majorHAnsi" w:eastAsiaTheme="majorEastAsia" w:cstheme="majorBidi"/>
      <w:b/>
      <w:bCs/>
      <w:kern w:val="0"/>
      <w:sz w:val="28"/>
      <w:szCs w:val="28"/>
      <w:lang w:eastAsia="en-US"/>
    </w:rPr>
  </w:style>
  <w:style w:type="character" w:customStyle="1" w:styleId="38">
    <w:name w:val="标题 5 Char"/>
    <w:basedOn w:val="21"/>
    <w:link w:val="6"/>
    <w:qFormat/>
    <w:uiPriority w:val="1"/>
    <w:rPr>
      <w:rFonts w:ascii="宋体" w:hAnsi="宋体" w:eastAsia="宋体"/>
      <w:kern w:val="0"/>
      <w:sz w:val="30"/>
      <w:szCs w:val="30"/>
      <w:lang w:eastAsia="en-US"/>
    </w:rPr>
  </w:style>
  <w:style w:type="paragraph" w:styleId="39">
    <w:name w:val="List Paragraph"/>
    <w:basedOn w:val="1"/>
    <w:link w:val="45"/>
    <w:qFormat/>
    <w:uiPriority w:val="1"/>
  </w:style>
  <w:style w:type="character" w:customStyle="1" w:styleId="40">
    <w:name w:val="批注框文本 Char"/>
    <w:basedOn w:val="21"/>
    <w:link w:val="13"/>
    <w:qFormat/>
    <w:uiPriority w:val="0"/>
    <w:rPr>
      <w:rFonts w:ascii="Calibri" w:hAnsi="Calibri" w:eastAsia="宋体" w:cs="Times New Roman"/>
      <w:sz w:val="18"/>
      <w:szCs w:val="18"/>
    </w:rPr>
  </w:style>
  <w:style w:type="character" w:customStyle="1" w:styleId="41">
    <w:name w:val="font11"/>
    <w:basedOn w:val="21"/>
    <w:qFormat/>
    <w:uiPriority w:val="0"/>
    <w:rPr>
      <w:rFonts w:hint="eastAsia" w:ascii="宋体" w:hAnsi="宋体" w:eastAsia="宋体" w:cs="宋体"/>
      <w:color w:val="000000"/>
      <w:sz w:val="24"/>
      <w:szCs w:val="24"/>
      <w:u w:val="none"/>
    </w:rPr>
  </w:style>
  <w:style w:type="character" w:customStyle="1" w:styleId="42">
    <w:name w:val="font01"/>
    <w:basedOn w:val="21"/>
    <w:qFormat/>
    <w:uiPriority w:val="0"/>
    <w:rPr>
      <w:rFonts w:hint="default" w:ascii="Times New Roman" w:hAnsi="Times New Roman" w:cs="Times New Roman"/>
      <w:color w:val="000000"/>
      <w:sz w:val="24"/>
      <w:szCs w:val="24"/>
      <w:u w:val="none"/>
    </w:rPr>
  </w:style>
  <w:style w:type="character" w:customStyle="1" w:styleId="43">
    <w:name w:val="font21"/>
    <w:basedOn w:val="21"/>
    <w:qFormat/>
    <w:uiPriority w:val="0"/>
    <w:rPr>
      <w:rFonts w:hint="eastAsia" w:ascii="宋体" w:hAnsi="宋体" w:eastAsia="宋体" w:cs="宋体"/>
      <w:color w:val="000000"/>
      <w:sz w:val="24"/>
      <w:szCs w:val="24"/>
      <w:u w:val="none"/>
    </w:rPr>
  </w:style>
  <w:style w:type="character" w:styleId="44">
    <w:name w:val="Placeholder Text"/>
    <w:basedOn w:val="21"/>
    <w:semiHidden/>
    <w:qFormat/>
    <w:uiPriority w:val="99"/>
    <w:rPr>
      <w:color w:val="808080"/>
    </w:rPr>
  </w:style>
  <w:style w:type="character" w:customStyle="1" w:styleId="45">
    <w:name w:val="列出段落 Char"/>
    <w:link w:val="39"/>
    <w:qFormat/>
    <w:locked/>
    <w:uiPriority w:val="1"/>
    <w:rPr>
      <w:kern w:val="0"/>
      <w:sz w:val="22"/>
      <w:lang w:eastAsia="en-US"/>
    </w:rPr>
  </w:style>
  <w:style w:type="paragraph" w:customStyle="1" w:styleId="46">
    <w:name w:val="_Style 41"/>
    <w:basedOn w:val="1"/>
    <w:next w:val="39"/>
    <w:qFormat/>
    <w:uiPriority w:val="34"/>
    <w:pPr>
      <w:ind w:firstLine="420" w:firstLineChars="200"/>
      <w:jc w:val="both"/>
    </w:pPr>
    <w:rPr>
      <w:rFonts w:ascii="Calibri" w:hAnsi="Calibri" w:eastAsia="宋体" w:cs="宋体"/>
      <w:kern w:val="2"/>
      <w:sz w:val="21"/>
      <w:szCs w:val="21"/>
      <w:lang w:eastAsia="zh-CN"/>
    </w:rPr>
  </w:style>
  <w:style w:type="character" w:customStyle="1" w:styleId="47">
    <w:name w:val="批注文字 Char"/>
    <w:basedOn w:val="21"/>
    <w:link w:val="10"/>
    <w:semiHidden/>
    <w:qFormat/>
    <w:uiPriority w:val="99"/>
    <w:rPr>
      <w:kern w:val="0"/>
      <w:sz w:val="22"/>
      <w:lang w:eastAsia="en-US"/>
    </w:rPr>
  </w:style>
  <w:style w:type="character" w:customStyle="1" w:styleId="48">
    <w:name w:val="批注主题 Char"/>
    <w:basedOn w:val="47"/>
    <w:link w:val="18"/>
    <w:semiHidden/>
    <w:qFormat/>
    <w:uiPriority w:val="99"/>
    <w:rPr>
      <w:b/>
      <w:bCs/>
      <w:kern w:val="0"/>
      <w:sz w:val="22"/>
      <w:lang w:eastAsia="en-US"/>
    </w:rPr>
  </w:style>
  <w:style w:type="paragraph" w:customStyle="1" w:styleId="49">
    <w:name w:val="formattext"/>
    <w:basedOn w:val="1"/>
    <w:uiPriority w:val="0"/>
    <w:pPr>
      <w:widowControl/>
      <w:spacing w:before="100" w:beforeAutospacing="1" w:after="100" w:afterAutospacing="1"/>
    </w:pPr>
    <w:rPr>
      <w:rFonts w:ascii="Times New Roman" w:hAnsi="Times New Roman" w:eastAsia="Times New Roman" w:cs="Times New Roman"/>
      <w:sz w:val="24"/>
      <w:szCs w:val="24"/>
      <w:lang w:val="ru-RU" w:eastAsia="ru-RU"/>
    </w:rPr>
  </w:style>
  <w:style w:type="character" w:customStyle="1" w:styleId="50">
    <w:name w:val="tlid-translation"/>
    <w:basedOn w:val="21"/>
    <w:uiPriority w:val="0"/>
  </w:style>
  <w:style w:type="character" w:customStyle="1" w:styleId="51">
    <w:name w:val="gt-baf-back"/>
    <w:basedOn w:val="21"/>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267D59-59B6-4718-AD1D-AECFBE8E849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16</Pages>
  <Words>1306</Words>
  <Characters>7445</Characters>
  <Lines>62</Lines>
  <Paragraphs>17</Paragraphs>
  <TotalTime>33</TotalTime>
  <ScaleCrop>false</ScaleCrop>
  <LinksUpToDate>false</LinksUpToDate>
  <CharactersWithSpaces>8734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2020-09-25T07:46:00Z</dcterms:created>
  <dc:creator>传勇 燕</dc:creator>
  <cp:lastModifiedBy>HP</cp:lastModifiedBy>
  <cp:lastPrinted>2019-02-14T07:38:00Z</cp:lastPrinted>
  <dcterms:modified xsi:type="dcterms:W3CDTF">2021-04-07T01:10:15Z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BEEA8A005A8244E3A508DC55DC3B7903</vt:lpwstr>
  </property>
</Properties>
</file>