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9" w:beforeLines="50" w:after="159" w:afterLines="50" w:line="288" w:lineRule="auto"/>
        <w:ind w:firstLine="643" w:firstLineChars="200"/>
        <w:contextualSpacing/>
        <w:jc w:val="center"/>
        <w:outlineLvl w:val="0"/>
        <w:rPr>
          <w:rFonts w:hint="eastAsia" w:asciiTheme="minorEastAsia" w:hAnsiTheme="minorEastAsia" w:eastAsiaTheme="minorEastAsia"/>
          <w:b/>
          <w:sz w:val="32"/>
          <w:szCs w:val="24"/>
          <w:lang w:eastAsia="zh-CN"/>
        </w:rPr>
      </w:pPr>
      <w:r>
        <w:rPr>
          <w:rFonts w:hint="eastAsia" w:asciiTheme="minorEastAsia" w:hAnsiTheme="minorEastAsia" w:eastAsiaTheme="minorEastAsia"/>
          <w:b/>
          <w:sz w:val="32"/>
          <w:szCs w:val="24"/>
        </w:rPr>
        <w:t>河北省职业院校</w:t>
      </w:r>
      <w:r>
        <w:rPr>
          <w:rFonts w:hint="eastAsia" w:asciiTheme="minorEastAsia" w:hAnsiTheme="minorEastAsia" w:eastAsiaTheme="minorEastAsia"/>
          <w:b/>
          <w:sz w:val="32"/>
          <w:szCs w:val="24"/>
          <w:lang w:eastAsia="zh-CN"/>
        </w:rPr>
        <w:t>技能大赛</w:t>
      </w:r>
    </w:p>
    <w:p>
      <w:pPr>
        <w:snapToGrid w:val="0"/>
        <w:spacing w:before="159" w:beforeLines="50" w:after="159" w:afterLines="50" w:line="288" w:lineRule="auto"/>
        <w:ind w:firstLine="643" w:firstLineChars="200"/>
        <w:contextualSpacing/>
        <w:jc w:val="center"/>
        <w:outlineLvl w:val="0"/>
        <w:rPr>
          <w:rFonts w:asciiTheme="minorEastAsia" w:hAnsiTheme="minorEastAsia" w:eastAsiaTheme="minorEastAsia"/>
          <w:b/>
          <w:sz w:val="32"/>
          <w:szCs w:val="24"/>
        </w:rPr>
      </w:pPr>
      <w:r>
        <w:rPr>
          <w:rFonts w:hint="eastAsia" w:asciiTheme="minorEastAsia" w:hAnsiTheme="minorEastAsia" w:eastAsiaTheme="minorEastAsia"/>
          <w:b/>
          <w:sz w:val="32"/>
          <w:szCs w:val="24"/>
          <w:lang w:val="en-US" w:eastAsia="zh-CN"/>
        </w:rPr>
        <w:t>城市轨道交通车辆控制赛项</w:t>
      </w:r>
      <w:r>
        <w:rPr>
          <w:rFonts w:hint="eastAsia" w:asciiTheme="minorEastAsia" w:hAnsiTheme="minorEastAsia" w:eastAsiaTheme="minorEastAsia"/>
          <w:b/>
          <w:sz w:val="32"/>
          <w:szCs w:val="24"/>
        </w:rPr>
        <w:t>竞赛规程</w:t>
      </w:r>
    </w:p>
    <w:p>
      <w:pPr>
        <w:snapToGrid w:val="0"/>
        <w:spacing w:before="159" w:beforeLines="50" w:after="159" w:afterLines="50" w:line="288" w:lineRule="auto"/>
        <w:ind w:firstLine="482" w:firstLineChars="200"/>
        <w:contextualSpacing/>
        <w:rPr>
          <w:rFonts w:cs="仿宋" w:asciiTheme="minorEastAsia" w:hAnsiTheme="minorEastAsia" w:eastAsiaTheme="minorEastAsia"/>
          <w:b/>
          <w:sz w:val="24"/>
          <w:szCs w:val="24"/>
        </w:rPr>
      </w:pPr>
    </w:p>
    <w:p>
      <w:pPr>
        <w:snapToGrid w:val="0"/>
        <w:spacing w:before="159" w:beforeLines="50" w:after="159" w:afterLines="50" w:line="288" w:lineRule="auto"/>
        <w:ind w:firstLine="482" w:firstLineChars="200"/>
        <w:contextualSpacing/>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一、比赛的职业、标准、形式和内容</w:t>
      </w:r>
    </w:p>
    <w:p>
      <w:pPr>
        <w:spacing w:line="360" w:lineRule="auto"/>
        <w:ind w:firstLine="480" w:firstLineChars="200"/>
        <w:rPr>
          <w:rFonts w:ascii="仿宋_GB2312" w:hAnsi="Times New Roman" w:eastAsia="仿宋_GB2312"/>
          <w:sz w:val="24"/>
          <w:szCs w:val="24"/>
        </w:rPr>
      </w:pPr>
      <w:r>
        <w:rPr>
          <w:rFonts w:hint="eastAsia" w:asciiTheme="minorEastAsia" w:hAnsiTheme="minorEastAsia" w:eastAsiaTheme="minorEastAsia"/>
          <w:sz w:val="24"/>
          <w:szCs w:val="24"/>
        </w:rPr>
        <w:t>（一）职业：</w:t>
      </w:r>
      <w:r>
        <w:rPr>
          <w:rFonts w:hint="eastAsia" w:asciiTheme="minorEastAsia" w:hAnsiTheme="minorEastAsia" w:eastAsiaTheme="minorEastAsia"/>
          <w:sz w:val="24"/>
          <w:szCs w:val="24"/>
          <w:lang w:val="en-US" w:eastAsia="zh-CN"/>
        </w:rPr>
        <w:t>竞赛主要针对</w:t>
      </w:r>
      <w:r>
        <w:rPr>
          <w:rFonts w:hint="eastAsia" w:asciiTheme="minorEastAsia" w:hAnsiTheme="minorEastAsia" w:eastAsiaTheme="minorEastAsia"/>
          <w:color w:val="000000"/>
          <w:sz w:val="24"/>
          <w:szCs w:val="24"/>
        </w:rPr>
        <w:t>交通运输大类（包含铁道运输类和城市轨道交通类）和装备制造大类（包含</w:t>
      </w:r>
      <w:r>
        <w:rPr>
          <w:rFonts w:hint="eastAsia" w:asciiTheme="minorEastAsia" w:hAnsiTheme="minorEastAsia" w:eastAsiaTheme="minorEastAsia"/>
          <w:color w:val="000000"/>
          <w:sz w:val="24"/>
          <w:szCs w:val="24"/>
          <w:lang w:val="en-US" w:eastAsia="zh-CN"/>
        </w:rPr>
        <w:t>铁道装备</w:t>
      </w:r>
      <w:r>
        <w:rPr>
          <w:rFonts w:hint="eastAsia" w:asciiTheme="minorEastAsia" w:hAnsiTheme="minorEastAsia" w:eastAsiaTheme="minorEastAsia"/>
          <w:color w:val="000000"/>
          <w:sz w:val="24"/>
          <w:szCs w:val="24"/>
        </w:rPr>
        <w:t>类）</w:t>
      </w:r>
      <w:r>
        <w:rPr>
          <w:rFonts w:hint="eastAsia" w:asciiTheme="minorEastAsia" w:hAnsiTheme="minorEastAsia" w:eastAsiaTheme="minorEastAsia"/>
          <w:color w:val="000000"/>
          <w:sz w:val="24"/>
          <w:szCs w:val="24"/>
          <w:lang w:val="en-US" w:eastAsia="zh-CN"/>
        </w:rPr>
        <w:t>进行设计</w:t>
      </w:r>
      <w:r>
        <w:rPr>
          <w:rFonts w:hint="eastAsia" w:asciiTheme="minorEastAsia" w:hAnsiTheme="minorEastAsia" w:eastAsiaTheme="minorEastAsia"/>
          <w:color w:val="000000"/>
          <w:sz w:val="24"/>
          <w:szCs w:val="24"/>
        </w:rPr>
        <w:t>。铁道运输类相关专业对应的岗位有</w:t>
      </w:r>
      <w:r>
        <w:rPr>
          <w:rFonts w:hint="eastAsia" w:asciiTheme="minorEastAsia" w:hAnsiTheme="minorEastAsia" w:eastAsiaTheme="minorEastAsia"/>
          <w:color w:val="000000"/>
          <w:sz w:val="24"/>
          <w:szCs w:val="24"/>
          <w:lang w:val="en-US" w:eastAsia="zh-CN"/>
        </w:rPr>
        <w:t>铁道机车车辆制造与维护、铁道机车</w:t>
      </w:r>
      <w:r>
        <w:rPr>
          <w:rFonts w:hint="eastAsia" w:asciiTheme="minorEastAsia" w:hAnsiTheme="minorEastAsia" w:eastAsiaTheme="minorEastAsia"/>
          <w:color w:val="000000"/>
          <w:sz w:val="24"/>
          <w:szCs w:val="24"/>
        </w:rPr>
        <w:t>车辆调试与检修类工种、列车司机等；城市轨道交通类中</w:t>
      </w:r>
      <w:r>
        <w:rPr>
          <w:rFonts w:hint="eastAsia" w:asciiTheme="minorEastAsia" w:hAnsiTheme="minorEastAsia" w:eastAsiaTheme="minorEastAsia"/>
          <w:color w:val="000000"/>
          <w:sz w:val="24"/>
          <w:szCs w:val="24"/>
          <w:lang w:val="en-US" w:eastAsia="zh-CN"/>
        </w:rPr>
        <w:t>城市轨道交通</w:t>
      </w:r>
      <w:r>
        <w:rPr>
          <w:rFonts w:hint="eastAsia" w:asciiTheme="minorEastAsia" w:hAnsiTheme="minorEastAsia" w:eastAsiaTheme="minorEastAsia"/>
          <w:color w:val="000000"/>
          <w:sz w:val="24"/>
          <w:szCs w:val="24"/>
        </w:rPr>
        <w:t>车辆调试与检修类工种、列车司机等相关专业的学生，通过此赛项也可以掌握相关的</w:t>
      </w:r>
      <w:r>
        <w:rPr>
          <w:rFonts w:hint="eastAsia" w:asciiTheme="minorEastAsia" w:hAnsiTheme="minorEastAsia" w:eastAsiaTheme="minorEastAsia"/>
          <w:color w:val="000000"/>
          <w:sz w:val="24"/>
          <w:szCs w:val="24"/>
          <w:lang w:val="en-US" w:eastAsia="zh-CN"/>
        </w:rPr>
        <w:t>车辆</w:t>
      </w:r>
      <w:r>
        <w:rPr>
          <w:rFonts w:hint="eastAsia" w:asciiTheme="minorEastAsia" w:hAnsiTheme="minorEastAsia" w:eastAsiaTheme="minorEastAsia"/>
          <w:color w:val="000000"/>
          <w:sz w:val="24"/>
          <w:szCs w:val="24"/>
        </w:rPr>
        <w:t>知识，培养专业技能；另外，对于装备制造大类相关专业的学生可以通过此赛项学习</w:t>
      </w:r>
      <w:r>
        <w:rPr>
          <w:rFonts w:hint="eastAsia" w:asciiTheme="minorEastAsia" w:hAnsiTheme="minorEastAsia" w:eastAsiaTheme="minorEastAsia"/>
          <w:color w:val="000000"/>
          <w:sz w:val="24"/>
          <w:szCs w:val="24"/>
          <w:lang w:val="en-US" w:eastAsia="zh-CN"/>
        </w:rPr>
        <w:t>铁道机车车辆、城市轨道交通车辆</w:t>
      </w:r>
      <w:r>
        <w:rPr>
          <w:rFonts w:hint="eastAsia" w:asciiTheme="minorEastAsia" w:hAnsiTheme="minorEastAsia" w:eastAsiaTheme="minorEastAsia"/>
          <w:color w:val="000000"/>
          <w:sz w:val="24"/>
          <w:szCs w:val="24"/>
        </w:rPr>
        <w:t>的装配、调试与维修，对专业知识和实践能力的提高有很大帮助。</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（二）标准：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赛项应符合符合</w:t>
      </w:r>
      <w:r>
        <w:rPr>
          <w:rFonts w:hint="eastAsia" w:asciiTheme="minorEastAsia" w:hAnsiTheme="minorEastAsia" w:eastAsiaTheme="minorEastAsia"/>
          <w:sz w:val="24"/>
          <w:szCs w:val="24"/>
          <w:lang w:val="en-US" w:eastAsia="zh-CN"/>
        </w:rPr>
        <w:t>中国</w:t>
      </w:r>
      <w:r>
        <w:rPr>
          <w:rFonts w:hint="eastAsia" w:asciiTheme="minorEastAsia" w:hAnsiTheme="minorEastAsia" w:eastAsiaTheme="minorEastAsia"/>
          <w:sz w:val="24"/>
          <w:szCs w:val="24"/>
        </w:rPr>
        <w:t>轨道交通</w:t>
      </w:r>
      <w:r>
        <w:rPr>
          <w:rFonts w:hint="eastAsia" w:asciiTheme="minorEastAsia" w:hAnsiTheme="minorEastAsia" w:eastAsiaTheme="minorEastAsia"/>
          <w:sz w:val="24"/>
          <w:szCs w:val="24"/>
          <w:lang w:val="en-US" w:eastAsia="zh-CN"/>
        </w:rPr>
        <w:t>车辆</w:t>
      </w:r>
      <w:r>
        <w:rPr>
          <w:rFonts w:hint="eastAsia" w:asciiTheme="minorEastAsia" w:hAnsiTheme="minorEastAsia" w:eastAsiaTheme="minorEastAsia"/>
          <w:sz w:val="24"/>
          <w:szCs w:val="24"/>
        </w:rPr>
        <w:t>行业标准，同时兼容国外专业系统标准。</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1.关于印发国家职业教育改革实施方案的通知（国发〔2019〕4 号）</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GB/T 30012-2013城市轨道交通运营管理规范</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GBT30013-2013城市轨道交通试运营基本条件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城市轨道交通运营管理规定（中华人民共和国交通运输部令2018年第8号）</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城市轨道交通行车组织管理办法（交运规〔2019〕14号）</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地铁列车司机（中国劳动社会保障出版社K68-0702）</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城市轨道交通列车司机国家职业技能标准（2019年版）</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城市轨道交通列车司机协会职业技能标准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GB 50490-2009城市轨道交通技术标准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10.LD/T81.1-2006职业技能实训和鉴定设备技术规范</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（三）比赛形式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采用团队比赛形式进行。每支参赛团队由3名选手组成（性别不限），从3名选手中推选队长1名，每队设指导教师</w:t>
      </w:r>
      <w:r>
        <w:rPr>
          <w:rFonts w:asciiTheme="minorEastAsia" w:hAnsiTheme="minorEastAsia" w:eastAsiaTheme="minorEastAsia"/>
          <w:sz w:val="24"/>
          <w:szCs w:val="24"/>
        </w:rPr>
        <w:t>2</w:t>
      </w:r>
      <w:r>
        <w:rPr>
          <w:rFonts w:hint="eastAsia" w:asciiTheme="minorEastAsia" w:hAnsiTheme="minorEastAsia" w:eastAsiaTheme="minorEastAsia"/>
          <w:sz w:val="24"/>
          <w:szCs w:val="24"/>
        </w:rPr>
        <w:t>人。</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技能操作内容分为</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个项目模块：控制逻辑编程</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车辆控制电路原理分析与设计、车辆调试与故障排查处理。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比赛由参赛团队队长组织，自由分工完成全部内容，满分100分，比赛时间</w:t>
      </w:r>
      <w:r>
        <w:rPr>
          <w:rFonts w:hint="eastAsia" w:asciiTheme="minorEastAsia" w:hAnsiTheme="minorEastAsia" w:eastAsiaTheme="minorEastAsia"/>
          <w:sz w:val="24"/>
          <w:szCs w:val="24"/>
          <w:lang w:eastAsia="zh-CN"/>
        </w:rPr>
        <w:t>60</w:t>
      </w:r>
      <w:r>
        <w:rPr>
          <w:rFonts w:hint="eastAsia" w:asciiTheme="minorEastAsia" w:hAnsiTheme="minorEastAsia" w:eastAsiaTheme="minorEastAsia"/>
          <w:sz w:val="24"/>
          <w:szCs w:val="24"/>
        </w:rPr>
        <w:t>分钟。</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（四）比赛内容</w:t>
      </w:r>
    </w:p>
    <w:p>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竞赛内容主要包括：</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35" w:type="dxa"/>
            <w:vAlign w:val="center"/>
          </w:tcPr>
          <w:p>
            <w:pPr>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比赛项目</w:t>
            </w:r>
          </w:p>
        </w:tc>
        <w:tc>
          <w:tcPr>
            <w:tcW w:w="7220" w:type="dxa"/>
            <w:vAlign w:val="center"/>
          </w:tcPr>
          <w:p>
            <w:pP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35" w:type="dxa"/>
            <w:vAlign w:val="center"/>
          </w:tcPr>
          <w:p>
            <w:pP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kern w:val="0"/>
                <w:sz w:val="24"/>
                <w:szCs w:val="24"/>
              </w:rPr>
              <w:t>控制逻辑编程</w:t>
            </w:r>
          </w:p>
        </w:tc>
        <w:tc>
          <w:tcPr>
            <w:tcW w:w="7220" w:type="dxa"/>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涉及车辆报站指示灯、客室车门控制单元等模块的知识。要求选手根据任务书中的题目要求完成1道车辆报站指示灯控制逻辑编程试题，以及完成1道门控单元的控制逻辑编程试题，共2道试题。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比赛过程中，选手首先通过PLC编程终端进行逻辑编程，然后将程序写入指定PLC模块，最后结合车辆工况模拟屏进行调试。比赛结束后，编程结果由计算机进行自动验证与评分。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3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车辆控制电路原理分析与设计</w:t>
            </w:r>
          </w:p>
        </w:tc>
        <w:tc>
          <w:tcPr>
            <w:tcW w:w="7220" w:type="dxa"/>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受电弓和主断控制电路、牵引和制动控制电路、车门控制电路等几大主要电路模块的知识。项目要求选手在电路设计及验证软件平台上完成，根据任务书中的题目要求完成1道车辆控制电路的分析与错误修正试题（</w:t>
            </w:r>
            <w:r>
              <w:rPr>
                <w:rFonts w:hint="eastAsia" w:ascii="仿宋_GB2312" w:hAnsi="仿宋_GB2312" w:eastAsia="仿宋_GB2312" w:cs="仿宋_GB2312"/>
                <w:kern w:val="0"/>
                <w:sz w:val="24"/>
                <w:szCs w:val="24"/>
                <w:lang w:val="en-US" w:eastAsia="zh-CN"/>
              </w:rPr>
              <w:t>从主断控制与监视、停放制动控制与监视、客室门控制、车门监视中选取1道</w:t>
            </w:r>
            <w:r>
              <w:rPr>
                <w:rFonts w:hint="eastAsia" w:ascii="仿宋_GB2312" w:hAnsi="仿宋_GB2312" w:eastAsia="仿宋_GB2312" w:cs="仿宋_GB2312"/>
                <w:kern w:val="0"/>
                <w:sz w:val="24"/>
                <w:szCs w:val="24"/>
              </w:rPr>
              <w:t>），以及完成1道车辆控制电路的设计试题（</w:t>
            </w:r>
            <w:r>
              <w:rPr>
                <w:rFonts w:hint="eastAsia" w:ascii="仿宋_GB2312" w:hAnsi="仿宋_GB2312" w:eastAsia="仿宋_GB2312" w:cs="仿宋_GB2312"/>
                <w:kern w:val="0"/>
                <w:sz w:val="24"/>
                <w:szCs w:val="24"/>
                <w:lang w:val="en-US" w:eastAsia="zh-CN"/>
              </w:rPr>
              <w:t>从受电弓控制、车门监视、牵引及制动指令中选取1道</w:t>
            </w:r>
            <w:r>
              <w:rPr>
                <w:rFonts w:hint="eastAsia" w:ascii="仿宋_GB2312" w:hAnsi="仿宋_GB2312" w:eastAsia="仿宋_GB2312" w:cs="仿宋_GB2312"/>
                <w:kern w:val="0"/>
                <w:sz w:val="24"/>
                <w:szCs w:val="24"/>
              </w:rPr>
              <w:t>），共2道试题。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比赛过程中，选手首先通过软件平台修改和绘制出电路原理图，然后结合调试面板进行电路调试，调试完成后提交，提交后计算机对设计结果进行自动验证与评分。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车辆调试与故障排查处理</w:t>
            </w:r>
          </w:p>
        </w:tc>
        <w:tc>
          <w:tcPr>
            <w:tcW w:w="7220" w:type="dxa"/>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选手需要结合司机操纵台、继电器柜和工况模拟屏进行整车控制原理调试。要求完成受电弓和主断控制电路、牵引和制动控制电路、车门控制电路3种类型共6个控制回路的调试。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在调试过程中，</w:t>
            </w:r>
            <w:r>
              <w:rPr>
                <w:rFonts w:hint="eastAsia" w:ascii="仿宋_GB2312" w:hAnsi="仿宋_GB2312" w:eastAsia="仿宋_GB2312" w:cs="仿宋_GB2312"/>
                <w:kern w:val="0"/>
                <w:sz w:val="24"/>
                <w:szCs w:val="24"/>
                <w:lang w:val="en-US" w:eastAsia="zh-CN"/>
              </w:rPr>
              <w:t>6个控制电路中</w:t>
            </w:r>
            <w:bookmarkStart w:id="0" w:name="_GoBack"/>
            <w:bookmarkEnd w:id="0"/>
            <w:r>
              <w:rPr>
                <w:rFonts w:hint="eastAsia" w:ascii="仿宋_GB2312" w:hAnsi="仿宋_GB2312" w:eastAsia="仿宋_GB2312" w:cs="仿宋_GB2312"/>
                <w:kern w:val="0"/>
                <w:sz w:val="24"/>
                <w:szCs w:val="24"/>
                <w:lang w:val="en-US" w:eastAsia="zh-CN"/>
              </w:rPr>
              <w:t>由选手抽取4个控制电路。4个电路中会随机设置故障</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另外2个电路不设置故障。</w:t>
            </w:r>
            <w:r>
              <w:rPr>
                <w:rFonts w:hint="eastAsia" w:ascii="仿宋_GB2312" w:hAnsi="仿宋_GB2312" w:eastAsia="仿宋_GB2312" w:cs="仿宋_GB2312"/>
                <w:kern w:val="0"/>
                <w:sz w:val="24"/>
                <w:szCs w:val="24"/>
              </w:rPr>
              <w:t>要求选手根据调试现象以及任务书中提供的电路原理图进行故障排查与处理，若有元器件损坏，选手可携故障元器件到指定地点进行更换。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本项目预设的故障种类包括：微型断路器损坏、继电器损坏（线圈及触点均有可能故障）、导线虚接或断开、导线混接或连接错误等。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故障处理及调试完成后，将列车驾驶至指定调试地点，最后清理赛场，结束比赛。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3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现场管理及安全</w:t>
            </w:r>
          </w:p>
        </w:tc>
        <w:tc>
          <w:tcPr>
            <w:tcW w:w="7220" w:type="dxa"/>
            <w:vAlign w:val="center"/>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严格遵守大赛规章制度，遵守安全操作规范、赛项工艺标准、行业作业标准、职业素养等。</w:t>
            </w:r>
          </w:p>
        </w:tc>
      </w:tr>
    </w:tbl>
    <w:p>
      <w:pPr>
        <w:spacing w:line="360" w:lineRule="auto"/>
        <w:jc w:val="left"/>
        <w:rPr>
          <w:rFonts w:hint="eastAsia" w:asciiTheme="minorEastAsia" w:hAnsiTheme="minorEastAsia" w:eastAsiaTheme="minorEastAsia"/>
          <w:color w:val="000000"/>
          <w:sz w:val="24"/>
          <w:szCs w:val="24"/>
        </w:rPr>
      </w:pPr>
    </w:p>
    <w:p>
      <w:pPr>
        <w:snapToGrid w:val="0"/>
        <w:spacing w:before="159" w:beforeLines="50" w:after="159" w:afterLines="50" w:line="288" w:lineRule="auto"/>
        <w:ind w:firstLine="482" w:firstLineChars="200"/>
        <w:contextualSpacing/>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二、比赛的软硬件环境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Theme="minorEastAsia" w:hAnsiTheme="minorEastAsia" w:eastAsiaTheme="minorEastAsia"/>
          <w:b/>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）硬件环境（每个竞赛位）</w:t>
      </w: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869"/>
        <w:gridCol w:w="1551"/>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288" w:lineRule="auto"/>
              <w:contextualSpacing/>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spacing w:line="288" w:lineRule="auto"/>
              <w:contextualSpacing/>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设备名称</w:t>
            </w:r>
          </w:p>
        </w:tc>
        <w:tc>
          <w:tcPr>
            <w:tcW w:w="1551" w:type="dxa"/>
            <w:tcBorders>
              <w:top w:val="single" w:color="auto" w:sz="4" w:space="0"/>
              <w:left w:val="single" w:color="auto" w:sz="4" w:space="0"/>
              <w:bottom w:val="single" w:color="auto" w:sz="4" w:space="0"/>
              <w:right w:val="single" w:color="auto" w:sz="4" w:space="0"/>
            </w:tcBorders>
            <w:vAlign w:val="center"/>
          </w:tcPr>
          <w:p>
            <w:pPr>
              <w:spacing w:line="288" w:lineRule="auto"/>
              <w:contextualSpacing/>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设备数量</w:t>
            </w:r>
          </w:p>
        </w:tc>
        <w:tc>
          <w:tcPr>
            <w:tcW w:w="3819" w:type="dxa"/>
            <w:tcBorders>
              <w:top w:val="single" w:color="auto" w:sz="4" w:space="0"/>
              <w:left w:val="single" w:color="auto" w:sz="4" w:space="0"/>
              <w:bottom w:val="single" w:color="auto" w:sz="4" w:space="0"/>
              <w:right w:val="single" w:color="auto" w:sz="4" w:space="0"/>
            </w:tcBorders>
            <w:vAlign w:val="center"/>
          </w:tcPr>
          <w:p>
            <w:pPr>
              <w:spacing w:line="288" w:lineRule="auto"/>
              <w:contextualSpacing/>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288" w:lineRule="auto"/>
              <w:contextualSpacing/>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spacing w:line="288" w:lineRule="auto"/>
              <w:contextualSpacing/>
              <w:jc w:val="center"/>
              <w:rPr>
                <w:rFonts w:hint="eastAsia" w:ascii="仿宋" w:hAnsi="仿宋" w:cs="宋体" w:eastAsiaTheme="minorEastAsia"/>
                <w:color w:val="000000"/>
                <w:kern w:val="0"/>
                <w:sz w:val="24"/>
                <w:szCs w:val="24"/>
                <w:lang w:val="en-US" w:eastAsia="zh-CN"/>
              </w:rPr>
            </w:pPr>
            <w:r>
              <w:rPr>
                <w:rFonts w:hint="eastAsia" w:ascii="仿宋" w:hAnsi="仿宋" w:eastAsia="仿宋" w:cs="宋体"/>
                <w:color w:val="000000"/>
                <w:kern w:val="0"/>
                <w:sz w:val="24"/>
                <w:szCs w:val="24"/>
                <w:lang w:val="en-US" w:eastAsia="zh-CN"/>
              </w:rPr>
              <w:t>城市轨道交通车辆控制系统</w:t>
            </w:r>
            <w:r>
              <w:rPr>
                <w:rFonts w:hint="eastAsia" w:ascii="仿宋" w:hAnsi="仿宋" w:eastAsia="仿宋" w:cs="宋体"/>
                <w:color w:val="000000"/>
                <w:kern w:val="0"/>
                <w:sz w:val="24"/>
                <w:szCs w:val="24"/>
              </w:rPr>
              <w:t>大赛</w:t>
            </w:r>
            <w:r>
              <w:rPr>
                <w:rFonts w:hint="eastAsia" w:ascii="仿宋" w:hAnsi="仿宋" w:eastAsia="仿宋" w:cs="宋体"/>
                <w:color w:val="000000"/>
                <w:kern w:val="0"/>
                <w:sz w:val="24"/>
                <w:szCs w:val="24"/>
                <w:lang w:val="en-US" w:eastAsia="zh-CN"/>
              </w:rPr>
              <w:t>设备</w:t>
            </w:r>
          </w:p>
        </w:tc>
        <w:tc>
          <w:tcPr>
            <w:tcW w:w="1551" w:type="dxa"/>
            <w:tcBorders>
              <w:top w:val="single" w:color="auto" w:sz="4" w:space="0"/>
              <w:left w:val="single" w:color="auto" w:sz="4" w:space="0"/>
              <w:bottom w:val="single" w:color="auto" w:sz="4" w:space="0"/>
              <w:right w:val="single" w:color="auto" w:sz="4" w:space="0"/>
            </w:tcBorders>
            <w:vAlign w:val="center"/>
          </w:tcPr>
          <w:p>
            <w:pPr>
              <w:spacing w:line="288" w:lineRule="auto"/>
              <w:contextualSpacing/>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1套</w:t>
            </w:r>
          </w:p>
        </w:tc>
        <w:tc>
          <w:tcPr>
            <w:tcW w:w="3819" w:type="dxa"/>
            <w:tcBorders>
              <w:top w:val="single" w:color="auto" w:sz="4" w:space="0"/>
              <w:left w:val="single" w:color="auto" w:sz="4" w:space="0"/>
              <w:bottom w:val="single" w:color="auto" w:sz="4" w:space="0"/>
              <w:right w:val="single" w:color="auto" w:sz="4" w:space="0"/>
            </w:tcBorders>
            <w:vAlign w:val="center"/>
          </w:tcPr>
          <w:p>
            <w:pPr>
              <w:spacing w:line="288" w:lineRule="auto"/>
              <w:contextualSpacing/>
              <w:jc w:val="center"/>
              <w:rPr>
                <w:rFonts w:ascii="仿宋" w:hAnsi="仿宋" w:eastAsia="仿宋" w:cs="宋体"/>
                <w:color w:val="000000"/>
                <w:kern w:val="0"/>
                <w:sz w:val="24"/>
                <w:szCs w:val="24"/>
              </w:rPr>
            </w:pPr>
          </w:p>
        </w:tc>
      </w:tr>
    </w:tbl>
    <w:p>
      <w:pPr>
        <w:spacing w:line="288" w:lineRule="auto"/>
        <w:contextualSpacing/>
        <w:rPr>
          <w:rFonts w:asciiTheme="minorEastAsia" w:hAnsiTheme="minorEastAsia" w:eastAsia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赛场配套设备及安全作业要求。</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lang w:eastAsia="zh-CN"/>
        </w:rPr>
        <w:t>【</w:t>
      </w:r>
      <w:r>
        <w:rPr>
          <w:rFonts w:hint="eastAsia" w:asciiTheme="minorEastAsia" w:hAnsiTheme="minorEastAsia" w:eastAsiaTheme="minorEastAsia"/>
          <w:bCs/>
          <w:color w:val="000000"/>
          <w:sz w:val="24"/>
          <w:szCs w:val="24"/>
          <w:lang w:val="en-US" w:eastAsia="zh-CN"/>
        </w:rPr>
        <w:t>1</w:t>
      </w:r>
      <w:r>
        <w:rPr>
          <w:rFonts w:hint="eastAsia" w:asciiTheme="minorEastAsia" w:hAnsiTheme="minorEastAsia" w:eastAsiaTheme="minorEastAsia"/>
          <w:bCs/>
          <w:color w:val="000000"/>
          <w:sz w:val="24"/>
          <w:szCs w:val="24"/>
          <w:lang w:eastAsia="zh-CN"/>
        </w:rPr>
        <w:t>】</w:t>
      </w:r>
      <w:r>
        <w:rPr>
          <w:rFonts w:hint="eastAsia" w:asciiTheme="minorEastAsia" w:hAnsiTheme="minorEastAsia" w:eastAsiaTheme="minorEastAsia"/>
          <w:bCs/>
          <w:color w:val="000000"/>
          <w:sz w:val="24"/>
          <w:szCs w:val="24"/>
        </w:rPr>
        <w:t>工具配置清单。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036"/>
        <w:gridCol w:w="1615"/>
        <w:gridCol w:w="993"/>
        <w:gridCol w:w="87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6" w:type="dxa"/>
            <w:gridSpan w:val="6"/>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作业工具清单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序号</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名称</w:t>
            </w:r>
          </w:p>
        </w:tc>
        <w:tc>
          <w:tcPr>
            <w:tcW w:w="1615"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型号/规格</w:t>
            </w:r>
          </w:p>
        </w:tc>
        <w:tc>
          <w:tcPr>
            <w:tcW w:w="993"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数量</w:t>
            </w:r>
          </w:p>
        </w:tc>
        <w:tc>
          <w:tcPr>
            <w:tcW w:w="876"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单位</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1</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十字螺丝刀</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三寸</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把</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2</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一字螺丝刀</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3×75mm</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把</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3</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十字螺丝刀</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3×75mm</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把</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strike/>
                <w:dstrike w:val="0"/>
                <w:color w:val="000000"/>
                <w:sz w:val="24"/>
                <w:szCs w:val="24"/>
                <w:highlight w:val="none"/>
                <w:lang w:val="en-US" w:eastAsia="zh-CN"/>
              </w:rPr>
            </w:pPr>
            <w:r>
              <w:rPr>
                <w:rFonts w:hint="eastAsia" w:asciiTheme="minorEastAsia" w:hAnsiTheme="minorEastAsia" w:eastAsiaTheme="minorEastAsia"/>
                <w:bCs/>
                <w:strike/>
                <w:dstrike w:val="0"/>
                <w:color w:val="000000"/>
                <w:sz w:val="24"/>
                <w:szCs w:val="24"/>
                <w:highlight w:val="none"/>
                <w:lang w:val="en-US" w:eastAsia="zh-CN"/>
              </w:rPr>
              <w:t>4</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电工胶带</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黑色</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个</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strike/>
                <w:dstrike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strike w:val="0"/>
                <w:dstrike w:val="0"/>
                <w:color w:val="000000"/>
                <w:sz w:val="24"/>
                <w:szCs w:val="24"/>
                <w:highlight w:val="none"/>
                <w:lang w:val="en-US" w:eastAsia="zh-CN"/>
              </w:rPr>
            </w:pPr>
            <w:r>
              <w:rPr>
                <w:rFonts w:hint="eastAsia" w:asciiTheme="minorEastAsia" w:hAnsiTheme="minorEastAsia" w:eastAsiaTheme="minorEastAsia"/>
                <w:bCs/>
                <w:strike w:val="0"/>
                <w:dstrike w:val="0"/>
                <w:color w:val="000000"/>
                <w:sz w:val="24"/>
                <w:szCs w:val="24"/>
                <w:highlight w:val="none"/>
                <w:lang w:val="en-US" w:eastAsia="zh-CN"/>
              </w:rPr>
              <w:t>5</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记号笔</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黑色</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strike w:val="0"/>
                <w:dstrike w:val="0"/>
                <w:color w:val="000000"/>
                <w:sz w:val="24"/>
                <w:szCs w:val="24"/>
                <w:highlight w:val="none"/>
              </w:rPr>
            </w:pPr>
            <w:r>
              <w:rPr>
                <w:rFonts w:hint="eastAsia" w:asciiTheme="minorEastAsia" w:hAnsiTheme="minorEastAsia" w:eastAsiaTheme="minorEastAsia"/>
                <w:bCs/>
                <w:strike w:val="0"/>
                <w:dstrike w:val="0"/>
                <w:color w:val="000000"/>
                <w:sz w:val="24"/>
                <w:szCs w:val="24"/>
                <w:highlight w:val="none"/>
              </w:rPr>
              <w:t>支</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strike w:val="0"/>
                <w:dstrike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6</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剪刀</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把</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7</w:t>
            </w:r>
          </w:p>
        </w:tc>
        <w:tc>
          <w:tcPr>
            <w:tcW w:w="203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万用表</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数字</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个</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8</w:t>
            </w:r>
          </w:p>
        </w:tc>
        <w:tc>
          <w:tcPr>
            <w:tcW w:w="2036" w:type="dxa"/>
            <w:shd w:val="clear" w:color="auto" w:fill="auto"/>
            <w:noWrap w:val="0"/>
            <w:vAlign w:val="top"/>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纸、笔等文具</w:t>
            </w:r>
          </w:p>
        </w:tc>
        <w:tc>
          <w:tcPr>
            <w:tcW w:w="1615"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w:t>
            </w:r>
          </w:p>
        </w:tc>
        <w:tc>
          <w:tcPr>
            <w:tcW w:w="993"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876" w:type="dxa"/>
            <w:shd w:val="clear" w:color="auto" w:fill="auto"/>
            <w:noWrap w:val="0"/>
            <w:vAlign w:val="top"/>
          </w:tcPr>
          <w:p>
            <w:pPr>
              <w:spacing w:line="288" w:lineRule="auto"/>
              <w:ind w:firstLine="480" w:firstLineChars="200"/>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套</w:t>
            </w:r>
          </w:p>
        </w:tc>
        <w:tc>
          <w:tcPr>
            <w:tcW w:w="2256"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bl>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注：比赛允许选手自带与“工具配置清单”相对应的工具入场。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984"/>
        <w:gridCol w:w="1559"/>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5"/>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清扫工具清单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noWrap w:val="0"/>
            <w:vAlign w:val="top"/>
          </w:tcPr>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序号</w:t>
            </w:r>
          </w:p>
        </w:tc>
        <w:tc>
          <w:tcPr>
            <w:tcW w:w="1984"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名称</w:t>
            </w:r>
          </w:p>
        </w:tc>
        <w:tc>
          <w:tcPr>
            <w:tcW w:w="1559"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数量</w:t>
            </w:r>
          </w:p>
        </w:tc>
        <w:tc>
          <w:tcPr>
            <w:tcW w:w="184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单位</w:t>
            </w:r>
          </w:p>
        </w:tc>
        <w:tc>
          <w:tcPr>
            <w:tcW w:w="2268"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1984"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扫把</w:t>
            </w:r>
          </w:p>
        </w:tc>
        <w:tc>
          <w:tcPr>
            <w:tcW w:w="1559"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184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个</w:t>
            </w:r>
          </w:p>
        </w:tc>
        <w:tc>
          <w:tcPr>
            <w:tcW w:w="2268"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99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w:t>
            </w:r>
          </w:p>
        </w:tc>
        <w:tc>
          <w:tcPr>
            <w:tcW w:w="1984"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簸箕</w:t>
            </w:r>
          </w:p>
        </w:tc>
        <w:tc>
          <w:tcPr>
            <w:tcW w:w="1559"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184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个</w:t>
            </w:r>
          </w:p>
        </w:tc>
        <w:tc>
          <w:tcPr>
            <w:tcW w:w="2268"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w:t>
            </w:r>
          </w:p>
        </w:tc>
        <w:tc>
          <w:tcPr>
            <w:tcW w:w="1984"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垃圾袋</w:t>
            </w:r>
          </w:p>
        </w:tc>
        <w:tc>
          <w:tcPr>
            <w:tcW w:w="1559"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184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个</w:t>
            </w:r>
          </w:p>
        </w:tc>
        <w:tc>
          <w:tcPr>
            <w:tcW w:w="2268"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4</w:t>
            </w:r>
          </w:p>
        </w:tc>
        <w:tc>
          <w:tcPr>
            <w:tcW w:w="1984"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垃圾篓</w:t>
            </w:r>
          </w:p>
        </w:tc>
        <w:tc>
          <w:tcPr>
            <w:tcW w:w="1559"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1843"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个</w:t>
            </w:r>
          </w:p>
        </w:tc>
        <w:tc>
          <w:tcPr>
            <w:tcW w:w="2268" w:type="dxa"/>
            <w:shd w:val="clear" w:color="auto" w:fill="auto"/>
            <w:noWrap w:val="0"/>
            <w:vAlign w:val="top"/>
          </w:tcPr>
          <w:p>
            <w:pPr>
              <w:spacing w:line="288" w:lineRule="auto"/>
              <w:ind w:firstLine="480" w:firstLineChars="200"/>
              <w:contextualSpacing/>
              <w:rPr>
                <w:rFonts w:hint="eastAsia" w:asciiTheme="minorEastAsia" w:hAnsiTheme="minorEastAsia" w:eastAsiaTheme="minorEastAsia"/>
                <w:bCs/>
                <w:color w:val="000000"/>
                <w:sz w:val="24"/>
                <w:szCs w:val="24"/>
              </w:rPr>
            </w:pPr>
          </w:p>
        </w:tc>
      </w:tr>
    </w:tbl>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lang w:eastAsia="zh-CN"/>
        </w:rPr>
        <w:t>【</w:t>
      </w:r>
      <w:r>
        <w:rPr>
          <w:rFonts w:hint="eastAsia" w:asciiTheme="minorEastAsia" w:hAnsiTheme="minorEastAsia" w:eastAsiaTheme="minorEastAsia"/>
          <w:bCs/>
          <w:color w:val="000000"/>
          <w:sz w:val="24"/>
          <w:szCs w:val="24"/>
          <w:lang w:val="en-US" w:eastAsia="zh-CN"/>
        </w:rPr>
        <w:t>2</w:t>
      </w:r>
      <w:r>
        <w:rPr>
          <w:rFonts w:hint="eastAsia" w:asciiTheme="minorEastAsia" w:hAnsiTheme="minorEastAsia" w:eastAsiaTheme="minorEastAsia"/>
          <w:bCs/>
          <w:color w:val="000000"/>
          <w:sz w:val="24"/>
          <w:szCs w:val="24"/>
          <w:lang w:eastAsia="zh-CN"/>
        </w:rPr>
        <w:t>】</w:t>
      </w:r>
      <w:r>
        <w:rPr>
          <w:rFonts w:hint="eastAsia" w:asciiTheme="minorEastAsia" w:hAnsiTheme="minorEastAsia" w:eastAsiaTheme="minorEastAsia"/>
          <w:bCs/>
          <w:color w:val="000000"/>
          <w:sz w:val="24"/>
          <w:szCs w:val="24"/>
        </w:rPr>
        <w:t>安全防护装备配置清单。</w:t>
      </w:r>
    </w:p>
    <w:tbl>
      <w:tblPr>
        <w:tblStyle w:val="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696"/>
        <w:gridCol w:w="991"/>
        <w:gridCol w:w="876"/>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5"/>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安全防护装备清单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序号</w:t>
            </w:r>
          </w:p>
        </w:tc>
        <w:tc>
          <w:tcPr>
            <w:tcW w:w="1696"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名称</w:t>
            </w:r>
          </w:p>
        </w:tc>
        <w:tc>
          <w:tcPr>
            <w:tcW w:w="991"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数量</w:t>
            </w:r>
          </w:p>
        </w:tc>
        <w:tc>
          <w:tcPr>
            <w:tcW w:w="876"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单位</w:t>
            </w:r>
          </w:p>
        </w:tc>
        <w:tc>
          <w:tcPr>
            <w:tcW w:w="4092"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用途及要求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1</w:t>
            </w:r>
          </w:p>
        </w:tc>
        <w:tc>
          <w:tcPr>
            <w:tcW w:w="1696"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工作服</w:t>
            </w:r>
          </w:p>
        </w:tc>
        <w:tc>
          <w:tcPr>
            <w:tcW w:w="991"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w:t>
            </w:r>
          </w:p>
        </w:tc>
        <w:tc>
          <w:tcPr>
            <w:tcW w:w="876"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套</w:t>
            </w:r>
          </w:p>
        </w:tc>
        <w:tc>
          <w:tcPr>
            <w:tcW w:w="4092" w:type="dxa"/>
            <w:shd w:val="clear" w:color="auto" w:fill="auto"/>
            <w:noWrap w:val="0"/>
            <w:vAlign w:val="center"/>
          </w:tcPr>
          <w:p>
            <w:pPr>
              <w:numPr>
                <w:ilvl w:val="0"/>
                <w:numId w:val="0"/>
              </w:num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lang w:val="en-US" w:eastAsia="zh-CN"/>
              </w:rPr>
              <w:t>1.</w:t>
            </w:r>
            <w:r>
              <w:rPr>
                <w:rFonts w:hint="eastAsia" w:asciiTheme="minorEastAsia" w:hAnsiTheme="minorEastAsia" w:eastAsiaTheme="minorEastAsia"/>
                <w:bCs/>
                <w:color w:val="000000"/>
                <w:sz w:val="24"/>
                <w:szCs w:val="24"/>
              </w:rPr>
              <w:t>必须是长裤</w:t>
            </w:r>
          </w:p>
          <w:p>
            <w:pPr>
              <w:numPr>
                <w:ilvl w:val="0"/>
                <w:numId w:val="0"/>
              </w:num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2.工作服必须紧身不松垮，达到三紧要求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2</w:t>
            </w:r>
          </w:p>
        </w:tc>
        <w:tc>
          <w:tcPr>
            <w:tcW w:w="1696"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工作手套</w:t>
            </w:r>
          </w:p>
        </w:tc>
        <w:tc>
          <w:tcPr>
            <w:tcW w:w="991"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w:t>
            </w:r>
          </w:p>
        </w:tc>
        <w:tc>
          <w:tcPr>
            <w:tcW w:w="876"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双</w:t>
            </w:r>
          </w:p>
        </w:tc>
        <w:tc>
          <w:tcPr>
            <w:tcW w:w="4092" w:type="dxa"/>
            <w:shd w:val="clear" w:color="auto" w:fill="auto"/>
            <w:noWrap w:val="0"/>
            <w:vAlign w:val="center"/>
          </w:tcPr>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耐磨、绝缘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3</w:t>
            </w:r>
          </w:p>
        </w:tc>
        <w:tc>
          <w:tcPr>
            <w:tcW w:w="1696"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安全帽</w:t>
            </w:r>
          </w:p>
        </w:tc>
        <w:tc>
          <w:tcPr>
            <w:tcW w:w="991"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w:t>
            </w:r>
          </w:p>
        </w:tc>
        <w:tc>
          <w:tcPr>
            <w:tcW w:w="876"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个</w:t>
            </w:r>
          </w:p>
        </w:tc>
        <w:tc>
          <w:tcPr>
            <w:tcW w:w="4092" w:type="dxa"/>
            <w:shd w:val="clear" w:color="auto" w:fill="auto"/>
            <w:noWrap w:val="0"/>
            <w:vAlign w:val="center"/>
          </w:tcPr>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1.防砸</w:t>
            </w:r>
          </w:p>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2.女生也必须佩戴且长发不得外露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noWrap w:val="0"/>
            <w:vAlign w:val="center"/>
          </w:tcPr>
          <w:p>
            <w:pPr>
              <w:spacing w:line="288" w:lineRule="auto"/>
              <w:ind w:firstLine="480" w:firstLineChars="200"/>
              <w:contextualSpacing/>
              <w:rPr>
                <w:rFonts w:hint="eastAsia" w:asciiTheme="minorEastAsia" w:hAnsiTheme="minorEastAsia" w:eastAsiaTheme="minorEastAsia"/>
                <w:bCs/>
                <w:color w:val="000000"/>
                <w:sz w:val="24"/>
                <w:szCs w:val="24"/>
                <w:lang w:val="en-US" w:eastAsia="zh-CN"/>
              </w:rPr>
            </w:pPr>
            <w:r>
              <w:rPr>
                <w:rFonts w:hint="eastAsia" w:asciiTheme="minorEastAsia" w:hAnsiTheme="minorEastAsia" w:eastAsiaTheme="minorEastAsia"/>
                <w:bCs/>
                <w:color w:val="000000"/>
                <w:sz w:val="24"/>
                <w:szCs w:val="24"/>
                <w:lang w:val="en-US" w:eastAsia="zh-CN"/>
              </w:rPr>
              <w:t>4</w:t>
            </w:r>
          </w:p>
        </w:tc>
        <w:tc>
          <w:tcPr>
            <w:tcW w:w="1696" w:type="dxa"/>
            <w:shd w:val="clear" w:color="auto" w:fill="auto"/>
            <w:noWrap w:val="0"/>
            <w:vAlign w:val="center"/>
          </w:tcPr>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禁止合闸标牌</w:t>
            </w:r>
          </w:p>
        </w:tc>
        <w:tc>
          <w:tcPr>
            <w:tcW w:w="991"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w:t>
            </w:r>
          </w:p>
        </w:tc>
        <w:tc>
          <w:tcPr>
            <w:tcW w:w="876" w:type="dxa"/>
            <w:shd w:val="clear" w:color="auto" w:fill="auto"/>
            <w:noWrap w:val="0"/>
            <w:vAlign w:val="center"/>
          </w:tcPr>
          <w:p>
            <w:pPr>
              <w:spacing w:line="288" w:lineRule="auto"/>
              <w:contextualSpacing/>
              <w:jc w:val="center"/>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个</w:t>
            </w:r>
          </w:p>
        </w:tc>
        <w:tc>
          <w:tcPr>
            <w:tcW w:w="4092" w:type="dxa"/>
            <w:shd w:val="clear" w:color="auto" w:fill="auto"/>
            <w:noWrap w:val="0"/>
            <w:vAlign w:val="center"/>
          </w:tcPr>
          <w:p>
            <w:pPr>
              <w:spacing w:line="288" w:lineRule="auto"/>
              <w:contextualSpacing/>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防护电源合闸操作</w:t>
            </w:r>
          </w:p>
        </w:tc>
      </w:tr>
    </w:tbl>
    <w:p>
      <w:pPr>
        <w:spacing w:line="288" w:lineRule="auto"/>
        <w:ind w:firstLine="480" w:firstLineChars="200"/>
        <w:contextualSpacing/>
        <w:rPr>
          <w:rFonts w:hint="eastAsia" w:asciiTheme="minorEastAsia" w:hAnsiTheme="minorEastAsia" w:eastAsiaTheme="minorEastAsia"/>
          <w:bCs/>
          <w:color w:val="000000"/>
          <w:sz w:val="24"/>
          <w:szCs w:val="24"/>
          <w:highlight w:val="none"/>
        </w:rPr>
      </w:pPr>
      <w:r>
        <w:rPr>
          <w:rFonts w:hint="eastAsia" w:asciiTheme="minorEastAsia" w:hAnsiTheme="minorEastAsia" w:eastAsiaTheme="minorEastAsia"/>
          <w:bCs/>
          <w:color w:val="000000"/>
          <w:sz w:val="24"/>
          <w:szCs w:val="24"/>
          <w:highlight w:val="none"/>
        </w:rPr>
        <w:t>注：比赛选手自带</w:t>
      </w:r>
      <w:r>
        <w:rPr>
          <w:rFonts w:hint="eastAsia" w:asciiTheme="minorEastAsia" w:hAnsiTheme="minorEastAsia" w:eastAsiaTheme="minorEastAsia"/>
          <w:bCs/>
          <w:color w:val="000000"/>
          <w:sz w:val="24"/>
          <w:szCs w:val="24"/>
          <w:highlight w:val="none"/>
          <w:lang w:val="en-US" w:eastAsia="zh-CN"/>
        </w:rPr>
        <w:t>绝缘鞋</w:t>
      </w:r>
      <w:r>
        <w:rPr>
          <w:rFonts w:hint="eastAsia" w:asciiTheme="minorEastAsia" w:hAnsiTheme="minorEastAsia" w:eastAsiaTheme="minorEastAsia"/>
          <w:bCs/>
          <w:color w:val="000000"/>
          <w:sz w:val="24"/>
          <w:szCs w:val="24"/>
          <w:highlight w:val="none"/>
        </w:rPr>
        <w:t>入场</w:t>
      </w:r>
      <w:r>
        <w:rPr>
          <w:rFonts w:hint="eastAsia" w:asciiTheme="minorEastAsia" w:hAnsiTheme="minorEastAsia" w:eastAsiaTheme="minorEastAsia"/>
          <w:bCs/>
          <w:color w:val="000000"/>
          <w:sz w:val="24"/>
          <w:szCs w:val="24"/>
          <w:highlight w:val="none"/>
          <w:lang w:eastAsia="zh-CN"/>
        </w:rPr>
        <w:t>，</w:t>
      </w:r>
      <w:r>
        <w:rPr>
          <w:rFonts w:hint="eastAsia" w:asciiTheme="minorEastAsia" w:hAnsiTheme="minorEastAsia" w:eastAsiaTheme="minorEastAsia"/>
          <w:bCs/>
          <w:color w:val="000000"/>
          <w:sz w:val="24"/>
          <w:szCs w:val="24"/>
          <w:highlight w:val="none"/>
          <w:lang w:val="en-US" w:eastAsia="zh-CN"/>
        </w:rPr>
        <w:t>要求绝缘鞋</w:t>
      </w:r>
      <w:r>
        <w:rPr>
          <w:rFonts w:hint="eastAsia" w:asciiTheme="minorEastAsia" w:hAnsiTheme="minorEastAsia" w:eastAsiaTheme="minorEastAsia"/>
          <w:bCs/>
          <w:color w:val="000000"/>
          <w:sz w:val="24"/>
          <w:szCs w:val="24"/>
          <w:highlight w:val="none"/>
        </w:rPr>
        <w:t>绝缘、防滑、防砸、防穿刺。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outlineLvl w:val="1"/>
        <w:rPr>
          <w:rFonts w:hint="eastAsia"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（2）软件环境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lang w:val="en-US" w:eastAsia="zh-CN"/>
        </w:rPr>
        <w:t>城市轨道交通车辆控制系统</w:t>
      </w:r>
      <w:r>
        <w:rPr>
          <w:rFonts w:hint="eastAsia" w:asciiTheme="minorEastAsia" w:hAnsiTheme="minorEastAsia" w:eastAsiaTheme="minorEastAsia"/>
          <w:bCs/>
          <w:color w:val="000000"/>
          <w:sz w:val="24"/>
          <w:szCs w:val="24"/>
        </w:rPr>
        <w:t>系统实训平台</w:t>
      </w:r>
      <w:r>
        <w:rPr>
          <w:rFonts w:hint="eastAsia" w:asciiTheme="minorEastAsia" w:hAnsiTheme="minorEastAsia" w:eastAsiaTheme="minorEastAsia"/>
          <w:sz w:val="24"/>
          <w:szCs w:val="24"/>
        </w:rPr>
        <w:t>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outlineLvl w:val="1"/>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（3）安全作业要求。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①选手在入场前需穿戴整齐安全防护装备，入场后根据工作分工，负责设计和编程的选手可以脱下安全帽、手套。选手参与到接线工作时，以上装备需穿戴整齐。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②选手入场后需对设备进行安全检查，如有安全隐患需报告裁判员等待指示。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③开始接线的选手需确认继电器柜处于断电状态，柜内电源总开关挂有禁止合闸的标识。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④选手需严格遵守禁止合闸标识的使用规则，凡是电源开关挂有此标识一律禁止接通电源。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⑤开始调试，上电合闸前，需要三位选手同时确认（选手需对所有线路进行检查确认），安排一人摘取禁止合闸牌，即可合闸上电。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⑥在一个调试阶段完成后，需对线路进行调整时，切断继电器柜电源开关，并挂上禁止合闸标识。如发现带电接线的将扣除相应分数。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⑦发现设备短路及烧损设备的情况需在切断设备电源的同时上报裁判员，如不及时上报将按照相应规则扣除双倍分数。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⑧选手入场时需明确灭火器位置，确保在发生意外燃烧时能够及时找到灭火设备。一旦发现有燃烧现象需立即停止比赛。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⑨如因违规操作或正常操作造成人员受伤需立即上报裁判员，停止比赛进行伤情处理。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⑩比赛结束后选手需确认继电器柜电源关闭，挂上禁止合闸标识。赛场内不得脱下安全防护装备。</w:t>
      </w:r>
    </w:p>
    <w:p>
      <w:pPr>
        <w:snapToGrid w:val="0"/>
        <w:spacing w:before="159" w:beforeLines="50" w:after="159" w:afterLines="50" w:line="288" w:lineRule="auto"/>
        <w:ind w:firstLine="482" w:firstLineChars="200"/>
        <w:contextualSpacing/>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三、重要说明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）检查硬件设备、实训工具、计算机是否完好且数量齐全。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）赛场已在计算机上安装比赛所需要的软件环境，检查电脑设备是否正常。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）禁止携带和使用移动存储设备、通信工具及参考资料。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）操作完成后，不要关闭任何设备，不要对设备随意添加密码，离开时将试卷留在考场。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）不要损坏赛场准备的比赛所需要的竞赛设备、竞赛软件和竞赛材料等。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）提供的材料根据大赛试题所列，足够每队使用，各参赛队不允许自带耗材。</w:t>
      </w:r>
    </w:p>
    <w:p>
      <w:pPr>
        <w:snapToGrid w:val="0"/>
        <w:spacing w:before="159" w:beforeLines="50" w:after="319" w:afterLines="100" w:line="288" w:lineRule="auto"/>
        <w:ind w:firstLine="482" w:firstLineChars="200"/>
        <w:contextualSpacing/>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四、参考资料</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 关于印发国家职业教育改革实施方案的通知（国发〔2019〕4 号）</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 GB/T 30012-2013城市轨道交通运营管理规范</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 GBT30013-2013城市轨道交通试运营基本条件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 城市轨道交通运营管理规定（中华人民共和国交通运输部令2018年第8号）</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 城市轨道交通行车组织管理办法（交运规〔2019〕14号）</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 地铁列车司机（中国劳动社会保障出版社K68-0702）</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 城市轨道交通列车司机国家职业技能标准（2019年版）</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 城市轨道交通列车司机协会职业技能标准</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 GB 50490-2009城市轨道交通技术标准</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[10]中等职业学校专业目录</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 普通高等学校高等职业教育（专科）专业目录及专业简介</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 普通高等学校本科专业目录</w:t>
      </w:r>
    </w:p>
    <w:p>
      <w:pPr>
        <w:snapToGrid w:val="0"/>
        <w:spacing w:before="159" w:beforeLines="50" w:after="319" w:afterLines="100" w:line="288" w:lineRule="auto"/>
        <w:ind w:firstLine="482" w:firstLineChars="200"/>
        <w:contextualSpacing/>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五、比赛流程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竞赛项目采取任务书形式下达竞赛要求，由3名选手合作完成竞赛任务书给定的任务。竞赛时间连续</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小时。竞赛流程参照图1。</w:t>
      </w:r>
    </w:p>
    <w:p>
      <w:pPr>
        <w:snapToGrid w:val="0"/>
        <w:spacing w:line="360" w:lineRule="auto"/>
        <w:jc w:val="both"/>
        <w:rPr>
          <w:rFonts w:hint="eastAsia" w:ascii="仿宋_GB2312" w:hAnsi="仿宋" w:eastAsia="仿宋_GB2312"/>
          <w:sz w:val="24"/>
          <w:lang w:eastAsia="zh-CN"/>
        </w:rPr>
      </w:pPr>
      <w:r>
        <w:rPr>
          <w:rFonts w:hint="eastAsia" w:ascii="仿宋_GB2312" w:hAnsi="仿宋" w:eastAsia="仿宋_GB2312"/>
          <w:sz w:val="24"/>
          <w:lang w:eastAsia="zh-CN"/>
        </w:rPr>
        <w:drawing>
          <wp:inline distT="0" distB="0" distL="114300" distR="114300">
            <wp:extent cx="5467985" cy="4723130"/>
            <wp:effectExtent l="0" t="0" r="18415" b="127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5"/>
                    <a:stretch>
                      <a:fillRect/>
                    </a:stretch>
                  </pic:blipFill>
                  <pic:spPr>
                    <a:xfrm>
                      <a:off x="0" y="0"/>
                      <a:ext cx="5467985" cy="4723130"/>
                    </a:xfrm>
                    <a:prstGeom prst="rect">
                      <a:avLst/>
                    </a:prstGeom>
                  </pic:spPr>
                </pic:pic>
              </a:graphicData>
            </a:graphic>
          </wp:inline>
        </w:drawing>
      </w:r>
    </w:p>
    <w:p>
      <w:pPr>
        <w:spacing w:line="360" w:lineRule="auto"/>
        <w:ind w:firstLine="480" w:firstLineChars="200"/>
        <w:rPr>
          <w:rFonts w:hint="eastAsia" w:asciiTheme="minorEastAsia" w:hAnsiTheme="minorEastAsia" w:eastAsiaTheme="minorEastAsia"/>
          <w:sz w:val="24"/>
          <w:szCs w:val="24"/>
        </w:rPr>
      </w:pPr>
    </w:p>
    <w:p>
      <w:pPr>
        <w:snapToGrid w:val="0"/>
        <w:spacing w:before="159" w:beforeLines="50" w:after="319" w:afterLines="100" w:line="288" w:lineRule="auto"/>
        <w:ind w:firstLine="482" w:firstLineChars="200"/>
        <w:contextualSpacing/>
        <w:outlineLvl w:val="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六、评分规定</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本次大赛比赛时间为</w:t>
      </w:r>
      <w:r>
        <w:rPr>
          <w:rFonts w:hint="eastAsia" w:asciiTheme="minorEastAsia" w:hAnsiTheme="minorEastAsia" w:eastAsiaTheme="minorEastAsia"/>
          <w:sz w:val="24"/>
          <w:szCs w:val="24"/>
          <w:lang w:eastAsia="zh-CN"/>
        </w:rPr>
        <w:t>60</w:t>
      </w:r>
      <w:r>
        <w:rPr>
          <w:rFonts w:hint="eastAsia" w:asciiTheme="minorEastAsia" w:hAnsiTheme="minorEastAsia" w:eastAsiaTheme="minorEastAsia"/>
          <w:sz w:val="24"/>
          <w:szCs w:val="24"/>
        </w:rPr>
        <w:t>分钟，为实际操作共计总分为100分。</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（一）评分标准</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时间为</w:t>
      </w:r>
      <w:r>
        <w:rPr>
          <w:rFonts w:hint="eastAsia" w:asciiTheme="minorEastAsia" w:hAnsiTheme="minorEastAsia" w:eastAsiaTheme="minorEastAsia"/>
          <w:sz w:val="24"/>
          <w:szCs w:val="24"/>
          <w:lang w:eastAsia="zh-CN"/>
        </w:rPr>
        <w:t>60</w:t>
      </w:r>
      <w:r>
        <w:rPr>
          <w:rFonts w:hint="eastAsia" w:asciiTheme="minorEastAsia" w:hAnsiTheme="minorEastAsia" w:eastAsiaTheme="minorEastAsia"/>
          <w:sz w:val="24"/>
          <w:szCs w:val="24"/>
        </w:rPr>
        <w:t>分钟，要求在规定时间内对轨道交通信号控制系统实训平台进行操作，按任务书要求实现比赛内容，到达规定比赛结束时间，停止一切操作，总分100分。具体评分标准如下表：</w:t>
      </w:r>
    </w:p>
    <w:tbl>
      <w:tblPr>
        <w:tblStyle w:val="7"/>
        <w:tblW w:w="103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417"/>
        <w:gridCol w:w="709"/>
        <w:gridCol w:w="2708"/>
        <w:gridCol w:w="850"/>
        <w:gridCol w:w="850"/>
        <w:gridCol w:w="3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blHeader/>
          <w:jc w:val="center"/>
        </w:trPr>
        <w:tc>
          <w:tcPr>
            <w:tcW w:w="706" w:type="dxa"/>
            <w:noWrap w:val="0"/>
            <w:vAlign w:val="center"/>
          </w:tcPr>
          <w:p>
            <w:pPr>
              <w:adjustRightInd w:val="0"/>
              <w:snapToGrid w:val="0"/>
              <w:jc w:val="center"/>
              <w:rPr>
                <w:rFonts w:ascii="宋体" w:hAnsi="宋体"/>
                <w:b/>
                <w:sz w:val="24"/>
                <w:szCs w:val="28"/>
              </w:rPr>
            </w:pPr>
            <w:r>
              <w:rPr>
                <w:rFonts w:ascii="宋体" w:hAnsi="宋体"/>
                <w:b/>
                <w:sz w:val="24"/>
                <w:szCs w:val="28"/>
              </w:rPr>
              <w:t>序号</w:t>
            </w:r>
          </w:p>
        </w:tc>
        <w:tc>
          <w:tcPr>
            <w:tcW w:w="1417" w:type="dxa"/>
            <w:tcBorders>
              <w:right w:val="single" w:color="auto" w:sz="4" w:space="0"/>
            </w:tcBorders>
            <w:noWrap w:val="0"/>
            <w:vAlign w:val="center"/>
          </w:tcPr>
          <w:p>
            <w:pPr>
              <w:adjustRightInd w:val="0"/>
              <w:snapToGrid w:val="0"/>
              <w:jc w:val="center"/>
              <w:rPr>
                <w:rFonts w:ascii="宋体" w:hAnsi="宋体"/>
                <w:b/>
                <w:sz w:val="24"/>
                <w:szCs w:val="28"/>
              </w:rPr>
            </w:pPr>
            <w:r>
              <w:rPr>
                <w:rFonts w:ascii="宋体" w:hAnsi="宋体"/>
                <w:b/>
                <w:sz w:val="24"/>
                <w:szCs w:val="28"/>
              </w:rPr>
              <w:t>项目</w:t>
            </w:r>
          </w:p>
        </w:tc>
        <w:tc>
          <w:tcPr>
            <w:tcW w:w="709" w:type="dxa"/>
            <w:tcBorders>
              <w:left w:val="single" w:color="auto" w:sz="4" w:space="0"/>
            </w:tcBorders>
            <w:noWrap w:val="0"/>
            <w:vAlign w:val="center"/>
          </w:tcPr>
          <w:p>
            <w:pPr>
              <w:adjustRightInd w:val="0"/>
              <w:snapToGrid w:val="0"/>
              <w:jc w:val="center"/>
              <w:rPr>
                <w:rFonts w:ascii="宋体" w:hAnsi="宋体"/>
                <w:b/>
                <w:sz w:val="24"/>
                <w:szCs w:val="28"/>
              </w:rPr>
            </w:pPr>
            <w:r>
              <w:rPr>
                <w:rFonts w:ascii="宋体" w:hAnsi="宋体"/>
                <w:b/>
                <w:sz w:val="24"/>
                <w:szCs w:val="28"/>
              </w:rPr>
              <w:t>分值</w:t>
            </w:r>
          </w:p>
        </w:tc>
        <w:tc>
          <w:tcPr>
            <w:tcW w:w="2708" w:type="dxa"/>
            <w:noWrap w:val="0"/>
            <w:vAlign w:val="center"/>
          </w:tcPr>
          <w:p>
            <w:pPr>
              <w:adjustRightInd w:val="0"/>
              <w:snapToGrid w:val="0"/>
              <w:jc w:val="center"/>
              <w:rPr>
                <w:rFonts w:ascii="宋体" w:hAnsi="宋体"/>
                <w:b/>
                <w:sz w:val="24"/>
                <w:szCs w:val="28"/>
              </w:rPr>
            </w:pPr>
            <w:r>
              <w:rPr>
                <w:rFonts w:ascii="宋体" w:hAnsi="宋体"/>
                <w:b/>
                <w:sz w:val="24"/>
                <w:szCs w:val="28"/>
              </w:rPr>
              <w:t>内容</w:t>
            </w:r>
          </w:p>
        </w:tc>
        <w:tc>
          <w:tcPr>
            <w:tcW w:w="850" w:type="dxa"/>
            <w:noWrap w:val="0"/>
            <w:vAlign w:val="center"/>
          </w:tcPr>
          <w:p>
            <w:pPr>
              <w:adjustRightInd w:val="0"/>
              <w:snapToGrid w:val="0"/>
              <w:jc w:val="center"/>
              <w:rPr>
                <w:rFonts w:ascii="宋体" w:hAnsi="宋体"/>
                <w:b/>
                <w:sz w:val="24"/>
                <w:szCs w:val="28"/>
              </w:rPr>
            </w:pPr>
            <w:r>
              <w:rPr>
                <w:rFonts w:ascii="宋体" w:hAnsi="宋体"/>
                <w:b/>
                <w:sz w:val="24"/>
                <w:szCs w:val="28"/>
              </w:rPr>
              <w:t>分值</w:t>
            </w:r>
          </w:p>
          <w:p>
            <w:pPr>
              <w:adjustRightInd w:val="0"/>
              <w:snapToGrid w:val="0"/>
              <w:jc w:val="center"/>
              <w:rPr>
                <w:rFonts w:ascii="宋体" w:hAnsi="宋体"/>
                <w:b/>
                <w:sz w:val="24"/>
                <w:szCs w:val="28"/>
              </w:rPr>
            </w:pPr>
            <w:r>
              <w:rPr>
                <w:rFonts w:ascii="宋体" w:hAnsi="宋体"/>
                <w:b/>
                <w:sz w:val="24"/>
                <w:szCs w:val="28"/>
              </w:rPr>
              <w:t>比重</w:t>
            </w:r>
          </w:p>
        </w:tc>
        <w:tc>
          <w:tcPr>
            <w:tcW w:w="850" w:type="dxa"/>
            <w:noWrap w:val="0"/>
            <w:vAlign w:val="center"/>
          </w:tcPr>
          <w:p>
            <w:pPr>
              <w:adjustRightInd w:val="0"/>
              <w:snapToGrid w:val="0"/>
              <w:jc w:val="center"/>
              <w:rPr>
                <w:rFonts w:ascii="宋体" w:hAnsi="宋体"/>
                <w:b/>
                <w:sz w:val="24"/>
                <w:szCs w:val="28"/>
              </w:rPr>
            </w:pPr>
            <w:r>
              <w:rPr>
                <w:rFonts w:hint="eastAsia" w:ascii="宋体" w:hAnsi="宋体"/>
                <w:b/>
                <w:sz w:val="24"/>
                <w:szCs w:val="28"/>
              </w:rPr>
              <w:t>公开题量</w:t>
            </w:r>
          </w:p>
        </w:tc>
        <w:tc>
          <w:tcPr>
            <w:tcW w:w="3068" w:type="dxa"/>
            <w:noWrap w:val="0"/>
            <w:vAlign w:val="center"/>
          </w:tcPr>
          <w:p>
            <w:pPr>
              <w:adjustRightInd w:val="0"/>
              <w:snapToGrid w:val="0"/>
              <w:jc w:val="center"/>
              <w:rPr>
                <w:rFonts w:ascii="宋体" w:hAnsi="宋体"/>
                <w:b/>
                <w:sz w:val="24"/>
                <w:szCs w:val="28"/>
              </w:rPr>
            </w:pPr>
            <w:r>
              <w:rPr>
                <w:rFonts w:ascii="宋体" w:hAnsi="宋体"/>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06" w:type="dxa"/>
            <w:vMerge w:val="restart"/>
            <w:noWrap w:val="0"/>
            <w:vAlign w:val="center"/>
          </w:tcPr>
          <w:p>
            <w:pPr>
              <w:adjustRightInd w:val="0"/>
              <w:snapToGrid w:val="0"/>
              <w:jc w:val="center"/>
              <w:rPr>
                <w:rFonts w:hint="eastAsia" w:ascii="宋体" w:hAnsi="宋体" w:eastAsia="宋体"/>
                <w:sz w:val="24"/>
                <w:szCs w:val="28"/>
                <w:lang w:val="en-US" w:eastAsia="zh-CN"/>
              </w:rPr>
            </w:pPr>
            <w:r>
              <w:rPr>
                <w:rFonts w:hint="eastAsia" w:ascii="宋体" w:hAnsi="宋体"/>
                <w:sz w:val="24"/>
                <w:szCs w:val="28"/>
                <w:lang w:val="en-US" w:eastAsia="zh-CN"/>
              </w:rPr>
              <w:t>1</w:t>
            </w:r>
          </w:p>
        </w:tc>
        <w:tc>
          <w:tcPr>
            <w:tcW w:w="1417" w:type="dxa"/>
            <w:vMerge w:val="restart"/>
            <w:tcBorders>
              <w:right w:val="single" w:color="auto" w:sz="4" w:space="0"/>
            </w:tcBorders>
            <w:noWrap w:val="0"/>
            <w:vAlign w:val="center"/>
          </w:tcPr>
          <w:p>
            <w:pPr>
              <w:adjustRightInd w:val="0"/>
              <w:snapToGrid w:val="0"/>
              <w:rPr>
                <w:rFonts w:hint="eastAsia" w:ascii="宋体" w:hAnsi="宋体"/>
                <w:sz w:val="24"/>
                <w:szCs w:val="28"/>
              </w:rPr>
            </w:pPr>
            <w:r>
              <w:rPr>
                <w:rFonts w:hint="eastAsia" w:ascii="宋体" w:hAnsi="宋体"/>
                <w:sz w:val="24"/>
                <w:szCs w:val="28"/>
              </w:rPr>
              <w:t>控制逻辑编程</w:t>
            </w:r>
          </w:p>
        </w:tc>
        <w:tc>
          <w:tcPr>
            <w:tcW w:w="709" w:type="dxa"/>
            <w:vMerge w:val="restart"/>
            <w:tcBorders>
              <w:left w:val="single" w:color="auto" w:sz="4" w:space="0"/>
            </w:tcBorders>
            <w:noWrap w:val="0"/>
            <w:vAlign w:val="center"/>
          </w:tcPr>
          <w:p>
            <w:pPr>
              <w:adjustRightInd w:val="0"/>
              <w:snapToGrid w:val="0"/>
              <w:jc w:val="center"/>
              <w:rPr>
                <w:rFonts w:hint="default" w:ascii="宋体" w:hAnsi="宋体"/>
                <w:sz w:val="24"/>
                <w:szCs w:val="28"/>
                <w:lang w:val="en-US" w:eastAsia="zh-CN"/>
              </w:rPr>
            </w:pPr>
            <w:r>
              <w:rPr>
                <w:rFonts w:hint="eastAsia" w:ascii="宋体" w:hAnsi="宋体"/>
                <w:sz w:val="24"/>
                <w:szCs w:val="28"/>
                <w:lang w:val="en-US" w:eastAsia="zh-CN"/>
              </w:rPr>
              <w:t>25</w:t>
            </w:r>
          </w:p>
        </w:tc>
        <w:tc>
          <w:tcPr>
            <w:tcW w:w="2708" w:type="dxa"/>
            <w:noWrap w:val="0"/>
            <w:vAlign w:val="center"/>
          </w:tcPr>
          <w:p>
            <w:pPr>
              <w:adjustRightInd w:val="0"/>
              <w:snapToGrid w:val="0"/>
              <w:rPr>
                <w:rFonts w:hint="eastAsia" w:ascii="宋体" w:hAnsi="宋体"/>
                <w:sz w:val="24"/>
                <w:szCs w:val="28"/>
              </w:rPr>
            </w:pPr>
            <w:r>
              <w:rPr>
                <w:rFonts w:hint="eastAsia" w:ascii="宋体" w:hAnsi="宋体"/>
                <w:sz w:val="24"/>
                <w:szCs w:val="28"/>
              </w:rPr>
              <w:t>报站指示灯控制</w:t>
            </w:r>
          </w:p>
        </w:tc>
        <w:tc>
          <w:tcPr>
            <w:tcW w:w="850" w:type="dxa"/>
            <w:vMerge w:val="restart"/>
            <w:noWrap w:val="0"/>
            <w:vAlign w:val="center"/>
          </w:tcPr>
          <w:p>
            <w:pPr>
              <w:adjustRightInd w:val="0"/>
              <w:snapToGrid w:val="0"/>
              <w:jc w:val="center"/>
              <w:rPr>
                <w:rFonts w:hint="default" w:ascii="宋体" w:hAnsi="宋体" w:eastAsia="宋体"/>
                <w:sz w:val="24"/>
                <w:szCs w:val="28"/>
                <w:lang w:val="en-US" w:eastAsia="zh-CN"/>
              </w:rPr>
            </w:pPr>
            <w:r>
              <w:rPr>
                <w:rFonts w:hint="eastAsia" w:ascii="宋体" w:hAnsi="宋体"/>
                <w:sz w:val="24"/>
                <w:szCs w:val="28"/>
                <w:lang w:val="en-US" w:eastAsia="zh-CN"/>
              </w:rPr>
              <w:t>25%</w:t>
            </w:r>
          </w:p>
        </w:tc>
        <w:tc>
          <w:tcPr>
            <w:tcW w:w="850" w:type="dxa"/>
            <w:noWrap w:val="0"/>
            <w:vAlign w:val="center"/>
          </w:tcPr>
          <w:p>
            <w:pPr>
              <w:adjustRightInd w:val="0"/>
              <w:snapToGrid w:val="0"/>
              <w:jc w:val="center"/>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1</w:t>
            </w:r>
          </w:p>
        </w:tc>
        <w:tc>
          <w:tcPr>
            <w:tcW w:w="3068" w:type="dxa"/>
            <w:noWrap w:val="0"/>
            <w:vAlign w:val="center"/>
          </w:tcPr>
          <w:p>
            <w:pPr>
              <w:adjustRightInd w:val="0"/>
              <w:snapToGrid w:val="0"/>
              <w:rPr>
                <w:rFonts w:hint="eastAsia" w:ascii="宋体" w:hAnsi="宋体"/>
                <w:sz w:val="24"/>
                <w:szCs w:val="28"/>
              </w:rPr>
            </w:pPr>
            <w:r>
              <w:rPr>
                <w:rFonts w:hint="eastAsia" w:ascii="宋体" w:hAnsi="宋体"/>
                <w:sz w:val="24"/>
                <w:szCs w:val="28"/>
              </w:rPr>
              <w:t>必考设计题1道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706" w:type="dxa"/>
            <w:vMerge w:val="continue"/>
            <w:noWrap w:val="0"/>
            <w:vAlign w:val="center"/>
          </w:tcPr>
          <w:p>
            <w:pPr>
              <w:adjustRightInd w:val="0"/>
              <w:snapToGrid w:val="0"/>
              <w:jc w:val="center"/>
              <w:rPr>
                <w:rFonts w:ascii="宋体" w:hAnsi="宋体"/>
                <w:sz w:val="24"/>
                <w:szCs w:val="28"/>
              </w:rPr>
            </w:pPr>
          </w:p>
        </w:tc>
        <w:tc>
          <w:tcPr>
            <w:tcW w:w="1417" w:type="dxa"/>
            <w:vMerge w:val="continue"/>
            <w:tcBorders>
              <w:right w:val="single" w:color="auto" w:sz="4" w:space="0"/>
            </w:tcBorders>
            <w:noWrap w:val="0"/>
            <w:vAlign w:val="center"/>
          </w:tcPr>
          <w:p>
            <w:pPr>
              <w:adjustRightInd w:val="0"/>
              <w:snapToGrid w:val="0"/>
              <w:rPr>
                <w:rFonts w:hint="eastAsia" w:ascii="宋体" w:hAnsi="宋体"/>
                <w:sz w:val="24"/>
                <w:szCs w:val="28"/>
              </w:rPr>
            </w:pPr>
          </w:p>
        </w:tc>
        <w:tc>
          <w:tcPr>
            <w:tcW w:w="709" w:type="dxa"/>
            <w:vMerge w:val="continue"/>
            <w:tcBorders>
              <w:left w:val="single" w:color="auto" w:sz="4" w:space="0"/>
            </w:tcBorders>
            <w:noWrap w:val="0"/>
            <w:vAlign w:val="center"/>
          </w:tcPr>
          <w:p>
            <w:pPr>
              <w:adjustRightInd w:val="0"/>
              <w:snapToGrid w:val="0"/>
              <w:jc w:val="center"/>
              <w:rPr>
                <w:rFonts w:hint="eastAsia" w:ascii="宋体" w:hAnsi="宋体"/>
                <w:sz w:val="24"/>
                <w:szCs w:val="28"/>
                <w:lang w:val="en-US" w:eastAsia="zh-CN"/>
              </w:rPr>
            </w:pPr>
          </w:p>
        </w:tc>
        <w:tc>
          <w:tcPr>
            <w:tcW w:w="2708" w:type="dxa"/>
            <w:noWrap w:val="0"/>
            <w:vAlign w:val="center"/>
          </w:tcPr>
          <w:p>
            <w:pPr>
              <w:adjustRightInd w:val="0"/>
              <w:snapToGrid w:val="0"/>
              <w:rPr>
                <w:rFonts w:hint="eastAsia" w:ascii="宋体" w:hAnsi="宋体"/>
                <w:sz w:val="24"/>
                <w:szCs w:val="28"/>
              </w:rPr>
            </w:pPr>
            <w:r>
              <w:rPr>
                <w:rFonts w:hint="eastAsia" w:ascii="宋体" w:hAnsi="宋体"/>
                <w:sz w:val="24"/>
                <w:szCs w:val="28"/>
              </w:rPr>
              <w:t>门控单元逻辑设计</w:t>
            </w:r>
          </w:p>
        </w:tc>
        <w:tc>
          <w:tcPr>
            <w:tcW w:w="850" w:type="dxa"/>
            <w:vMerge w:val="continue"/>
            <w:noWrap w:val="0"/>
            <w:vAlign w:val="center"/>
          </w:tcPr>
          <w:p>
            <w:pPr>
              <w:adjustRightInd w:val="0"/>
              <w:snapToGrid w:val="0"/>
              <w:jc w:val="center"/>
              <w:rPr>
                <w:rFonts w:hint="eastAsia" w:ascii="宋体" w:hAnsi="宋体"/>
                <w:sz w:val="24"/>
                <w:szCs w:val="28"/>
              </w:rPr>
            </w:pPr>
          </w:p>
        </w:tc>
        <w:tc>
          <w:tcPr>
            <w:tcW w:w="850" w:type="dxa"/>
            <w:noWrap w:val="0"/>
            <w:vAlign w:val="center"/>
          </w:tcPr>
          <w:p>
            <w:pPr>
              <w:adjustRightInd w:val="0"/>
              <w:snapToGrid w:val="0"/>
              <w:jc w:val="center"/>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1</w:t>
            </w:r>
          </w:p>
        </w:tc>
        <w:tc>
          <w:tcPr>
            <w:tcW w:w="3068" w:type="dxa"/>
            <w:noWrap w:val="0"/>
            <w:vAlign w:val="center"/>
          </w:tcPr>
          <w:p>
            <w:pPr>
              <w:adjustRightInd w:val="0"/>
              <w:snapToGrid w:val="0"/>
              <w:rPr>
                <w:rFonts w:hint="eastAsia" w:ascii="宋体" w:hAnsi="宋体"/>
                <w:sz w:val="24"/>
                <w:szCs w:val="28"/>
              </w:rPr>
            </w:pPr>
            <w:r>
              <w:rPr>
                <w:rFonts w:hint="eastAsia" w:ascii="宋体" w:hAnsi="宋体"/>
                <w:sz w:val="24"/>
                <w:szCs w:val="28"/>
              </w:rPr>
              <w:t>必考设计题1道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6" w:type="dxa"/>
            <w:vMerge w:val="restart"/>
            <w:noWrap w:val="0"/>
            <w:vAlign w:val="center"/>
          </w:tcPr>
          <w:p>
            <w:pPr>
              <w:adjustRightInd w:val="0"/>
              <w:snapToGrid w:val="0"/>
              <w:jc w:val="center"/>
              <w:rPr>
                <w:rFonts w:hint="eastAsia" w:ascii="宋体" w:hAnsi="宋体" w:eastAsia="宋体"/>
                <w:sz w:val="24"/>
                <w:szCs w:val="28"/>
                <w:lang w:val="en-US" w:eastAsia="zh-CN"/>
              </w:rPr>
            </w:pPr>
            <w:r>
              <w:rPr>
                <w:rFonts w:hint="eastAsia" w:ascii="宋体" w:hAnsi="宋体"/>
                <w:sz w:val="24"/>
                <w:szCs w:val="28"/>
                <w:lang w:val="en-US" w:eastAsia="zh-CN"/>
              </w:rPr>
              <w:t>2</w:t>
            </w:r>
          </w:p>
        </w:tc>
        <w:tc>
          <w:tcPr>
            <w:tcW w:w="1417" w:type="dxa"/>
            <w:vMerge w:val="restart"/>
            <w:tcBorders>
              <w:right w:val="single" w:color="auto" w:sz="4" w:space="0"/>
            </w:tcBorders>
            <w:noWrap w:val="0"/>
            <w:vAlign w:val="center"/>
          </w:tcPr>
          <w:p>
            <w:pPr>
              <w:adjustRightInd w:val="0"/>
              <w:snapToGrid w:val="0"/>
              <w:rPr>
                <w:rFonts w:ascii="宋体" w:hAnsi="宋体"/>
                <w:sz w:val="24"/>
                <w:szCs w:val="28"/>
              </w:rPr>
            </w:pPr>
            <w:r>
              <w:rPr>
                <w:rFonts w:hint="eastAsia" w:ascii="宋体" w:hAnsi="宋体"/>
                <w:sz w:val="24"/>
                <w:szCs w:val="28"/>
              </w:rPr>
              <w:t>车辆控制电路原理分析与设计</w:t>
            </w:r>
          </w:p>
        </w:tc>
        <w:tc>
          <w:tcPr>
            <w:tcW w:w="709" w:type="dxa"/>
            <w:vMerge w:val="restart"/>
            <w:tcBorders>
              <w:left w:val="single" w:color="auto" w:sz="4" w:space="0"/>
            </w:tcBorders>
            <w:noWrap w:val="0"/>
            <w:vAlign w:val="center"/>
          </w:tcPr>
          <w:p>
            <w:pPr>
              <w:adjustRightInd w:val="0"/>
              <w:snapToGrid w:val="0"/>
              <w:jc w:val="center"/>
              <w:rPr>
                <w:rFonts w:hint="default" w:ascii="宋体" w:hAnsi="宋体" w:eastAsia="宋体"/>
                <w:sz w:val="24"/>
                <w:szCs w:val="28"/>
                <w:lang w:val="en-US" w:eastAsia="zh-CN"/>
              </w:rPr>
            </w:pPr>
            <w:r>
              <w:rPr>
                <w:rFonts w:hint="eastAsia" w:ascii="宋体" w:hAnsi="宋体"/>
                <w:sz w:val="24"/>
                <w:szCs w:val="28"/>
                <w:lang w:val="en-US" w:eastAsia="zh-CN"/>
              </w:rPr>
              <w:t>30</w:t>
            </w:r>
          </w:p>
        </w:tc>
        <w:tc>
          <w:tcPr>
            <w:tcW w:w="2708" w:type="dxa"/>
            <w:noWrap w:val="0"/>
            <w:vAlign w:val="center"/>
          </w:tcPr>
          <w:p>
            <w:pPr>
              <w:adjustRightInd w:val="0"/>
              <w:snapToGrid w:val="0"/>
              <w:rPr>
                <w:rFonts w:ascii="宋体" w:hAnsi="宋体"/>
                <w:sz w:val="24"/>
                <w:szCs w:val="28"/>
                <w:highlight w:val="none"/>
              </w:rPr>
            </w:pPr>
            <w:r>
              <w:rPr>
                <w:rFonts w:hint="eastAsia" w:ascii="宋体" w:hAnsi="宋体"/>
                <w:sz w:val="24"/>
                <w:szCs w:val="28"/>
                <w:highlight w:val="none"/>
                <w:lang w:val="en-US" w:eastAsia="zh-CN"/>
              </w:rPr>
              <w:t>画图题：受电弓控制电路、车门监视电路、牵引及制动指令电路</w:t>
            </w:r>
          </w:p>
        </w:tc>
        <w:tc>
          <w:tcPr>
            <w:tcW w:w="850" w:type="dxa"/>
            <w:noWrap w:val="0"/>
            <w:vAlign w:val="center"/>
          </w:tcPr>
          <w:p>
            <w:pPr>
              <w:adjustRightInd w:val="0"/>
              <w:snapToGrid w:val="0"/>
              <w:jc w:val="center"/>
              <w:rPr>
                <w:rFonts w:hint="default" w:ascii="宋体" w:hAnsi="宋体" w:eastAsia="宋体"/>
                <w:sz w:val="24"/>
                <w:szCs w:val="28"/>
                <w:lang w:val="en-US" w:eastAsia="zh-CN"/>
              </w:rPr>
            </w:pPr>
            <w:r>
              <w:rPr>
                <w:rFonts w:hint="eastAsia" w:ascii="宋体" w:hAnsi="宋体"/>
                <w:sz w:val="24"/>
                <w:szCs w:val="28"/>
                <w:lang w:val="en-US" w:eastAsia="zh-CN"/>
              </w:rPr>
              <w:t>20%</w:t>
            </w:r>
          </w:p>
        </w:tc>
        <w:tc>
          <w:tcPr>
            <w:tcW w:w="850" w:type="dxa"/>
            <w:noWrap w:val="0"/>
            <w:vAlign w:val="center"/>
          </w:tcPr>
          <w:p>
            <w:pPr>
              <w:adjustRightInd w:val="0"/>
              <w:snapToGrid w:val="0"/>
              <w:jc w:val="center"/>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2</w:t>
            </w:r>
          </w:p>
        </w:tc>
        <w:tc>
          <w:tcPr>
            <w:tcW w:w="3068" w:type="dxa"/>
            <w:vMerge w:val="restart"/>
            <w:noWrap w:val="0"/>
            <w:vAlign w:val="center"/>
          </w:tcPr>
          <w:p>
            <w:pPr>
              <w:numPr>
                <w:ilvl w:val="0"/>
                <w:numId w:val="0"/>
              </w:numPr>
              <w:adjustRightInd w:val="0"/>
              <w:snapToGrid w:val="0"/>
              <w:rPr>
                <w:rFonts w:hint="eastAsia" w:ascii="宋体" w:hAnsi="宋体" w:eastAsia="宋体"/>
                <w:sz w:val="24"/>
                <w:szCs w:val="28"/>
                <w:highlight w:val="green"/>
                <w:lang w:eastAsia="zh-CN"/>
              </w:rPr>
            </w:pPr>
            <w:r>
              <w:rPr>
                <w:rFonts w:hint="eastAsia" w:ascii="宋体" w:hAnsi="宋体"/>
                <w:sz w:val="24"/>
                <w:szCs w:val="28"/>
                <w:lang w:val="en-US" w:eastAsia="zh-CN"/>
              </w:rPr>
              <w:t>1.</w:t>
            </w:r>
            <w:r>
              <w:rPr>
                <w:rFonts w:hint="eastAsia" w:ascii="宋体" w:hAnsi="宋体"/>
                <w:sz w:val="24"/>
                <w:szCs w:val="28"/>
              </w:rPr>
              <w:t>抽取3种类型的设计题1道，进行电路设计与绘制</w:t>
            </w:r>
            <w:r>
              <w:rPr>
                <w:rFonts w:hint="eastAsia" w:ascii="宋体" w:hAnsi="宋体"/>
                <w:sz w:val="24"/>
                <w:szCs w:val="28"/>
                <w:lang w:eastAsia="zh-CN"/>
              </w:rPr>
              <w:t>。</w:t>
            </w:r>
          </w:p>
          <w:p>
            <w:pPr>
              <w:adjustRightInd w:val="0"/>
              <w:snapToGrid w:val="0"/>
              <w:rPr>
                <w:rFonts w:hint="eastAsia" w:ascii="宋体" w:hAnsi="宋体" w:eastAsia="宋体"/>
                <w:sz w:val="24"/>
                <w:szCs w:val="28"/>
                <w:highlight w:val="green"/>
                <w:lang w:eastAsia="zh-CN"/>
              </w:rPr>
            </w:pPr>
            <w:r>
              <w:rPr>
                <w:rFonts w:hint="eastAsia" w:ascii="宋体" w:hAnsi="宋体"/>
                <w:sz w:val="24"/>
                <w:szCs w:val="28"/>
                <w:lang w:val="en-US" w:eastAsia="zh-CN"/>
              </w:rPr>
              <w:t>2.</w:t>
            </w:r>
            <w:r>
              <w:rPr>
                <w:rFonts w:hint="eastAsia" w:ascii="宋体" w:hAnsi="宋体"/>
                <w:sz w:val="24"/>
                <w:szCs w:val="28"/>
              </w:rPr>
              <w:t>抽取</w:t>
            </w:r>
            <w:r>
              <w:rPr>
                <w:rFonts w:hint="eastAsia" w:ascii="宋体" w:hAnsi="宋体"/>
                <w:sz w:val="24"/>
                <w:szCs w:val="28"/>
                <w:lang w:val="en-US" w:eastAsia="zh-CN"/>
              </w:rPr>
              <w:t>4</w:t>
            </w:r>
            <w:r>
              <w:rPr>
                <w:rFonts w:hint="eastAsia" w:ascii="宋体" w:hAnsi="宋体"/>
                <w:sz w:val="24"/>
                <w:szCs w:val="28"/>
              </w:rPr>
              <w:t>种类型的</w:t>
            </w:r>
            <w:r>
              <w:rPr>
                <w:rFonts w:hint="eastAsia" w:ascii="宋体" w:hAnsi="宋体"/>
                <w:sz w:val="24"/>
                <w:szCs w:val="28"/>
                <w:lang w:val="en-US" w:eastAsia="zh-CN"/>
              </w:rPr>
              <w:t>改错</w:t>
            </w:r>
            <w:r>
              <w:rPr>
                <w:rFonts w:hint="eastAsia" w:ascii="宋体" w:hAnsi="宋体"/>
                <w:sz w:val="24"/>
                <w:szCs w:val="28"/>
              </w:rPr>
              <w:t>题1道，进行电路分析与错误修正</w:t>
            </w:r>
            <w:r>
              <w:rPr>
                <w:rFonts w:hint="eastAsia" w:ascii="宋体" w:hAnsi="宋体"/>
                <w:sz w:val="24"/>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06" w:type="dxa"/>
            <w:vMerge w:val="continue"/>
            <w:noWrap w:val="0"/>
            <w:vAlign w:val="center"/>
          </w:tcPr>
          <w:p>
            <w:pPr>
              <w:adjustRightInd w:val="0"/>
              <w:snapToGrid w:val="0"/>
              <w:jc w:val="center"/>
              <w:rPr>
                <w:rFonts w:ascii="宋体" w:hAnsi="宋体"/>
                <w:sz w:val="24"/>
                <w:szCs w:val="28"/>
              </w:rPr>
            </w:pPr>
          </w:p>
        </w:tc>
        <w:tc>
          <w:tcPr>
            <w:tcW w:w="1417" w:type="dxa"/>
            <w:vMerge w:val="continue"/>
            <w:tcBorders>
              <w:right w:val="single" w:color="auto" w:sz="4" w:space="0"/>
            </w:tcBorders>
            <w:noWrap w:val="0"/>
            <w:vAlign w:val="center"/>
          </w:tcPr>
          <w:p>
            <w:pPr>
              <w:adjustRightInd w:val="0"/>
              <w:snapToGrid w:val="0"/>
              <w:rPr>
                <w:rFonts w:ascii="宋体" w:hAnsi="宋体"/>
                <w:sz w:val="24"/>
                <w:szCs w:val="28"/>
              </w:rPr>
            </w:pPr>
          </w:p>
        </w:tc>
        <w:tc>
          <w:tcPr>
            <w:tcW w:w="709" w:type="dxa"/>
            <w:vMerge w:val="continue"/>
            <w:tcBorders>
              <w:left w:val="single" w:color="auto" w:sz="4" w:space="0"/>
            </w:tcBorders>
            <w:noWrap w:val="0"/>
            <w:vAlign w:val="center"/>
          </w:tcPr>
          <w:p>
            <w:pPr>
              <w:adjustRightInd w:val="0"/>
              <w:snapToGrid w:val="0"/>
              <w:jc w:val="center"/>
              <w:rPr>
                <w:rFonts w:ascii="宋体" w:hAnsi="宋体"/>
                <w:sz w:val="24"/>
                <w:szCs w:val="28"/>
              </w:rPr>
            </w:pPr>
          </w:p>
        </w:tc>
        <w:tc>
          <w:tcPr>
            <w:tcW w:w="2708" w:type="dxa"/>
            <w:noWrap w:val="0"/>
            <w:vAlign w:val="center"/>
          </w:tcPr>
          <w:p>
            <w:pPr>
              <w:adjustRightInd w:val="0"/>
              <w:snapToGrid w:val="0"/>
              <w:rPr>
                <w:rFonts w:ascii="宋体" w:hAnsi="宋体"/>
                <w:sz w:val="24"/>
                <w:szCs w:val="28"/>
                <w:highlight w:val="none"/>
              </w:rPr>
            </w:pPr>
            <w:r>
              <w:rPr>
                <w:rFonts w:hint="eastAsia" w:ascii="宋体" w:hAnsi="宋体"/>
                <w:sz w:val="24"/>
                <w:szCs w:val="28"/>
                <w:highlight w:val="none"/>
                <w:lang w:val="en-US" w:eastAsia="zh-CN"/>
              </w:rPr>
              <w:t>改错题：主断控制与监视电路、停放制动控制与监视、客室门控制电路、车门监视电路</w:t>
            </w:r>
          </w:p>
        </w:tc>
        <w:tc>
          <w:tcPr>
            <w:tcW w:w="850" w:type="dxa"/>
            <w:noWrap w:val="0"/>
            <w:vAlign w:val="center"/>
          </w:tcPr>
          <w:p>
            <w:pPr>
              <w:adjustRightInd w:val="0"/>
              <w:snapToGrid w:val="0"/>
              <w:jc w:val="center"/>
              <w:rPr>
                <w:rFonts w:hint="default" w:ascii="宋体" w:hAnsi="宋体" w:eastAsia="宋体"/>
                <w:sz w:val="24"/>
                <w:szCs w:val="28"/>
                <w:lang w:val="en-US" w:eastAsia="zh-CN"/>
              </w:rPr>
            </w:pPr>
            <w:r>
              <w:rPr>
                <w:rFonts w:hint="eastAsia" w:ascii="宋体" w:hAnsi="宋体"/>
                <w:sz w:val="24"/>
                <w:szCs w:val="28"/>
                <w:lang w:val="en-US" w:eastAsia="zh-CN"/>
              </w:rPr>
              <w:t>10%</w:t>
            </w:r>
          </w:p>
        </w:tc>
        <w:tc>
          <w:tcPr>
            <w:tcW w:w="850" w:type="dxa"/>
            <w:noWrap w:val="0"/>
            <w:vAlign w:val="center"/>
          </w:tcPr>
          <w:p>
            <w:pPr>
              <w:adjustRightInd w:val="0"/>
              <w:snapToGrid w:val="0"/>
              <w:jc w:val="center"/>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2</w:t>
            </w:r>
          </w:p>
        </w:tc>
        <w:tc>
          <w:tcPr>
            <w:tcW w:w="3068" w:type="dxa"/>
            <w:vMerge w:val="continue"/>
            <w:noWrap w:val="0"/>
            <w:vAlign w:val="center"/>
          </w:tcPr>
          <w:p>
            <w:pPr>
              <w:adjustRightInd w:val="0"/>
              <w:snapToGrid w:val="0"/>
              <w:rPr>
                <w:rFonts w:ascii="宋体" w:hAns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06" w:type="dxa"/>
            <w:vMerge w:val="restart"/>
            <w:noWrap w:val="0"/>
            <w:vAlign w:val="center"/>
          </w:tcPr>
          <w:p>
            <w:pPr>
              <w:adjustRightInd w:val="0"/>
              <w:snapToGrid w:val="0"/>
              <w:jc w:val="center"/>
              <w:rPr>
                <w:rFonts w:hint="eastAsia" w:ascii="宋体" w:hAnsi="宋体" w:eastAsia="宋体"/>
                <w:sz w:val="24"/>
                <w:szCs w:val="28"/>
                <w:lang w:eastAsia="zh-CN"/>
              </w:rPr>
            </w:pPr>
            <w:r>
              <w:rPr>
                <w:rFonts w:hint="eastAsia" w:ascii="宋体" w:hAnsi="宋体"/>
                <w:sz w:val="24"/>
                <w:szCs w:val="28"/>
                <w:lang w:val="en-US" w:eastAsia="zh-CN"/>
              </w:rPr>
              <w:t>2</w:t>
            </w:r>
          </w:p>
        </w:tc>
        <w:tc>
          <w:tcPr>
            <w:tcW w:w="1417" w:type="dxa"/>
            <w:vMerge w:val="restart"/>
            <w:tcBorders>
              <w:right w:val="single" w:color="auto" w:sz="4" w:space="0"/>
            </w:tcBorders>
            <w:noWrap w:val="0"/>
            <w:vAlign w:val="center"/>
          </w:tcPr>
          <w:p>
            <w:pPr>
              <w:adjustRightInd w:val="0"/>
              <w:snapToGrid w:val="0"/>
              <w:rPr>
                <w:rFonts w:ascii="宋体" w:hAnsi="宋体"/>
                <w:sz w:val="24"/>
                <w:szCs w:val="28"/>
              </w:rPr>
            </w:pPr>
            <w:r>
              <w:rPr>
                <w:rFonts w:hint="eastAsia" w:ascii="宋体" w:hAnsi="宋体"/>
                <w:sz w:val="24"/>
                <w:szCs w:val="28"/>
              </w:rPr>
              <w:t>车辆调试与故障排查处理</w:t>
            </w:r>
          </w:p>
        </w:tc>
        <w:tc>
          <w:tcPr>
            <w:tcW w:w="709" w:type="dxa"/>
            <w:vMerge w:val="restart"/>
            <w:tcBorders>
              <w:left w:val="single" w:color="auto" w:sz="4" w:space="0"/>
            </w:tcBorders>
            <w:noWrap w:val="0"/>
            <w:vAlign w:val="center"/>
          </w:tcPr>
          <w:p>
            <w:pPr>
              <w:adjustRightInd w:val="0"/>
              <w:snapToGrid w:val="0"/>
              <w:jc w:val="center"/>
              <w:rPr>
                <w:rFonts w:hint="default" w:ascii="宋体" w:hAnsi="宋体" w:eastAsia="宋体"/>
                <w:sz w:val="24"/>
                <w:szCs w:val="28"/>
                <w:lang w:val="en-US" w:eastAsia="zh-CN"/>
              </w:rPr>
            </w:pPr>
            <w:r>
              <w:rPr>
                <w:rFonts w:hint="eastAsia" w:ascii="宋体" w:hAnsi="宋体"/>
                <w:sz w:val="24"/>
                <w:szCs w:val="28"/>
                <w:lang w:val="en-US" w:eastAsia="zh-CN"/>
              </w:rPr>
              <w:t>35</w:t>
            </w:r>
          </w:p>
        </w:tc>
        <w:tc>
          <w:tcPr>
            <w:tcW w:w="2708" w:type="dxa"/>
            <w:noWrap w:val="0"/>
            <w:vAlign w:val="center"/>
          </w:tcPr>
          <w:p>
            <w:pPr>
              <w:adjustRightInd w:val="0"/>
              <w:snapToGrid w:val="0"/>
              <w:rPr>
                <w:rFonts w:ascii="宋体" w:hAnsi="宋体"/>
                <w:sz w:val="24"/>
                <w:szCs w:val="28"/>
                <w:highlight w:val="none"/>
              </w:rPr>
            </w:pPr>
            <w:r>
              <w:rPr>
                <w:rFonts w:hint="eastAsia" w:ascii="宋体" w:hAnsi="宋体"/>
                <w:sz w:val="24"/>
                <w:szCs w:val="28"/>
                <w:highlight w:val="none"/>
                <w:lang w:val="en-US" w:eastAsia="zh-CN"/>
              </w:rPr>
              <w:t>受电弓控制电路、车门监视电路、牵引及制动指令电路、主断控制与监视电路、停放制动控制与监视电路、客室门控制、车门监视电路</w:t>
            </w:r>
          </w:p>
        </w:tc>
        <w:tc>
          <w:tcPr>
            <w:tcW w:w="850" w:type="dxa"/>
            <w:noWrap w:val="0"/>
            <w:vAlign w:val="center"/>
          </w:tcPr>
          <w:p>
            <w:pPr>
              <w:adjustRightInd w:val="0"/>
              <w:snapToGrid w:val="0"/>
              <w:jc w:val="center"/>
              <w:rPr>
                <w:rFonts w:hint="eastAsia" w:ascii="宋体" w:hAnsi="宋体"/>
                <w:sz w:val="24"/>
                <w:szCs w:val="28"/>
                <w:highlight w:val="none"/>
              </w:rPr>
            </w:pPr>
            <w:r>
              <w:rPr>
                <w:rFonts w:hint="eastAsia" w:ascii="宋体" w:hAnsi="宋体"/>
                <w:sz w:val="24"/>
                <w:szCs w:val="28"/>
                <w:highlight w:val="none"/>
                <w:lang w:val="en-US" w:eastAsia="zh-CN"/>
              </w:rPr>
              <w:t>32</w:t>
            </w:r>
            <w:r>
              <w:rPr>
                <w:rFonts w:hint="eastAsia" w:ascii="宋体" w:hAnsi="宋体"/>
                <w:sz w:val="24"/>
                <w:szCs w:val="28"/>
                <w:highlight w:val="none"/>
              </w:rPr>
              <w:t>%</w:t>
            </w:r>
          </w:p>
        </w:tc>
        <w:tc>
          <w:tcPr>
            <w:tcW w:w="850" w:type="dxa"/>
            <w:noWrap w:val="0"/>
            <w:vAlign w:val="center"/>
          </w:tcPr>
          <w:p>
            <w:pPr>
              <w:adjustRightInd w:val="0"/>
              <w:snapToGrid w:val="0"/>
              <w:jc w:val="center"/>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4</w:t>
            </w:r>
          </w:p>
        </w:tc>
        <w:tc>
          <w:tcPr>
            <w:tcW w:w="3068" w:type="dxa"/>
            <w:tcBorders>
              <w:top w:val="single" w:color="auto" w:sz="4" w:space="0"/>
            </w:tcBorders>
            <w:noWrap w:val="0"/>
            <w:vAlign w:val="center"/>
          </w:tcPr>
          <w:p>
            <w:pPr>
              <w:adjustRightInd w:val="0"/>
              <w:snapToGrid w:val="0"/>
              <w:rPr>
                <w:rFonts w:hint="default" w:ascii="宋体" w:hAnsi="宋体"/>
                <w:sz w:val="24"/>
                <w:szCs w:val="28"/>
                <w:highlight w:val="none"/>
                <w:lang w:val="en-US" w:eastAsia="zh-CN"/>
              </w:rPr>
            </w:pPr>
            <w:r>
              <w:rPr>
                <w:rFonts w:hint="eastAsia" w:ascii="宋体" w:hAnsi="宋体"/>
                <w:sz w:val="24"/>
                <w:szCs w:val="28"/>
                <w:highlight w:val="none"/>
                <w:lang w:val="en-US" w:eastAsia="zh-CN"/>
              </w:rPr>
              <w:t>1</w:t>
            </w:r>
            <w:r>
              <w:rPr>
                <w:rFonts w:hint="eastAsia" w:ascii="宋体" w:hAnsi="宋体"/>
                <w:sz w:val="24"/>
                <w:szCs w:val="28"/>
                <w:highlight w:val="none"/>
              </w:rPr>
              <w:t>.</w:t>
            </w:r>
            <w:r>
              <w:rPr>
                <w:rFonts w:hint="eastAsia" w:ascii="宋体" w:hAnsi="宋体"/>
                <w:sz w:val="24"/>
                <w:szCs w:val="28"/>
                <w:highlight w:val="none"/>
                <w:lang w:val="en-US" w:eastAsia="zh-CN"/>
              </w:rPr>
              <w:t>6个控制电路中由选手抽取4个</w:t>
            </w:r>
            <w:r>
              <w:rPr>
                <w:rFonts w:hint="eastAsia" w:ascii="宋体" w:hAnsi="宋体"/>
                <w:sz w:val="24"/>
                <w:szCs w:val="28"/>
                <w:highlight w:val="none"/>
              </w:rPr>
              <w:t>电</w:t>
            </w:r>
            <w:r>
              <w:rPr>
                <w:rFonts w:hint="eastAsia" w:ascii="宋体" w:hAnsi="宋体"/>
                <w:sz w:val="24"/>
                <w:szCs w:val="28"/>
                <w:highlight w:val="none"/>
                <w:lang w:val="en-US" w:eastAsia="zh-CN"/>
              </w:rPr>
              <w:t>控制电路。4个电路中会随机设置故障</w:t>
            </w:r>
            <w:r>
              <w:rPr>
                <w:rFonts w:hint="eastAsia" w:ascii="宋体" w:hAnsi="宋体"/>
                <w:sz w:val="24"/>
                <w:szCs w:val="28"/>
                <w:highlight w:val="none"/>
                <w:lang w:eastAsia="zh-CN"/>
              </w:rPr>
              <w:t>，</w:t>
            </w:r>
            <w:r>
              <w:rPr>
                <w:rFonts w:hint="eastAsia" w:ascii="宋体" w:hAnsi="宋体"/>
                <w:sz w:val="24"/>
                <w:szCs w:val="28"/>
                <w:highlight w:val="none"/>
                <w:lang w:val="en-US" w:eastAsia="zh-CN"/>
              </w:rPr>
              <w:t>另外2个电路不设置故障。</w:t>
            </w:r>
          </w:p>
          <w:p>
            <w:pPr>
              <w:numPr>
                <w:ilvl w:val="0"/>
                <w:numId w:val="0"/>
              </w:numPr>
              <w:adjustRightInd w:val="0"/>
              <w:snapToGrid w:val="0"/>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2.每个电路8分。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06" w:type="dxa"/>
            <w:vMerge w:val="continue"/>
            <w:noWrap w:val="0"/>
            <w:vAlign w:val="center"/>
          </w:tcPr>
          <w:p>
            <w:pPr>
              <w:adjustRightInd w:val="0"/>
              <w:snapToGrid w:val="0"/>
              <w:rPr>
                <w:rFonts w:ascii="宋体" w:hAnsi="宋体"/>
                <w:sz w:val="24"/>
                <w:szCs w:val="28"/>
              </w:rPr>
            </w:pPr>
          </w:p>
        </w:tc>
        <w:tc>
          <w:tcPr>
            <w:tcW w:w="1417" w:type="dxa"/>
            <w:vMerge w:val="continue"/>
            <w:tcBorders>
              <w:right w:val="single" w:color="auto" w:sz="4" w:space="0"/>
            </w:tcBorders>
            <w:noWrap w:val="0"/>
            <w:vAlign w:val="center"/>
          </w:tcPr>
          <w:p>
            <w:pPr>
              <w:adjustRightInd w:val="0"/>
              <w:snapToGrid w:val="0"/>
              <w:rPr>
                <w:rFonts w:hint="eastAsia" w:ascii="宋体" w:hAnsi="宋体"/>
                <w:sz w:val="24"/>
                <w:szCs w:val="28"/>
              </w:rPr>
            </w:pPr>
          </w:p>
        </w:tc>
        <w:tc>
          <w:tcPr>
            <w:tcW w:w="709" w:type="dxa"/>
            <w:vMerge w:val="continue"/>
            <w:tcBorders>
              <w:left w:val="single" w:color="auto" w:sz="4" w:space="0"/>
            </w:tcBorders>
            <w:noWrap w:val="0"/>
            <w:vAlign w:val="center"/>
          </w:tcPr>
          <w:p>
            <w:pPr>
              <w:adjustRightInd w:val="0"/>
              <w:snapToGrid w:val="0"/>
              <w:jc w:val="center"/>
              <w:rPr>
                <w:rFonts w:ascii="宋体" w:hAnsi="宋体"/>
                <w:sz w:val="24"/>
                <w:szCs w:val="28"/>
              </w:rPr>
            </w:pPr>
          </w:p>
        </w:tc>
        <w:tc>
          <w:tcPr>
            <w:tcW w:w="2708" w:type="dxa"/>
            <w:noWrap w:val="0"/>
            <w:vAlign w:val="center"/>
          </w:tcPr>
          <w:p>
            <w:pPr>
              <w:adjustRightInd w:val="0"/>
              <w:snapToGrid w:val="0"/>
              <w:rPr>
                <w:rFonts w:hint="eastAsia" w:ascii="宋体" w:hAnsi="宋体"/>
                <w:sz w:val="24"/>
                <w:szCs w:val="28"/>
                <w:highlight w:val="none"/>
              </w:rPr>
            </w:pPr>
            <w:r>
              <w:rPr>
                <w:rFonts w:hint="eastAsia" w:ascii="宋体" w:hAnsi="宋体"/>
                <w:sz w:val="24"/>
                <w:szCs w:val="28"/>
                <w:highlight w:val="none"/>
              </w:rPr>
              <w:t>列车驾驶至指定调试点</w:t>
            </w:r>
          </w:p>
        </w:tc>
        <w:tc>
          <w:tcPr>
            <w:tcW w:w="850" w:type="dxa"/>
            <w:noWrap w:val="0"/>
            <w:vAlign w:val="center"/>
          </w:tcPr>
          <w:p>
            <w:pPr>
              <w:adjustRightInd w:val="0"/>
              <w:snapToGrid w:val="0"/>
              <w:jc w:val="center"/>
              <w:rPr>
                <w:rFonts w:hint="eastAsia" w:ascii="宋体" w:hAnsi="宋体"/>
                <w:sz w:val="24"/>
                <w:szCs w:val="28"/>
                <w:highlight w:val="none"/>
              </w:rPr>
            </w:pPr>
            <w:r>
              <w:rPr>
                <w:rFonts w:hint="eastAsia" w:ascii="宋体" w:hAnsi="宋体"/>
                <w:sz w:val="24"/>
                <w:szCs w:val="28"/>
                <w:highlight w:val="none"/>
                <w:lang w:val="en-US" w:eastAsia="zh-CN"/>
              </w:rPr>
              <w:t>3</w:t>
            </w:r>
            <w:r>
              <w:rPr>
                <w:rFonts w:hint="eastAsia" w:ascii="宋体" w:hAnsi="宋体"/>
                <w:sz w:val="24"/>
                <w:szCs w:val="28"/>
                <w:highlight w:val="none"/>
              </w:rPr>
              <w:t>%</w:t>
            </w:r>
          </w:p>
        </w:tc>
        <w:tc>
          <w:tcPr>
            <w:tcW w:w="850" w:type="dxa"/>
            <w:noWrap w:val="0"/>
            <w:vAlign w:val="center"/>
          </w:tcPr>
          <w:p>
            <w:pPr>
              <w:adjustRightInd w:val="0"/>
              <w:snapToGrid w:val="0"/>
              <w:jc w:val="center"/>
              <w:rPr>
                <w:rFonts w:hint="eastAsia" w:ascii="宋体" w:hAnsi="宋体"/>
                <w:sz w:val="24"/>
                <w:szCs w:val="28"/>
                <w:highlight w:val="none"/>
              </w:rPr>
            </w:pPr>
            <w:r>
              <w:rPr>
                <w:rFonts w:hint="eastAsia" w:ascii="宋体" w:hAnsi="宋体"/>
                <w:sz w:val="24"/>
                <w:szCs w:val="28"/>
                <w:highlight w:val="none"/>
              </w:rPr>
              <w:t>\</w:t>
            </w:r>
          </w:p>
        </w:tc>
        <w:tc>
          <w:tcPr>
            <w:tcW w:w="3068" w:type="dxa"/>
            <w:tcBorders>
              <w:top w:val="single" w:color="auto" w:sz="4" w:space="0"/>
            </w:tcBorders>
            <w:noWrap w:val="0"/>
            <w:vAlign w:val="center"/>
          </w:tcPr>
          <w:p>
            <w:pPr>
              <w:adjustRightInd w:val="0"/>
              <w:snapToGrid w:val="0"/>
              <w:rPr>
                <w:rFonts w:hint="eastAsia" w:ascii="宋体" w:hAnsi="宋体"/>
                <w:sz w:val="24"/>
                <w:szCs w:val="28"/>
                <w:highlight w:val="none"/>
              </w:rPr>
            </w:pPr>
            <w:r>
              <w:rPr>
                <w:rFonts w:hint="eastAsia" w:ascii="宋体" w:hAnsi="宋体"/>
                <w:sz w:val="24"/>
                <w:szCs w:val="28"/>
                <w:highlight w:val="none"/>
              </w:rPr>
              <w:t>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706" w:type="dxa"/>
            <w:noWrap w:val="0"/>
            <w:vAlign w:val="center"/>
          </w:tcPr>
          <w:p>
            <w:pPr>
              <w:adjustRightInd w:val="0"/>
              <w:snapToGrid w:val="0"/>
              <w:jc w:val="center"/>
              <w:rPr>
                <w:rFonts w:hint="eastAsia" w:ascii="宋体" w:hAnsi="宋体" w:eastAsia="宋体"/>
                <w:sz w:val="24"/>
                <w:szCs w:val="28"/>
                <w:lang w:eastAsia="zh-CN"/>
              </w:rPr>
            </w:pPr>
            <w:r>
              <w:rPr>
                <w:rFonts w:hint="eastAsia" w:ascii="宋体" w:hAnsi="宋体"/>
                <w:sz w:val="24"/>
                <w:szCs w:val="28"/>
                <w:lang w:val="en-US" w:eastAsia="zh-CN"/>
              </w:rPr>
              <w:t>3</w:t>
            </w:r>
          </w:p>
        </w:tc>
        <w:tc>
          <w:tcPr>
            <w:tcW w:w="1417" w:type="dxa"/>
            <w:tcBorders>
              <w:right w:val="single" w:color="auto" w:sz="4" w:space="0"/>
            </w:tcBorders>
            <w:noWrap w:val="0"/>
            <w:vAlign w:val="center"/>
          </w:tcPr>
          <w:p>
            <w:pPr>
              <w:adjustRightInd w:val="0"/>
              <w:snapToGrid w:val="0"/>
              <w:rPr>
                <w:rFonts w:ascii="宋体" w:hAnsi="宋体"/>
                <w:sz w:val="24"/>
                <w:szCs w:val="28"/>
              </w:rPr>
            </w:pPr>
            <w:r>
              <w:rPr>
                <w:rFonts w:hint="eastAsia" w:ascii="宋体" w:hAnsi="宋体"/>
                <w:sz w:val="24"/>
                <w:szCs w:val="28"/>
              </w:rPr>
              <w:t>职业素养</w:t>
            </w:r>
          </w:p>
        </w:tc>
        <w:tc>
          <w:tcPr>
            <w:tcW w:w="709" w:type="dxa"/>
            <w:tcBorders>
              <w:left w:val="single" w:color="auto" w:sz="4" w:space="0"/>
            </w:tcBorders>
            <w:noWrap w:val="0"/>
            <w:vAlign w:val="center"/>
          </w:tcPr>
          <w:p>
            <w:pPr>
              <w:adjustRightInd w:val="0"/>
              <w:snapToGrid w:val="0"/>
              <w:jc w:val="center"/>
              <w:rPr>
                <w:rFonts w:hint="default" w:ascii="宋体" w:hAnsi="宋体" w:eastAsia="宋体"/>
                <w:sz w:val="24"/>
                <w:szCs w:val="28"/>
                <w:lang w:val="en-US" w:eastAsia="zh-CN"/>
              </w:rPr>
            </w:pPr>
            <w:r>
              <w:rPr>
                <w:rFonts w:hint="eastAsia" w:ascii="宋体" w:hAnsi="宋体"/>
                <w:sz w:val="24"/>
                <w:szCs w:val="28"/>
                <w:lang w:val="en-US" w:eastAsia="zh-CN"/>
              </w:rPr>
              <w:t>10</w:t>
            </w:r>
          </w:p>
        </w:tc>
        <w:tc>
          <w:tcPr>
            <w:tcW w:w="2708" w:type="dxa"/>
            <w:noWrap w:val="0"/>
            <w:vAlign w:val="center"/>
          </w:tcPr>
          <w:p>
            <w:pPr>
              <w:adjustRightInd w:val="0"/>
              <w:snapToGrid w:val="0"/>
              <w:rPr>
                <w:rFonts w:ascii="宋体" w:hAnsi="宋体"/>
                <w:bCs/>
                <w:sz w:val="24"/>
                <w:szCs w:val="28"/>
              </w:rPr>
            </w:pPr>
            <w:r>
              <w:rPr>
                <w:rFonts w:hint="eastAsia" w:ascii="宋体" w:hAnsi="宋体"/>
                <w:bCs/>
                <w:sz w:val="24"/>
                <w:szCs w:val="28"/>
              </w:rPr>
              <w:t>着装、操作规范、安全意识等</w:t>
            </w:r>
          </w:p>
        </w:tc>
        <w:tc>
          <w:tcPr>
            <w:tcW w:w="850" w:type="dxa"/>
            <w:noWrap w:val="0"/>
            <w:vAlign w:val="center"/>
          </w:tcPr>
          <w:p>
            <w:pPr>
              <w:adjustRightInd w:val="0"/>
              <w:snapToGrid w:val="0"/>
              <w:jc w:val="center"/>
              <w:rPr>
                <w:rFonts w:hint="eastAsia" w:ascii="宋体" w:hAnsi="宋体"/>
                <w:sz w:val="24"/>
                <w:szCs w:val="28"/>
              </w:rPr>
            </w:pPr>
            <w:r>
              <w:rPr>
                <w:rFonts w:hint="eastAsia" w:ascii="宋体" w:hAnsi="宋体"/>
                <w:sz w:val="24"/>
                <w:szCs w:val="28"/>
                <w:lang w:val="en-US" w:eastAsia="zh-CN"/>
              </w:rPr>
              <w:t>10</w:t>
            </w:r>
            <w:r>
              <w:rPr>
                <w:rFonts w:hint="eastAsia" w:ascii="宋体" w:hAnsi="宋体"/>
                <w:sz w:val="24"/>
                <w:szCs w:val="28"/>
              </w:rPr>
              <w:t>%</w:t>
            </w:r>
          </w:p>
        </w:tc>
        <w:tc>
          <w:tcPr>
            <w:tcW w:w="850" w:type="dxa"/>
            <w:noWrap w:val="0"/>
            <w:vAlign w:val="center"/>
          </w:tcPr>
          <w:p>
            <w:pPr>
              <w:adjustRightInd w:val="0"/>
              <w:snapToGrid w:val="0"/>
              <w:jc w:val="center"/>
              <w:rPr>
                <w:rFonts w:ascii="宋体" w:hAnsi="宋体"/>
                <w:sz w:val="24"/>
                <w:szCs w:val="28"/>
              </w:rPr>
            </w:pPr>
            <w:r>
              <w:rPr>
                <w:rFonts w:hint="eastAsia" w:ascii="宋体" w:hAnsi="宋体"/>
                <w:sz w:val="24"/>
                <w:szCs w:val="28"/>
              </w:rPr>
              <w:t>\</w:t>
            </w:r>
          </w:p>
        </w:tc>
        <w:tc>
          <w:tcPr>
            <w:tcW w:w="3068" w:type="dxa"/>
            <w:noWrap w:val="0"/>
            <w:vAlign w:val="center"/>
          </w:tcPr>
          <w:p>
            <w:pPr>
              <w:adjustRightInd w:val="0"/>
              <w:snapToGrid w:val="0"/>
              <w:rPr>
                <w:rFonts w:ascii="宋体" w:hAnsi="宋体"/>
                <w:sz w:val="24"/>
                <w:szCs w:val="28"/>
              </w:rPr>
            </w:pPr>
            <w:r>
              <w:rPr>
                <w:rFonts w:hint="eastAsia" w:ascii="宋体" w:hAnsi="宋体"/>
                <w:sz w:val="24"/>
                <w:szCs w:val="28"/>
              </w:rPr>
              <w:t>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2123" w:type="dxa"/>
            <w:gridSpan w:val="2"/>
            <w:tcBorders>
              <w:right w:val="single" w:color="auto" w:sz="4" w:space="0"/>
            </w:tcBorders>
            <w:noWrap w:val="0"/>
            <w:vAlign w:val="center"/>
          </w:tcPr>
          <w:p>
            <w:pPr>
              <w:adjustRightInd w:val="0"/>
              <w:snapToGrid w:val="0"/>
              <w:jc w:val="center"/>
              <w:rPr>
                <w:rFonts w:ascii="宋体" w:hAnsi="宋体"/>
                <w:sz w:val="24"/>
                <w:szCs w:val="28"/>
              </w:rPr>
            </w:pPr>
            <w:r>
              <w:rPr>
                <w:rFonts w:hint="eastAsia" w:ascii="宋体" w:hAnsi="宋体"/>
                <w:sz w:val="24"/>
                <w:szCs w:val="28"/>
              </w:rPr>
              <w:t>合计</w:t>
            </w:r>
          </w:p>
        </w:tc>
        <w:tc>
          <w:tcPr>
            <w:tcW w:w="709" w:type="dxa"/>
            <w:tcBorders>
              <w:left w:val="single" w:color="auto" w:sz="4" w:space="0"/>
            </w:tcBorders>
            <w:noWrap w:val="0"/>
            <w:vAlign w:val="center"/>
          </w:tcPr>
          <w:p>
            <w:pPr>
              <w:adjustRightInd w:val="0"/>
              <w:snapToGrid w:val="0"/>
              <w:rPr>
                <w:rFonts w:ascii="宋体" w:hAnsi="宋体"/>
                <w:sz w:val="24"/>
                <w:szCs w:val="28"/>
              </w:rPr>
            </w:pPr>
            <w:r>
              <w:rPr>
                <w:rFonts w:ascii="宋体" w:hAnsi="宋体"/>
                <w:sz w:val="24"/>
                <w:szCs w:val="28"/>
              </w:rPr>
              <w:t>10</w:t>
            </w:r>
            <w:r>
              <w:rPr>
                <w:rFonts w:hint="eastAsia" w:ascii="宋体" w:hAnsi="宋体"/>
                <w:sz w:val="24"/>
                <w:szCs w:val="28"/>
              </w:rPr>
              <w:t>0</w:t>
            </w:r>
          </w:p>
        </w:tc>
        <w:tc>
          <w:tcPr>
            <w:tcW w:w="2708" w:type="dxa"/>
            <w:noWrap w:val="0"/>
            <w:vAlign w:val="center"/>
          </w:tcPr>
          <w:p>
            <w:pPr>
              <w:adjustRightInd w:val="0"/>
              <w:snapToGrid w:val="0"/>
              <w:jc w:val="center"/>
              <w:rPr>
                <w:rFonts w:ascii="宋体" w:hAnsi="宋体"/>
                <w:bCs/>
                <w:sz w:val="24"/>
                <w:szCs w:val="28"/>
              </w:rPr>
            </w:pPr>
            <w:r>
              <w:rPr>
                <w:rFonts w:ascii="宋体" w:hAnsi="宋体"/>
                <w:bCs/>
                <w:sz w:val="24"/>
                <w:szCs w:val="28"/>
              </w:rPr>
              <w:t>——</w:t>
            </w:r>
          </w:p>
        </w:tc>
        <w:tc>
          <w:tcPr>
            <w:tcW w:w="850" w:type="dxa"/>
            <w:noWrap w:val="0"/>
            <w:vAlign w:val="center"/>
          </w:tcPr>
          <w:p>
            <w:pPr>
              <w:adjustRightInd w:val="0"/>
              <w:snapToGrid w:val="0"/>
              <w:jc w:val="center"/>
              <w:rPr>
                <w:rFonts w:ascii="宋体" w:hAnsi="宋体"/>
                <w:sz w:val="24"/>
                <w:szCs w:val="28"/>
              </w:rPr>
            </w:pPr>
            <w:r>
              <w:rPr>
                <w:rFonts w:ascii="宋体" w:hAnsi="宋体"/>
                <w:sz w:val="24"/>
                <w:szCs w:val="28"/>
              </w:rPr>
              <w:t>100</w:t>
            </w:r>
            <w:r>
              <w:rPr>
                <w:rFonts w:hint="eastAsia" w:ascii="宋体" w:hAnsi="宋体"/>
                <w:sz w:val="24"/>
                <w:szCs w:val="28"/>
              </w:rPr>
              <w:t>%</w:t>
            </w:r>
          </w:p>
        </w:tc>
        <w:tc>
          <w:tcPr>
            <w:tcW w:w="850" w:type="dxa"/>
            <w:noWrap w:val="0"/>
            <w:vAlign w:val="center"/>
          </w:tcPr>
          <w:p>
            <w:pPr>
              <w:adjustRightInd w:val="0"/>
              <w:snapToGrid w:val="0"/>
              <w:jc w:val="center"/>
              <w:rPr>
                <w:rFonts w:ascii="宋体" w:hAnsi="宋体"/>
                <w:sz w:val="24"/>
                <w:szCs w:val="28"/>
              </w:rPr>
            </w:pPr>
            <w:r>
              <w:rPr>
                <w:rFonts w:hint="eastAsia" w:ascii="宋体" w:hAnsi="宋体"/>
                <w:sz w:val="24"/>
                <w:szCs w:val="28"/>
              </w:rPr>
              <w:t>——</w:t>
            </w:r>
          </w:p>
        </w:tc>
        <w:tc>
          <w:tcPr>
            <w:tcW w:w="3068" w:type="dxa"/>
            <w:noWrap w:val="0"/>
            <w:vAlign w:val="center"/>
          </w:tcPr>
          <w:p>
            <w:pPr>
              <w:adjustRightInd w:val="0"/>
              <w:snapToGrid w:val="0"/>
              <w:jc w:val="center"/>
              <w:rPr>
                <w:rFonts w:ascii="宋体" w:hAnsi="宋体"/>
                <w:bCs/>
                <w:sz w:val="24"/>
                <w:szCs w:val="28"/>
              </w:rPr>
            </w:pPr>
            <w:r>
              <w:rPr>
                <w:rFonts w:ascii="宋体" w:hAnsi="宋体"/>
                <w:bCs/>
                <w:sz w:val="24"/>
                <w:szCs w:val="28"/>
              </w:rPr>
              <w:t>——</w:t>
            </w:r>
          </w:p>
        </w:tc>
      </w:tr>
    </w:tbl>
    <w:p>
      <w:pPr>
        <w:shd w:val="clear"/>
        <w:spacing w:line="288" w:lineRule="auto"/>
        <w:contextualSpacing/>
        <w:outlineLvl w:val="1"/>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p>
    <w:p>
      <w:pPr>
        <w:shd w:val="clear"/>
        <w:spacing w:line="288" w:lineRule="auto"/>
        <w:contextualSpacing/>
        <w:outlineLvl w:val="1"/>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(二)违规违纪评判</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在竞赛过程中，选手如有不服从裁判判决、扰乱赛场秩序、舞弊等不文明行为，由裁判按照规定扣减相应分数并且给予警告，情节严重的取消竞赛资格，竞赛成绩记0分。</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参赛选手提交的答题卡与任务书上只能按要求填写工位号进行识别，不得填写指定内容之外的任何识别性标记。任务中要求提交的截图/照片、视频资料中都不允许出现本工位或者其他工位参赛选手图像、选手姓名、校名或者其他任何识别性的标记。如果出现地区、校名、姓名等其他任 何与竞赛队有关的识别信息，一经发现，竞赛试卷和作品作废，比赛按零分处理，并且提请大赛组委会进行处罚。</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竞赛任务书、竞赛工具、竞赛器材及竞赛材料等不得带出竞赛场地，一经发现，竞赛作品作废，比赛按零分处理，并且提请大赛组委会进行处罚。</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正式比赛前，参赛选手需对竞赛平台中的设备工具模块及物料等进行清点确认，</w:t>
      </w:r>
      <w:r>
        <w:rPr>
          <w:rFonts w:hint="eastAsia" w:asciiTheme="minorEastAsia" w:hAnsiTheme="minorEastAsia" w:eastAsiaTheme="minorEastAsia"/>
          <w:color w:val="000000"/>
          <w:sz w:val="24"/>
          <w:szCs w:val="24"/>
          <w:highlight w:val="none"/>
        </w:rPr>
        <w:t>如果发现有缺少、损坏、冗余应立即举手示意，</w:t>
      </w:r>
      <w:r>
        <w:rPr>
          <w:rFonts w:hint="eastAsia" w:asciiTheme="minorEastAsia" w:hAnsiTheme="minorEastAsia" w:eastAsiaTheme="minorEastAsia"/>
          <w:color w:val="000000"/>
          <w:sz w:val="24"/>
          <w:szCs w:val="24"/>
        </w:rPr>
        <w:t>否则造成的后果自负</w:t>
      </w:r>
      <w:r>
        <w:rPr>
          <w:rFonts w:hint="eastAsia" w:asciiTheme="minorEastAsia" w:hAnsiTheme="minorEastAsia" w:eastAsiaTheme="minorEastAsia"/>
          <w:color w:val="000000"/>
          <w:sz w:val="24"/>
          <w:szCs w:val="24"/>
          <w:highlight w:val="none"/>
        </w:rPr>
        <w:t>。正式比赛开始后，参赛选手如测定竞赛技术平台中的设备工具模块有故障可提出更换，但该工具/模块经现场裁判与技术支持人员测定完好，确属参赛选手误判，不予任何延时。</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违规违纪行为相关的扣分标准如下表：</w:t>
      </w:r>
    </w:p>
    <w:p>
      <w:pPr>
        <w:shd w:val="clear"/>
        <w:spacing w:line="288" w:lineRule="auto"/>
        <w:contextualSpacing/>
        <w:rPr>
          <w:rFonts w:hint="eastAsia" w:asciiTheme="minorEastAsia" w:hAnsiTheme="minorEastAsia" w:eastAsiaTheme="minorEastAsia"/>
          <w:color w:val="000000"/>
          <w:sz w:val="24"/>
          <w:szCs w:val="24"/>
        </w:rPr>
      </w:pPr>
    </w:p>
    <w:tbl>
      <w:tblPr>
        <w:tblStyle w:val="7"/>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2"/>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902" w:type="dxa"/>
            <w:vAlign w:val="center"/>
          </w:tcPr>
          <w:p>
            <w:pPr>
              <w:shd w:val="clear"/>
              <w:rPr>
                <w:rFonts w:ascii="仿宋_GB2312" w:hAnsi="微软雅黑" w:eastAsia="仿宋_GB2312" w:cs="宋体"/>
                <w:b/>
                <w:bCs/>
                <w:kern w:val="0"/>
                <w:sz w:val="24"/>
                <w:szCs w:val="24"/>
              </w:rPr>
            </w:pPr>
            <w:r>
              <w:rPr>
                <w:rFonts w:hint="eastAsia" w:ascii="仿宋_GB2312" w:hAnsi="微软雅黑" w:eastAsia="仿宋_GB2312" w:cs="宋体"/>
                <w:b/>
                <w:bCs/>
                <w:kern w:val="0"/>
                <w:sz w:val="24"/>
                <w:szCs w:val="24"/>
              </w:rPr>
              <w:t>违规违纪行为</w:t>
            </w:r>
          </w:p>
        </w:tc>
        <w:tc>
          <w:tcPr>
            <w:tcW w:w="3016" w:type="dxa"/>
            <w:vAlign w:val="center"/>
          </w:tcPr>
          <w:p>
            <w:pPr>
              <w:shd w:val="clear"/>
              <w:rPr>
                <w:rFonts w:ascii="仿宋_GB2312" w:hAnsi="微软雅黑" w:eastAsia="仿宋_GB2312" w:cs="宋体"/>
                <w:b/>
                <w:bCs/>
                <w:kern w:val="0"/>
                <w:sz w:val="24"/>
                <w:szCs w:val="24"/>
              </w:rPr>
            </w:pPr>
            <w:r>
              <w:rPr>
                <w:rFonts w:hint="eastAsia" w:ascii="仿宋_GB2312" w:hAnsi="微软雅黑" w:eastAsia="仿宋_GB2312" w:cs="宋体"/>
                <w:b/>
                <w:bCs/>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在裁判长发出开始比赛指令前，提前操作</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选手签名时，使用了真实姓名或者具体参赛队</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不服从裁判指令</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在裁判长发出结束比赛指令后，继续操作</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擅自离开本参赛队赛位</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与其他赛位的选手交流</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在赛场大声喧哗、无理取闹</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竞赛任务书、竞赛答题卡、竞赛工具、竞赛器材及竞赛材料等带出竞赛场地</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902"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由于选手不规范操作导致技术平台出现设备损坏</w:t>
            </w:r>
          </w:p>
        </w:tc>
        <w:tc>
          <w:tcPr>
            <w:tcW w:w="3016" w:type="dxa"/>
            <w:vAlign w:val="center"/>
          </w:tcPr>
          <w:p>
            <w:pPr>
              <w:shd w:val="clear"/>
              <w:rPr>
                <w:rFonts w:ascii="仿宋" w:hAnsi="仿宋" w:eastAsia="仿宋" w:cs="宋体"/>
                <w:kern w:val="0"/>
                <w:sz w:val="24"/>
                <w:szCs w:val="24"/>
              </w:rPr>
            </w:pPr>
            <w:r>
              <w:rPr>
                <w:rFonts w:hint="eastAsia" w:ascii="仿宋" w:hAnsi="仿宋" w:eastAsia="仿宋" w:cs="宋体"/>
                <w:kern w:val="0"/>
                <w:sz w:val="24"/>
                <w:szCs w:val="24"/>
              </w:rPr>
              <w:t>裁判长可根据现场情况酌情扣5-20分</w:t>
            </w:r>
          </w:p>
        </w:tc>
      </w:tr>
    </w:tbl>
    <w:p>
      <w:pPr>
        <w:shd w:val="clear"/>
      </w:pPr>
    </w:p>
    <w:p>
      <w:pPr>
        <w:shd w:val="clear"/>
        <w:tabs>
          <w:tab w:val="left" w:pos="7310"/>
        </w:tabs>
        <w:spacing w:line="288" w:lineRule="auto"/>
        <w:ind w:firstLine="480" w:firstLineChars="200"/>
        <w:contextualSpacing/>
        <w:outlineLvl w:val="1"/>
        <w:rPr>
          <w:rFonts w:asciiTheme="minorEastAsia" w:hAnsiTheme="minorEastAsia" w:eastAsiaTheme="minorEastAsia"/>
          <w:sz w:val="24"/>
          <w:szCs w:val="24"/>
        </w:rPr>
      </w:pPr>
      <w:r>
        <w:rPr>
          <w:rFonts w:hint="eastAsia" w:asciiTheme="minorEastAsia" w:hAnsiTheme="minorEastAsia" w:eastAsiaTheme="minorEastAsia"/>
          <w:sz w:val="24"/>
          <w:szCs w:val="24"/>
        </w:rPr>
        <w:t>（三）成绩计算</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每支参赛队伍的成绩计算方法如下：</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所在团队实际操作成绩即为参赛队伍的总成绩。</w:t>
      </w:r>
    </w:p>
    <w:p>
      <w:pPr>
        <w:shd w:val="clear"/>
        <w:spacing w:line="360" w:lineRule="auto"/>
        <w:ind w:firstLine="480" w:firstLineChars="200"/>
        <w:contextualSpacing/>
        <w:outlineLvl w:val="1"/>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（四）比赛排名</w:t>
      </w:r>
    </w:p>
    <w:p>
      <w:pPr>
        <w:shd w:val="clea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所有参赛团队均按总成绩，由高到低进行排序。</w:t>
      </w:r>
    </w:p>
    <w:p>
      <w:pPr>
        <w:snapToGrid w:val="0"/>
        <w:spacing w:before="159" w:beforeLines="50" w:after="319" w:afterLines="100" w:line="288" w:lineRule="auto"/>
        <w:ind w:firstLine="482" w:firstLineChars="200"/>
        <w:contextualSpacing/>
        <w:outlineLvl w:val="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lang w:val="en-US" w:eastAsia="zh-CN"/>
        </w:rPr>
        <w:t xml:space="preserve">七、奖项设置 </w:t>
      </w:r>
    </w:p>
    <w:p>
      <w:pPr>
        <w:spacing w:line="360" w:lineRule="auto"/>
        <w:ind w:firstLine="480" w:firstLineChars="200"/>
        <w:contextualSpacing/>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根据河北省教育厅下发的冀教职成[2019]24号河北省职业院校校学生技能大赛的实施方案，以参赛团队数量设置一、二、三等奖。其中，参赛团队</w:t>
      </w:r>
      <w:r>
        <w:rPr>
          <w:rFonts w:hint="eastAsia" w:asciiTheme="minorEastAsia" w:hAnsiTheme="minorEastAsia" w:eastAsiaTheme="minorEastAsia"/>
          <w:color w:val="000000"/>
          <w:sz w:val="24"/>
          <w:szCs w:val="24"/>
        </w:rPr>
        <w:t>达到10个或多于10参赛队以赛项实际参赛队总数为基数，一、二、三等奖获奖比例分别为10%、20%、30%（小数点后四舍五入）。获得一等奖的团体或个人的指导教师授予省级“优秀指导教师奖”。</w:t>
      </w:r>
    </w:p>
    <w:p>
      <w:pPr>
        <w:snapToGrid w:val="0"/>
        <w:spacing w:line="288" w:lineRule="auto"/>
        <w:ind w:firstLine="482" w:firstLineChars="200"/>
        <w:contextualSpacing/>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lang w:eastAsia="zh-CN"/>
        </w:rPr>
        <w:t>八</w:t>
      </w:r>
      <w:r>
        <w:rPr>
          <w:rFonts w:hint="eastAsia" w:cs="仿宋" w:asciiTheme="minorEastAsia" w:hAnsiTheme="minorEastAsia" w:eastAsiaTheme="minorEastAsia"/>
          <w:b/>
          <w:sz w:val="24"/>
          <w:szCs w:val="24"/>
        </w:rPr>
        <w:t>、申诉与仲裁</w:t>
      </w:r>
    </w:p>
    <w:p>
      <w:pPr>
        <w:spacing w:line="288" w:lineRule="auto"/>
        <w:ind w:firstLine="480" w:firstLineChars="200"/>
        <w:contextualSpacing/>
        <w:outlineLvl w:val="1"/>
        <w:rPr>
          <w:rFonts w:asciiTheme="minorEastAsia" w:hAnsiTheme="minorEastAsia" w:eastAsiaTheme="minorEastAsia"/>
          <w:sz w:val="24"/>
          <w:szCs w:val="24"/>
        </w:rPr>
      </w:pPr>
      <w:r>
        <w:rPr>
          <w:rFonts w:hint="eastAsia" w:asciiTheme="minorEastAsia" w:hAnsiTheme="minorEastAsia" w:eastAsiaTheme="minorEastAsia"/>
          <w:sz w:val="24"/>
          <w:szCs w:val="24"/>
        </w:rPr>
        <w:t>（一）申诉</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（1）参赛队对不符合竞赛规定的软硬件设备，有失公正的评判，以及对工作人员的违规行为等，均可提出申诉；</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申诉时，应递交由参赛队领队亲笔签字同意的书面报告，报告应对申诉事件的现象、发生的时间、涉及的人员、申诉依据与理由等进行充分、实事求是的叙述。事实依据不充分、仅凭主观臆断的申诉不予受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（3）申诉时效：竞赛结束后</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小时内提出，超过时效将不予受理申诉；</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（4）申诉处理：赛场专设仲裁工作组受理申诉，收到申诉报告之后，根据申诉事由进行审查，</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小时内书面通知申诉方，告知申诉处理结果；</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（5）申诉人不得无故拒不接受处理结果，不允许采取过激行为刁难、攻击工作人员，否则视为放弃申诉。</w:t>
      </w:r>
    </w:p>
    <w:p>
      <w:pPr>
        <w:spacing w:line="288" w:lineRule="auto"/>
        <w:ind w:firstLine="480" w:firstLineChars="200"/>
        <w:contextualSpacing/>
        <w:outlineLvl w:val="1"/>
        <w:rPr>
          <w:rFonts w:asciiTheme="minorEastAsia" w:hAnsiTheme="minorEastAsia" w:eastAsiaTheme="minorEastAsia"/>
          <w:sz w:val="24"/>
          <w:szCs w:val="24"/>
        </w:rPr>
      </w:pPr>
      <w:r>
        <w:rPr>
          <w:rFonts w:hint="eastAsia" w:asciiTheme="minorEastAsia" w:hAnsiTheme="minorEastAsia" w:eastAsiaTheme="minorEastAsia"/>
          <w:sz w:val="24"/>
          <w:szCs w:val="24"/>
        </w:rPr>
        <w:t>（二）仲裁</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lang w:eastAsia="zh-CN"/>
        </w:rPr>
        <w:t>本赛项</w:t>
      </w:r>
      <w:r>
        <w:rPr>
          <w:rFonts w:hint="eastAsia" w:asciiTheme="minorEastAsia" w:hAnsiTheme="minorEastAsia" w:eastAsiaTheme="minorEastAsia"/>
          <w:color w:val="000000"/>
          <w:sz w:val="24"/>
          <w:szCs w:val="24"/>
        </w:rPr>
        <w:t>设</w:t>
      </w:r>
      <w:r>
        <w:rPr>
          <w:rFonts w:hint="eastAsia" w:asciiTheme="minorEastAsia" w:hAnsiTheme="minorEastAsia" w:eastAsiaTheme="minorEastAsia"/>
          <w:color w:val="000000"/>
          <w:sz w:val="24"/>
          <w:szCs w:val="24"/>
          <w:lang w:eastAsia="zh-CN"/>
        </w:rPr>
        <w:t>有</w:t>
      </w:r>
      <w:r>
        <w:rPr>
          <w:rFonts w:hint="eastAsia" w:asciiTheme="minorEastAsia" w:hAnsiTheme="minorEastAsia" w:eastAsiaTheme="minorEastAsia"/>
          <w:color w:val="000000"/>
          <w:sz w:val="24"/>
          <w:szCs w:val="24"/>
        </w:rPr>
        <w:t>仲裁工作组，负责受理竞赛中出现的所有申诉并进行仲裁，以保证竞赛的顺利进行和竞赛结果公平、公正；</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（2）仲裁工作组的裁决为最终裁决，参赛队不得因申诉或对处理意见不服而停止比赛或滋事，否则按弃权处理。</w:t>
      </w:r>
    </w:p>
    <w:p>
      <w:pPr>
        <w:spacing w:line="360" w:lineRule="auto"/>
        <w:ind w:firstLine="480" w:firstLineChars="200"/>
        <w:contextualSpacing/>
        <w:rPr>
          <w:rFonts w:asciiTheme="minorEastAsia" w:hAnsiTheme="minorEastAsia" w:eastAsiaTheme="minorEastAsia"/>
          <w:sz w:val="24"/>
          <w:szCs w:val="24"/>
        </w:rPr>
      </w:pPr>
    </w:p>
    <w:sectPr>
      <w:footerReference r:id="rId3" w:type="default"/>
      <w:pgSz w:w="11906" w:h="16838"/>
      <w:pgMar w:top="1440" w:right="1644" w:bottom="1440" w:left="1644"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246</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63"/>
    <w:rsid w:val="00001776"/>
    <w:rsid w:val="0000687E"/>
    <w:rsid w:val="00011BB0"/>
    <w:rsid w:val="00016982"/>
    <w:rsid w:val="00032414"/>
    <w:rsid w:val="000336F6"/>
    <w:rsid w:val="000412A0"/>
    <w:rsid w:val="00080AAD"/>
    <w:rsid w:val="000B35DF"/>
    <w:rsid w:val="000C0138"/>
    <w:rsid w:val="000C3A96"/>
    <w:rsid w:val="000C768F"/>
    <w:rsid w:val="000D7113"/>
    <w:rsid w:val="000E439C"/>
    <w:rsid w:val="000F20A3"/>
    <w:rsid w:val="000F49EE"/>
    <w:rsid w:val="000F7452"/>
    <w:rsid w:val="00106D3D"/>
    <w:rsid w:val="001422E5"/>
    <w:rsid w:val="001526AD"/>
    <w:rsid w:val="00152CCB"/>
    <w:rsid w:val="00174DD3"/>
    <w:rsid w:val="00181181"/>
    <w:rsid w:val="001A10DB"/>
    <w:rsid w:val="001A58ED"/>
    <w:rsid w:val="001B10B6"/>
    <w:rsid w:val="001C6476"/>
    <w:rsid w:val="001E3987"/>
    <w:rsid w:val="001F776E"/>
    <w:rsid w:val="00267381"/>
    <w:rsid w:val="0029258A"/>
    <w:rsid w:val="002A1780"/>
    <w:rsid w:val="002B3C21"/>
    <w:rsid w:val="002B680C"/>
    <w:rsid w:val="002F05B1"/>
    <w:rsid w:val="002F57E3"/>
    <w:rsid w:val="002F5FAE"/>
    <w:rsid w:val="00301E4D"/>
    <w:rsid w:val="003050AD"/>
    <w:rsid w:val="003065E9"/>
    <w:rsid w:val="0031087C"/>
    <w:rsid w:val="00311332"/>
    <w:rsid w:val="00333DE5"/>
    <w:rsid w:val="00337C41"/>
    <w:rsid w:val="00343D8A"/>
    <w:rsid w:val="00362853"/>
    <w:rsid w:val="00373823"/>
    <w:rsid w:val="003763A7"/>
    <w:rsid w:val="00381A53"/>
    <w:rsid w:val="003835C2"/>
    <w:rsid w:val="00386117"/>
    <w:rsid w:val="003B24D0"/>
    <w:rsid w:val="003B5B1B"/>
    <w:rsid w:val="003D47FF"/>
    <w:rsid w:val="003D5B7A"/>
    <w:rsid w:val="003D618B"/>
    <w:rsid w:val="003E2AB7"/>
    <w:rsid w:val="003E48F6"/>
    <w:rsid w:val="003E6DDC"/>
    <w:rsid w:val="003E765C"/>
    <w:rsid w:val="00402B81"/>
    <w:rsid w:val="00402D63"/>
    <w:rsid w:val="0041767B"/>
    <w:rsid w:val="00431A29"/>
    <w:rsid w:val="00443800"/>
    <w:rsid w:val="00467E64"/>
    <w:rsid w:val="00470F2E"/>
    <w:rsid w:val="00477587"/>
    <w:rsid w:val="00481FEC"/>
    <w:rsid w:val="0048284E"/>
    <w:rsid w:val="004905FA"/>
    <w:rsid w:val="004B75F8"/>
    <w:rsid w:val="004C0750"/>
    <w:rsid w:val="004C3986"/>
    <w:rsid w:val="004D0F67"/>
    <w:rsid w:val="004D1A6D"/>
    <w:rsid w:val="004D47E0"/>
    <w:rsid w:val="004E560B"/>
    <w:rsid w:val="00512527"/>
    <w:rsid w:val="005157A5"/>
    <w:rsid w:val="00525900"/>
    <w:rsid w:val="005367B3"/>
    <w:rsid w:val="00544D93"/>
    <w:rsid w:val="00546E49"/>
    <w:rsid w:val="00557374"/>
    <w:rsid w:val="00572B68"/>
    <w:rsid w:val="00576109"/>
    <w:rsid w:val="00576488"/>
    <w:rsid w:val="00597443"/>
    <w:rsid w:val="005A2396"/>
    <w:rsid w:val="005C56E2"/>
    <w:rsid w:val="005C6C69"/>
    <w:rsid w:val="005D2A3A"/>
    <w:rsid w:val="005D37D3"/>
    <w:rsid w:val="005F0D82"/>
    <w:rsid w:val="005F2AA1"/>
    <w:rsid w:val="00600875"/>
    <w:rsid w:val="00601498"/>
    <w:rsid w:val="00620D89"/>
    <w:rsid w:val="00641DCC"/>
    <w:rsid w:val="0066316A"/>
    <w:rsid w:val="00672BB0"/>
    <w:rsid w:val="00693428"/>
    <w:rsid w:val="00695751"/>
    <w:rsid w:val="006B19AA"/>
    <w:rsid w:val="006B373E"/>
    <w:rsid w:val="006B4A1E"/>
    <w:rsid w:val="006B5D2D"/>
    <w:rsid w:val="006D2365"/>
    <w:rsid w:val="006D6D7A"/>
    <w:rsid w:val="006E43DF"/>
    <w:rsid w:val="007039B8"/>
    <w:rsid w:val="00703F60"/>
    <w:rsid w:val="00711BDB"/>
    <w:rsid w:val="00714B76"/>
    <w:rsid w:val="00717181"/>
    <w:rsid w:val="00737F7A"/>
    <w:rsid w:val="00741BC9"/>
    <w:rsid w:val="0079410F"/>
    <w:rsid w:val="007C7838"/>
    <w:rsid w:val="007D082B"/>
    <w:rsid w:val="007D2A64"/>
    <w:rsid w:val="007D7B9A"/>
    <w:rsid w:val="007E0ED0"/>
    <w:rsid w:val="007E1300"/>
    <w:rsid w:val="007E364E"/>
    <w:rsid w:val="007F4739"/>
    <w:rsid w:val="0081431E"/>
    <w:rsid w:val="00836321"/>
    <w:rsid w:val="00846DA8"/>
    <w:rsid w:val="00851677"/>
    <w:rsid w:val="0085358B"/>
    <w:rsid w:val="00860864"/>
    <w:rsid w:val="00862A0C"/>
    <w:rsid w:val="00863C5D"/>
    <w:rsid w:val="00864466"/>
    <w:rsid w:val="008714B2"/>
    <w:rsid w:val="008768BC"/>
    <w:rsid w:val="0089604F"/>
    <w:rsid w:val="008B02BD"/>
    <w:rsid w:val="008B3732"/>
    <w:rsid w:val="008C702B"/>
    <w:rsid w:val="008E0C56"/>
    <w:rsid w:val="008F4D49"/>
    <w:rsid w:val="0092401A"/>
    <w:rsid w:val="0093298F"/>
    <w:rsid w:val="009334A9"/>
    <w:rsid w:val="00966679"/>
    <w:rsid w:val="00966A2D"/>
    <w:rsid w:val="00974DE5"/>
    <w:rsid w:val="009763E1"/>
    <w:rsid w:val="00987DA0"/>
    <w:rsid w:val="009A1E9B"/>
    <w:rsid w:val="009B2760"/>
    <w:rsid w:val="009B6EF9"/>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54B9F"/>
    <w:rsid w:val="00A60CE1"/>
    <w:rsid w:val="00A62A7D"/>
    <w:rsid w:val="00A76130"/>
    <w:rsid w:val="00A80012"/>
    <w:rsid w:val="00A911A4"/>
    <w:rsid w:val="00A92B9D"/>
    <w:rsid w:val="00AC7CF0"/>
    <w:rsid w:val="00AD14F9"/>
    <w:rsid w:val="00AD691D"/>
    <w:rsid w:val="00AE5F56"/>
    <w:rsid w:val="00AF2E95"/>
    <w:rsid w:val="00AF4232"/>
    <w:rsid w:val="00AF6679"/>
    <w:rsid w:val="00B0669B"/>
    <w:rsid w:val="00B07E67"/>
    <w:rsid w:val="00B316F4"/>
    <w:rsid w:val="00B3412D"/>
    <w:rsid w:val="00B34BB0"/>
    <w:rsid w:val="00B553F7"/>
    <w:rsid w:val="00B613C2"/>
    <w:rsid w:val="00B72510"/>
    <w:rsid w:val="00B85E48"/>
    <w:rsid w:val="00BA0532"/>
    <w:rsid w:val="00BA22CC"/>
    <w:rsid w:val="00BA5F75"/>
    <w:rsid w:val="00BB6052"/>
    <w:rsid w:val="00BC0172"/>
    <w:rsid w:val="00BE3CCB"/>
    <w:rsid w:val="00BE62E0"/>
    <w:rsid w:val="00BE6782"/>
    <w:rsid w:val="00BF6EA6"/>
    <w:rsid w:val="00C03E63"/>
    <w:rsid w:val="00C0459D"/>
    <w:rsid w:val="00C07423"/>
    <w:rsid w:val="00C122D0"/>
    <w:rsid w:val="00C14882"/>
    <w:rsid w:val="00C33B98"/>
    <w:rsid w:val="00C363A1"/>
    <w:rsid w:val="00C41C6B"/>
    <w:rsid w:val="00C41EE1"/>
    <w:rsid w:val="00C54BC0"/>
    <w:rsid w:val="00C73F19"/>
    <w:rsid w:val="00C76C25"/>
    <w:rsid w:val="00C76F12"/>
    <w:rsid w:val="00C82F64"/>
    <w:rsid w:val="00CA7552"/>
    <w:rsid w:val="00CB3E53"/>
    <w:rsid w:val="00CD6D74"/>
    <w:rsid w:val="00CE450C"/>
    <w:rsid w:val="00D03346"/>
    <w:rsid w:val="00D31DE3"/>
    <w:rsid w:val="00D47872"/>
    <w:rsid w:val="00D53526"/>
    <w:rsid w:val="00D701DE"/>
    <w:rsid w:val="00D77EBE"/>
    <w:rsid w:val="00D83B4B"/>
    <w:rsid w:val="00D85EED"/>
    <w:rsid w:val="00DC5F79"/>
    <w:rsid w:val="00DC5FF0"/>
    <w:rsid w:val="00DC6C66"/>
    <w:rsid w:val="00DD43F6"/>
    <w:rsid w:val="00E007A3"/>
    <w:rsid w:val="00E048DA"/>
    <w:rsid w:val="00E24325"/>
    <w:rsid w:val="00E31469"/>
    <w:rsid w:val="00E372E6"/>
    <w:rsid w:val="00E51ABA"/>
    <w:rsid w:val="00E63FAA"/>
    <w:rsid w:val="00E74F7B"/>
    <w:rsid w:val="00E80E9C"/>
    <w:rsid w:val="00EA3BAE"/>
    <w:rsid w:val="00EA6341"/>
    <w:rsid w:val="00EB1EC1"/>
    <w:rsid w:val="00EB6F8A"/>
    <w:rsid w:val="00EB734D"/>
    <w:rsid w:val="00EC6D72"/>
    <w:rsid w:val="00ED30E6"/>
    <w:rsid w:val="00F062EE"/>
    <w:rsid w:val="00F12324"/>
    <w:rsid w:val="00F12B39"/>
    <w:rsid w:val="00F12CD0"/>
    <w:rsid w:val="00F16414"/>
    <w:rsid w:val="00F3184A"/>
    <w:rsid w:val="00F35A91"/>
    <w:rsid w:val="00F40EE0"/>
    <w:rsid w:val="00F4440C"/>
    <w:rsid w:val="00F55866"/>
    <w:rsid w:val="00F60F92"/>
    <w:rsid w:val="00F636CC"/>
    <w:rsid w:val="00F679B2"/>
    <w:rsid w:val="00F81DAD"/>
    <w:rsid w:val="00F90E57"/>
    <w:rsid w:val="00F92279"/>
    <w:rsid w:val="00FA7A88"/>
    <w:rsid w:val="00FC1EA9"/>
    <w:rsid w:val="00FC29CF"/>
    <w:rsid w:val="00FD20CE"/>
    <w:rsid w:val="00FE1888"/>
    <w:rsid w:val="00FE2F36"/>
    <w:rsid w:val="033C6553"/>
    <w:rsid w:val="12835C38"/>
    <w:rsid w:val="1B9E5549"/>
    <w:rsid w:val="2F865E1A"/>
    <w:rsid w:val="3499272D"/>
    <w:rsid w:val="506C1155"/>
    <w:rsid w:val="5398197C"/>
    <w:rsid w:val="55095889"/>
    <w:rsid w:val="55277002"/>
    <w:rsid w:val="59EE313A"/>
    <w:rsid w:val="5D286CC4"/>
    <w:rsid w:val="5D926524"/>
    <w:rsid w:val="68B47F83"/>
    <w:rsid w:val="6B513D12"/>
    <w:rsid w:val="78897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6" w:lineRule="auto"/>
      <w:outlineLvl w:val="1"/>
    </w:pPr>
    <w:rPr>
      <w:rFonts w:ascii="Cambria" w:hAnsi="Cambria"/>
      <w:b/>
      <w:bCs/>
      <w:sz w:val="32"/>
      <w:szCs w:val="32"/>
    </w:rPr>
  </w:style>
  <w:style w:type="paragraph" w:styleId="3">
    <w:name w:val="heading 5"/>
    <w:basedOn w:val="1"/>
    <w:next w:val="1"/>
    <w:link w:val="17"/>
    <w:semiHidden/>
    <w:unhideWhenUsed/>
    <w:qFormat/>
    <w:uiPriority w:val="9"/>
    <w:pPr>
      <w:keepNext/>
      <w:keepLines/>
      <w:spacing w:before="280" w:after="290" w:line="376" w:lineRule="auto"/>
      <w:outlineLvl w:val="4"/>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字符"/>
    <w:basedOn w:val="8"/>
    <w:link w:val="2"/>
    <w:qFormat/>
    <w:uiPriority w:val="9"/>
    <w:rPr>
      <w:rFonts w:ascii="Cambria" w:hAnsi="Cambria" w:eastAsia="宋体" w:cs="Times New Roman"/>
      <w:b/>
      <w:bCs/>
      <w:sz w:val="32"/>
      <w:szCs w:val="32"/>
    </w:rPr>
  </w:style>
  <w:style w:type="character" w:customStyle="1" w:styleId="13">
    <w:name w:val="3zw1"/>
    <w:qFormat/>
    <w:uiPriority w:val="99"/>
    <w:rPr>
      <w:rFonts w:cs="Times New Roman"/>
      <w:color w:val="000000"/>
      <w:sz w:val="21"/>
      <w:szCs w:val="21"/>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List Paragraph1"/>
    <w:basedOn w:val="1"/>
    <w:qFormat/>
    <w:uiPriority w:val="99"/>
    <w:pPr>
      <w:topLinePunct/>
      <w:ind w:firstLine="420" w:firstLineChars="200"/>
    </w:pPr>
    <w:rPr>
      <w:rFonts w:ascii="宋体" w:hAnsi="宋体"/>
      <w:szCs w:val="20"/>
    </w:rPr>
  </w:style>
  <w:style w:type="paragraph" w:customStyle="1" w:styleId="16">
    <w:name w:val="彩色列表 - 着色 11"/>
    <w:basedOn w:val="1"/>
    <w:qFormat/>
    <w:uiPriority w:val="99"/>
    <w:pPr>
      <w:ind w:firstLine="420" w:firstLineChars="200"/>
    </w:pPr>
    <w:rPr>
      <w:rFonts w:ascii="Times New Roman" w:hAnsi="Times New Roman"/>
      <w:szCs w:val="24"/>
    </w:rPr>
  </w:style>
  <w:style w:type="character" w:customStyle="1" w:styleId="17">
    <w:name w:val="标题 5 字符1"/>
    <w:basedOn w:val="8"/>
    <w:link w:val="3"/>
    <w:semiHidden/>
    <w:qFormat/>
    <w:uiPriority w:val="9"/>
    <w:rPr>
      <w:rFonts w:ascii="Calibri" w:hAnsi="Calibri" w:eastAsia="宋体" w:cs="Times New Roman"/>
      <w:b/>
      <w:bCs/>
      <w:sz w:val="28"/>
      <w:szCs w:val="28"/>
    </w:rPr>
  </w:style>
  <w:style w:type="character" w:customStyle="1" w:styleId="18">
    <w:name w:val="标题 5 字符"/>
    <w:qFormat/>
    <w:uiPriority w:val="0"/>
    <w:rPr>
      <w:rFonts w:ascii="Times New Roman" w:hAnsi="Times New Roman"/>
      <w:b/>
      <w:bCs/>
      <w:kern w:val="2"/>
      <w:sz w:val="28"/>
      <w:szCs w:val="28"/>
    </w:rPr>
  </w:style>
  <w:style w:type="paragraph" w:customStyle="1" w:styleId="19">
    <w:name w:val="列出段落1"/>
    <w:basedOn w:val="1"/>
    <w:qFormat/>
    <w:uiPriority w:val="0"/>
    <w:pPr>
      <w:ind w:firstLine="420" w:firstLineChars="200"/>
    </w:pPr>
    <w:rPr>
      <w:rFonts w:ascii="Times New Roman" w:hAnsi="Times New Roman"/>
      <w:szCs w:val="20"/>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818</Words>
  <Characters>4663</Characters>
  <Lines>38</Lines>
  <Paragraphs>10</Paragraphs>
  <TotalTime>20</TotalTime>
  <ScaleCrop>false</ScaleCrop>
  <LinksUpToDate>false</LinksUpToDate>
  <CharactersWithSpaces>5471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2019-03-24T09:52:00Z</dcterms:created>
  <dc:creator>Windows 用户</dc:creator>
  <cp:lastModifiedBy>边风</cp:lastModifiedBy>
  <dcterms:modified xsi:type="dcterms:W3CDTF">2021-10-11T00:35:27Z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C7C978F62CCB4A7CB3651A1102B4DFAE</vt:lpwstr>
  </property>
</Properties>
</file>