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69" w:rsidRDefault="002D0CF0">
      <w:pPr>
        <w:snapToGrid w:val="0"/>
        <w:spacing w:beforeLines="50" w:before="159" w:afterLines="50" w:after="159" w:line="520" w:lineRule="exact"/>
        <w:contextualSpacing/>
        <w:jc w:val="left"/>
        <w:rPr>
          <w:rFonts w:asciiTheme="minorEastAsia" w:eastAsiaTheme="minorEastAsia" w:hAnsiTheme="minorEastAsia"/>
          <w:b/>
          <w:sz w:val="32"/>
          <w:szCs w:val="24"/>
        </w:rPr>
      </w:pPr>
      <w:r>
        <w:rPr>
          <w:rFonts w:asciiTheme="minorEastAsia" w:eastAsiaTheme="minorEastAsia" w:hAnsiTheme="minorEastAsia" w:hint="eastAsia"/>
          <w:b/>
          <w:sz w:val="32"/>
          <w:szCs w:val="24"/>
        </w:rPr>
        <w:t>附件1：</w:t>
      </w:r>
    </w:p>
    <w:p w:rsidR="00C02969" w:rsidRDefault="00C02969">
      <w:pPr>
        <w:snapToGrid w:val="0"/>
        <w:spacing w:beforeLines="50" w:before="159" w:afterLines="50" w:after="159" w:line="520" w:lineRule="exact"/>
        <w:contextualSpacing/>
        <w:jc w:val="left"/>
        <w:rPr>
          <w:rFonts w:asciiTheme="minorEastAsia" w:eastAsiaTheme="minorEastAsia" w:hAnsiTheme="minorEastAsia"/>
          <w:b/>
          <w:sz w:val="32"/>
          <w:szCs w:val="24"/>
        </w:rPr>
      </w:pPr>
    </w:p>
    <w:p w:rsidR="00C02969" w:rsidRDefault="002D0CF0">
      <w:pPr>
        <w:snapToGrid w:val="0"/>
        <w:spacing w:beforeLines="50" w:before="159" w:afterLines="200" w:after="638" w:line="520" w:lineRule="exact"/>
        <w:ind w:firstLineChars="200" w:firstLine="643"/>
        <w:contextualSpacing/>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20</w:t>
      </w:r>
      <w:r>
        <w:rPr>
          <w:rFonts w:asciiTheme="minorEastAsia" w:eastAsiaTheme="minorEastAsia" w:hAnsiTheme="minorEastAsia"/>
          <w:b/>
          <w:sz w:val="32"/>
          <w:szCs w:val="24"/>
        </w:rPr>
        <w:t>2</w:t>
      </w:r>
      <w:r>
        <w:rPr>
          <w:rFonts w:asciiTheme="minorEastAsia" w:eastAsiaTheme="minorEastAsia" w:hAnsiTheme="minorEastAsia" w:hint="eastAsia"/>
          <w:b/>
          <w:sz w:val="32"/>
          <w:szCs w:val="24"/>
        </w:rPr>
        <w:t>2年河北省中等职业院校汽车营销技能大赛</w:t>
      </w:r>
    </w:p>
    <w:p w:rsidR="00C02969" w:rsidRDefault="002D0CF0">
      <w:pPr>
        <w:snapToGrid w:val="0"/>
        <w:spacing w:beforeLines="50" w:before="159" w:afterLines="200" w:after="638" w:line="520" w:lineRule="exact"/>
        <w:ind w:firstLineChars="200" w:firstLine="643"/>
        <w:contextualSpacing/>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竞赛规程</w:t>
      </w:r>
    </w:p>
    <w:p w:rsidR="00C02969" w:rsidRDefault="00C02969">
      <w:pPr>
        <w:snapToGrid w:val="0"/>
        <w:spacing w:beforeLines="50" w:before="159" w:afterLines="200" w:after="638" w:line="520" w:lineRule="exact"/>
        <w:ind w:firstLineChars="200" w:firstLine="643"/>
        <w:contextualSpacing/>
        <w:jc w:val="center"/>
        <w:rPr>
          <w:rFonts w:asciiTheme="minorEastAsia" w:eastAsiaTheme="minorEastAsia" w:hAnsiTheme="minorEastAsia"/>
          <w:b/>
          <w:sz w:val="32"/>
          <w:szCs w:val="24"/>
        </w:rPr>
      </w:pPr>
    </w:p>
    <w:p w:rsidR="00C02969" w:rsidRDefault="002D0CF0">
      <w:pPr>
        <w:snapToGrid w:val="0"/>
        <w:spacing w:beforeLines="200" w:before="638" w:afterLines="50" w:after="159" w:line="520" w:lineRule="exact"/>
        <w:ind w:firstLineChars="200" w:firstLine="482"/>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一、比赛的职业、标准、形式和内容</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（一）职业：汽车服务顾问、汽车销售顾问、汽车市场专员、汽车销售信息专员、汽车售后信息专员、汽车网销专员、汽车金融专员、行政专员、前台接待、汽车配件专员、汽车客服专员等。</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（二）标准：参考商务部颁发的《汽车销售管理办法》</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（三）比赛形式</w:t>
      </w:r>
    </w:p>
    <w:p w:rsidR="00BF0E04" w:rsidRDefault="002D0CF0">
      <w:pPr>
        <w:spacing w:line="520" w:lineRule="exact"/>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本赛项为团队赛。同一学校报名参赛队</w:t>
      </w:r>
      <w:r w:rsidR="00D66BFF">
        <w:rPr>
          <w:rFonts w:asciiTheme="minorEastAsia" w:eastAsiaTheme="minorEastAsia" w:hAnsiTheme="minorEastAsia" w:hint="eastAsia"/>
          <w:sz w:val="24"/>
          <w:szCs w:val="24"/>
        </w:rPr>
        <w:t>限报</w:t>
      </w:r>
      <w:r>
        <w:rPr>
          <w:rFonts w:asciiTheme="minorEastAsia" w:eastAsiaTheme="minorEastAsia" w:hAnsiTheme="minorEastAsia" w:hint="eastAsia"/>
          <w:sz w:val="24"/>
          <w:szCs w:val="24"/>
        </w:rPr>
        <w:t>1支，每队2名选手，配1名指导教师，不允许跨校组队。</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（四）比赛内容</w:t>
      </w:r>
    </w:p>
    <w:p w:rsidR="00BF0E04" w:rsidRDefault="002D0CF0" w:rsidP="00BF0E04">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汽车营销中职组赛项设置包括：新车销售与三包索赔、客户关系管理与网络营销两个模块</w:t>
      </w:r>
      <w:r w:rsidR="00BF0E0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全部按照企业岗位技能考核要求标准设定，体现汽车营销与服务专业的教学目标。</w:t>
      </w:r>
      <w:r w:rsidR="00BF0E04" w:rsidRPr="00D66BFF">
        <w:rPr>
          <w:rFonts w:asciiTheme="minorEastAsia" w:eastAsiaTheme="minorEastAsia" w:hAnsiTheme="minorEastAsia" w:hint="eastAsia"/>
          <w:sz w:val="24"/>
          <w:szCs w:val="24"/>
        </w:rPr>
        <w:t>每队的2名选手</w:t>
      </w:r>
      <w:r w:rsidR="00BF0E04">
        <w:rPr>
          <w:rFonts w:asciiTheme="minorEastAsia" w:eastAsiaTheme="minorEastAsia" w:hAnsiTheme="minorEastAsia" w:hint="eastAsia"/>
          <w:sz w:val="24"/>
          <w:szCs w:val="24"/>
        </w:rPr>
        <w:t>分别完成一个模块，比赛时通过抽签</w:t>
      </w:r>
      <w:r w:rsidR="00BF0E04" w:rsidRPr="00D66BFF">
        <w:rPr>
          <w:rFonts w:asciiTheme="minorEastAsia" w:eastAsiaTheme="minorEastAsia" w:hAnsiTheme="minorEastAsia" w:hint="eastAsia"/>
          <w:sz w:val="24"/>
          <w:szCs w:val="24"/>
        </w:rPr>
        <w:t>决定各自所要比赛的模块。</w:t>
      </w:r>
      <w:bookmarkStart w:id="0" w:name="_GoBack"/>
      <w:bookmarkEnd w:id="0"/>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模块时长、分值及相应权重见下表：</w:t>
      </w:r>
    </w:p>
    <w:p w:rsidR="00C02969" w:rsidRDefault="002D0CF0">
      <w:pPr>
        <w:spacing w:line="520" w:lineRule="exact"/>
        <w:ind w:firstLineChars="200" w:firstLine="480"/>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模块时长、分值及相应权重</w:t>
      </w:r>
    </w:p>
    <w:tbl>
      <w:tblPr>
        <w:tblStyle w:val="a7"/>
        <w:tblW w:w="0" w:type="auto"/>
        <w:jc w:val="center"/>
        <w:tblLook w:val="04A0" w:firstRow="1" w:lastRow="0" w:firstColumn="1" w:lastColumn="0" w:noHBand="0" w:noVBand="1"/>
      </w:tblPr>
      <w:tblGrid>
        <w:gridCol w:w="2856"/>
        <w:gridCol w:w="1056"/>
        <w:gridCol w:w="936"/>
        <w:gridCol w:w="698"/>
        <w:gridCol w:w="876"/>
      </w:tblGrid>
      <w:tr w:rsidR="00C02969">
        <w:trPr>
          <w:trHeight w:val="612"/>
          <w:jc w:val="center"/>
        </w:trPr>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b/>
                <w:bCs/>
                <w:color w:val="000000"/>
                <w:kern w:val="0"/>
                <w:sz w:val="24"/>
                <w:szCs w:val="24"/>
                <w:lang w:bidi="ar"/>
              </w:rPr>
              <w:t>模块</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b/>
                <w:bCs/>
                <w:color w:val="000000"/>
                <w:kern w:val="0"/>
                <w:sz w:val="24"/>
                <w:szCs w:val="24"/>
                <w:lang w:bidi="ar"/>
              </w:rPr>
              <w:t>时长</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b/>
                <w:bCs/>
                <w:color w:val="000000"/>
                <w:kern w:val="0"/>
                <w:sz w:val="24"/>
                <w:szCs w:val="24"/>
                <w:lang w:bidi="ar"/>
              </w:rPr>
              <w:t>分值</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b/>
                <w:bCs/>
                <w:color w:val="000000"/>
                <w:kern w:val="0"/>
                <w:sz w:val="24"/>
                <w:szCs w:val="24"/>
                <w:lang w:bidi="ar"/>
              </w:rPr>
              <w:t>权重</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b/>
                <w:bCs/>
                <w:color w:val="000000"/>
                <w:kern w:val="0"/>
                <w:sz w:val="24"/>
                <w:szCs w:val="24"/>
                <w:lang w:bidi="ar"/>
              </w:rPr>
              <w:t>总分</w:t>
            </w:r>
          </w:p>
        </w:tc>
      </w:tr>
      <w:tr w:rsidR="00C02969">
        <w:trPr>
          <w:trHeight w:val="437"/>
          <w:jc w:val="center"/>
        </w:trPr>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color w:val="000000"/>
                <w:kern w:val="0"/>
                <w:sz w:val="24"/>
                <w:szCs w:val="24"/>
                <w:lang w:bidi="ar"/>
              </w:rPr>
              <w:t>新车销售与三包索赔</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color w:val="000000"/>
                <w:kern w:val="0"/>
                <w:sz w:val="24"/>
                <w:szCs w:val="24"/>
                <w:lang w:bidi="ar"/>
              </w:rPr>
              <w:t>50 分钟</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color w:val="000000"/>
                <w:kern w:val="0"/>
                <w:sz w:val="24"/>
                <w:szCs w:val="24"/>
                <w:lang w:bidi="ar"/>
              </w:rPr>
              <w:t>100 分</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color w:val="000000"/>
                <w:kern w:val="0"/>
                <w:sz w:val="24"/>
                <w:szCs w:val="24"/>
                <w:lang w:bidi="ar"/>
              </w:rPr>
              <w:t>50%</w:t>
            </w:r>
          </w:p>
        </w:tc>
        <w:tc>
          <w:tcPr>
            <w:tcW w:w="0" w:type="auto"/>
            <w:vMerge w:val="restart"/>
            <w:vAlign w:val="center"/>
          </w:tcPr>
          <w:p w:rsidR="00C02969" w:rsidRDefault="002D0CF0">
            <w:pPr>
              <w:spacing w:line="52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100分</w:t>
            </w:r>
          </w:p>
        </w:tc>
      </w:tr>
      <w:tr w:rsidR="00C02969">
        <w:trPr>
          <w:trHeight w:val="462"/>
          <w:jc w:val="center"/>
        </w:trPr>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color w:val="000000"/>
                <w:kern w:val="0"/>
                <w:sz w:val="24"/>
                <w:szCs w:val="24"/>
                <w:lang w:bidi="ar"/>
              </w:rPr>
              <w:t>客户关系管理与网络营销</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color w:val="000000"/>
                <w:kern w:val="0"/>
                <w:sz w:val="24"/>
                <w:szCs w:val="24"/>
                <w:lang w:bidi="ar"/>
              </w:rPr>
              <w:t>50 分钟</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color w:val="000000"/>
                <w:kern w:val="0"/>
                <w:sz w:val="24"/>
                <w:szCs w:val="24"/>
                <w:lang w:bidi="ar"/>
              </w:rPr>
              <w:t>100 分</w:t>
            </w:r>
          </w:p>
        </w:tc>
        <w:tc>
          <w:tcPr>
            <w:tcW w:w="0" w:type="auto"/>
            <w:vAlign w:val="center"/>
          </w:tcPr>
          <w:p w:rsidR="00C02969" w:rsidRDefault="002D0CF0">
            <w:pPr>
              <w:widowControl/>
              <w:spacing w:line="520" w:lineRule="exact"/>
              <w:jc w:val="center"/>
              <w:rPr>
                <w:rFonts w:asciiTheme="minorEastAsia" w:eastAsiaTheme="minorEastAsia" w:hAnsiTheme="minorEastAsia"/>
                <w:sz w:val="24"/>
                <w:szCs w:val="24"/>
              </w:rPr>
            </w:pPr>
            <w:r>
              <w:rPr>
                <w:rFonts w:ascii="宋体" w:hAnsi="宋体" w:cs="宋体" w:hint="eastAsia"/>
                <w:color w:val="000000"/>
                <w:kern w:val="0"/>
                <w:sz w:val="24"/>
                <w:szCs w:val="24"/>
                <w:lang w:bidi="ar"/>
              </w:rPr>
              <w:t>50%</w:t>
            </w:r>
          </w:p>
        </w:tc>
        <w:tc>
          <w:tcPr>
            <w:tcW w:w="0" w:type="auto"/>
            <w:vMerge/>
            <w:vAlign w:val="center"/>
          </w:tcPr>
          <w:p w:rsidR="00C02969" w:rsidRDefault="00C02969">
            <w:pPr>
              <w:spacing w:line="520" w:lineRule="exact"/>
              <w:contextualSpacing/>
              <w:jc w:val="center"/>
              <w:rPr>
                <w:rFonts w:asciiTheme="minorEastAsia" w:eastAsiaTheme="minorEastAsia" w:hAnsiTheme="minorEastAsia"/>
                <w:sz w:val="24"/>
                <w:szCs w:val="24"/>
              </w:rPr>
            </w:pPr>
          </w:p>
        </w:tc>
      </w:tr>
    </w:tbl>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各模块的作业要求和考核要点如下：</w:t>
      </w:r>
    </w:p>
    <w:p w:rsidR="00C02969" w:rsidRDefault="002D0CF0">
      <w:pPr>
        <w:widowControl/>
        <w:spacing w:line="520" w:lineRule="exact"/>
        <w:ind w:firstLineChars="200" w:firstLine="482"/>
        <w:jc w:val="left"/>
      </w:pPr>
      <w:r>
        <w:rPr>
          <w:rFonts w:asciiTheme="minorEastAsia" w:eastAsiaTheme="minorEastAsia" w:hAnsiTheme="minorEastAsia" w:hint="eastAsia"/>
          <w:b/>
          <w:bCs/>
          <w:sz w:val="24"/>
          <w:szCs w:val="24"/>
        </w:rPr>
        <w:t>1、新车销售与三包索赔模块</w:t>
      </w:r>
      <w:r>
        <w:rPr>
          <w:rFonts w:ascii="仿宋_GB2312" w:eastAsia="仿宋_GB2312" w:hAnsi="仿宋_GB2312" w:cs="仿宋_GB2312"/>
          <w:b/>
          <w:bCs/>
          <w:color w:val="000000"/>
          <w:kern w:val="0"/>
          <w:sz w:val="28"/>
          <w:szCs w:val="28"/>
          <w:lang w:bidi="ar"/>
        </w:rPr>
        <w:t xml:space="preserve">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（1）竞赛形式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竞赛成绩由业务系统评分和现场裁判评分合计评定，比赛时长共计5</w:t>
      </w:r>
      <w:r>
        <w:rPr>
          <w:rFonts w:asciiTheme="minorEastAsia" w:eastAsiaTheme="minorEastAsia" w:hAnsiTheme="minorEastAsia"/>
          <w:sz w:val="24"/>
          <w:szCs w:val="24"/>
        </w:rPr>
        <w:t>0</w:t>
      </w:r>
      <w:r>
        <w:rPr>
          <w:rFonts w:asciiTheme="minorEastAsia" w:eastAsiaTheme="minorEastAsia" w:hAnsiTheme="minorEastAsia" w:hint="eastAsia"/>
          <w:sz w:val="24"/>
          <w:szCs w:val="24"/>
        </w:rPr>
        <w:t>分钟。选手作业满分为</w:t>
      </w:r>
      <w:r>
        <w:rPr>
          <w:rFonts w:asciiTheme="minorEastAsia" w:eastAsiaTheme="minorEastAsia" w:hAnsiTheme="minorEastAsia"/>
          <w:sz w:val="24"/>
          <w:szCs w:val="24"/>
        </w:rPr>
        <w:t>100</w:t>
      </w:r>
      <w:r>
        <w:rPr>
          <w:rFonts w:asciiTheme="minorEastAsia" w:eastAsiaTheme="minorEastAsia" w:hAnsiTheme="minorEastAsia" w:hint="eastAsia"/>
          <w:sz w:val="24"/>
          <w:szCs w:val="24"/>
        </w:rPr>
        <w:t>分，其中业务系统成绩占</w:t>
      </w:r>
      <w:r>
        <w:rPr>
          <w:rFonts w:asciiTheme="minorEastAsia" w:eastAsiaTheme="minorEastAsia" w:hAnsiTheme="minorEastAsia"/>
          <w:sz w:val="24"/>
          <w:szCs w:val="24"/>
        </w:rPr>
        <w:t>30%</w:t>
      </w:r>
      <w:r>
        <w:rPr>
          <w:rFonts w:asciiTheme="minorEastAsia" w:eastAsiaTheme="minorEastAsia" w:hAnsiTheme="minorEastAsia" w:hint="eastAsia"/>
          <w:sz w:val="24"/>
          <w:szCs w:val="24"/>
        </w:rPr>
        <w:t>，裁判评定实操成绩占</w:t>
      </w:r>
      <w:r>
        <w:rPr>
          <w:rFonts w:asciiTheme="minorEastAsia" w:eastAsiaTheme="minorEastAsia" w:hAnsiTheme="minorEastAsia"/>
          <w:sz w:val="24"/>
          <w:szCs w:val="24"/>
        </w:rPr>
        <w:t>70%</w:t>
      </w:r>
      <w:r>
        <w:rPr>
          <w:rFonts w:asciiTheme="minorEastAsia" w:eastAsiaTheme="minorEastAsia" w:hAnsiTheme="minorEastAsia" w:hint="eastAsia"/>
          <w:sz w:val="24"/>
          <w:szCs w:val="24"/>
        </w:rPr>
        <w:t xml:space="preserve">。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（2）竞赛内容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此模块按照真实工作情境进行，设置 </w:t>
      </w:r>
      <w:r>
        <w:rPr>
          <w:rFonts w:asciiTheme="minorEastAsia" w:eastAsiaTheme="minorEastAsia" w:hAnsiTheme="minorEastAsia"/>
          <w:sz w:val="24"/>
          <w:szCs w:val="24"/>
        </w:rPr>
        <w:t xml:space="preserve">4S </w:t>
      </w:r>
      <w:r>
        <w:rPr>
          <w:rFonts w:asciiTheme="minorEastAsia" w:eastAsiaTheme="minorEastAsia" w:hAnsiTheme="minorEastAsia" w:hint="eastAsia"/>
          <w:sz w:val="24"/>
          <w:szCs w:val="24"/>
        </w:rPr>
        <w:t xml:space="preserve">店销售展厅这一典型工作场景，选取迈腾 </w:t>
      </w:r>
      <w:r>
        <w:rPr>
          <w:rFonts w:asciiTheme="minorEastAsia" w:eastAsiaTheme="minorEastAsia" w:hAnsiTheme="minorEastAsia"/>
          <w:sz w:val="24"/>
          <w:szCs w:val="24"/>
        </w:rPr>
        <w:t xml:space="preserve">GTE </w:t>
      </w:r>
      <w:r>
        <w:rPr>
          <w:rFonts w:asciiTheme="minorEastAsia" w:eastAsiaTheme="minorEastAsia" w:hAnsiTheme="minorEastAsia" w:hint="eastAsia"/>
          <w:sz w:val="24"/>
          <w:szCs w:val="24"/>
        </w:rPr>
        <w:t>豪华型新车销售这一核心业务为主线，三包索赔业务为辅。要求选手依据岗位职责及任务情况完成：电话邀约、销售接待、需求分析、车型介绍、保险推介、精品推介、金融推介、异议处理、报价成交、车辆交接和三包索赔判断及业务申请等环节作业，新车销售和三包索赔过程中利用运华</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汽车销售流程管理考核系统进行业务信息登记和处理作业。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（3）竞赛要点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此模块的作业及内容贴合企业实际工作过程，对“汽车销售顾问”和</w:t>
      </w:r>
      <w:r>
        <w:rPr>
          <w:rFonts w:asciiTheme="minorEastAsia" w:eastAsiaTheme="minorEastAsia" w:hAnsiTheme="minorEastAsia"/>
          <w:sz w:val="24"/>
          <w:szCs w:val="24"/>
        </w:rPr>
        <w:t>“</w:t>
      </w:r>
      <w:r>
        <w:rPr>
          <w:rFonts w:asciiTheme="minorEastAsia" w:eastAsiaTheme="minorEastAsia" w:hAnsiTheme="minorEastAsia" w:hint="eastAsia"/>
          <w:sz w:val="24"/>
          <w:szCs w:val="24"/>
        </w:rPr>
        <w:t>三包索赔员</w:t>
      </w:r>
      <w:r>
        <w:rPr>
          <w:rFonts w:asciiTheme="minorEastAsia" w:eastAsiaTheme="minorEastAsia" w:hAnsiTheme="minorEastAsia"/>
          <w:sz w:val="24"/>
          <w:szCs w:val="24"/>
        </w:rPr>
        <w:t>”</w:t>
      </w:r>
      <w:r>
        <w:rPr>
          <w:rFonts w:asciiTheme="minorEastAsia" w:eastAsiaTheme="minorEastAsia" w:hAnsiTheme="minorEastAsia" w:hint="eastAsia"/>
          <w:sz w:val="24"/>
          <w:szCs w:val="24"/>
        </w:rPr>
        <w:t>岗位的核心技能及相关拓展技能进行综合考核及评价，包括安全</w:t>
      </w:r>
      <w:r>
        <w:rPr>
          <w:rFonts w:asciiTheme="minorEastAsia" w:eastAsiaTheme="minorEastAsia" w:hAnsiTheme="minorEastAsia"/>
          <w:sz w:val="24"/>
          <w:szCs w:val="24"/>
        </w:rPr>
        <w:t>/7S/</w:t>
      </w:r>
      <w:r>
        <w:rPr>
          <w:rFonts w:asciiTheme="minorEastAsia" w:eastAsiaTheme="minorEastAsia" w:hAnsiTheme="minorEastAsia" w:hint="eastAsia"/>
          <w:sz w:val="24"/>
          <w:szCs w:val="24"/>
        </w:rPr>
        <w:t xml:space="preserve">态度、专业技能能力、工具及设备的使用能力、资料和信息查询能力、数据判断和分析能力、表单填写与报告撰写能力，全面考察选手所掌握的汽车销售和三包索赔的综合技能。 </w:t>
      </w:r>
    </w:p>
    <w:p w:rsidR="00C02969" w:rsidRDefault="002D0CF0">
      <w:pPr>
        <w:spacing w:line="520" w:lineRule="exact"/>
        <w:ind w:firstLineChars="200" w:firstLine="482"/>
        <w:contextualSpacing/>
      </w:pPr>
      <w:r>
        <w:rPr>
          <w:rFonts w:asciiTheme="minorEastAsia" w:eastAsiaTheme="minorEastAsia" w:hAnsiTheme="minorEastAsia" w:hint="eastAsia"/>
          <w:b/>
          <w:bCs/>
          <w:sz w:val="24"/>
          <w:szCs w:val="24"/>
        </w:rPr>
        <w:t>2、客户关系管理与网络营销模块</w:t>
      </w:r>
      <w:r>
        <w:rPr>
          <w:rFonts w:ascii="仿宋_GB2312" w:eastAsia="仿宋_GB2312" w:hAnsi="仿宋_GB2312" w:cs="仿宋_GB2312"/>
          <w:b/>
          <w:bCs/>
          <w:color w:val="000000"/>
          <w:kern w:val="0"/>
          <w:sz w:val="28"/>
          <w:szCs w:val="28"/>
          <w:lang w:bidi="ar"/>
        </w:rPr>
        <w:t xml:space="preserve">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（1）竞赛形式</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此模块成绩由业务系统作业评分和现场裁判评分合计评定，比赛时长共计5</w:t>
      </w:r>
      <w:r>
        <w:rPr>
          <w:rFonts w:asciiTheme="minorEastAsia" w:eastAsiaTheme="minorEastAsia" w:hAnsiTheme="minorEastAsia"/>
          <w:sz w:val="24"/>
          <w:szCs w:val="24"/>
        </w:rPr>
        <w:t xml:space="preserve">0 </w:t>
      </w:r>
      <w:r>
        <w:rPr>
          <w:rFonts w:asciiTheme="minorEastAsia" w:eastAsiaTheme="minorEastAsia" w:hAnsiTheme="minorEastAsia" w:hint="eastAsia"/>
          <w:sz w:val="24"/>
          <w:szCs w:val="24"/>
        </w:rPr>
        <w:t>分钟。选手作业满分为</w:t>
      </w:r>
      <w:r>
        <w:rPr>
          <w:rFonts w:asciiTheme="minorEastAsia" w:eastAsiaTheme="minorEastAsia" w:hAnsiTheme="minorEastAsia"/>
          <w:sz w:val="24"/>
          <w:szCs w:val="24"/>
        </w:rPr>
        <w:t>100</w:t>
      </w:r>
      <w:r>
        <w:rPr>
          <w:rFonts w:asciiTheme="minorEastAsia" w:eastAsiaTheme="minorEastAsia" w:hAnsiTheme="minorEastAsia" w:hint="eastAsia"/>
          <w:sz w:val="24"/>
          <w:szCs w:val="24"/>
        </w:rPr>
        <w:t>分，其中业务系统作业成绩占</w:t>
      </w:r>
      <w:r>
        <w:rPr>
          <w:rFonts w:asciiTheme="minorEastAsia" w:eastAsiaTheme="minorEastAsia" w:hAnsiTheme="minorEastAsia"/>
          <w:sz w:val="24"/>
          <w:szCs w:val="24"/>
        </w:rPr>
        <w:t>30%</w:t>
      </w:r>
      <w:r>
        <w:rPr>
          <w:rFonts w:asciiTheme="minorEastAsia" w:eastAsiaTheme="minorEastAsia" w:hAnsiTheme="minorEastAsia" w:hint="eastAsia"/>
          <w:sz w:val="24"/>
          <w:szCs w:val="24"/>
        </w:rPr>
        <w:t>，裁判评定成绩占</w:t>
      </w:r>
      <w:r>
        <w:rPr>
          <w:rFonts w:asciiTheme="minorEastAsia" w:eastAsiaTheme="minorEastAsia" w:hAnsiTheme="minorEastAsia"/>
          <w:sz w:val="24"/>
          <w:szCs w:val="24"/>
        </w:rPr>
        <w:t>70%</w:t>
      </w:r>
      <w:r>
        <w:rPr>
          <w:rFonts w:asciiTheme="minorEastAsia" w:eastAsiaTheme="minorEastAsia" w:hAnsiTheme="minorEastAsia" w:hint="eastAsia"/>
          <w:sz w:val="24"/>
          <w:szCs w:val="24"/>
        </w:rPr>
        <w:t xml:space="preserve">。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（2）竞赛内容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此模块按照真实工作情境进行，选取</w:t>
      </w:r>
      <w:r>
        <w:rPr>
          <w:rFonts w:asciiTheme="minorEastAsia" w:eastAsiaTheme="minorEastAsia" w:hAnsiTheme="minorEastAsia"/>
          <w:sz w:val="24"/>
          <w:szCs w:val="24"/>
        </w:rPr>
        <w:t>4S</w:t>
      </w:r>
      <w:r>
        <w:rPr>
          <w:rFonts w:asciiTheme="minorEastAsia" w:eastAsiaTheme="minorEastAsia" w:hAnsiTheme="minorEastAsia" w:hint="eastAsia"/>
          <w:sz w:val="24"/>
          <w:szCs w:val="24"/>
        </w:rPr>
        <w:t>店市场专员这一典型工作岗位，根据客户信息进行分析，设计汽车网络营销广告这一典型工作任务，选手需根据客户信息定位，完成市场活动网络推广宣传作业，包括：客户信息分析、</w:t>
      </w:r>
      <w:r>
        <w:rPr>
          <w:rFonts w:asciiTheme="minorEastAsia" w:eastAsiaTheme="minorEastAsia" w:hAnsiTheme="minorEastAsia"/>
          <w:sz w:val="24"/>
          <w:szCs w:val="24"/>
        </w:rPr>
        <w:t xml:space="preserve">H5 </w:t>
      </w:r>
      <w:r>
        <w:rPr>
          <w:rFonts w:asciiTheme="minorEastAsia" w:eastAsiaTheme="minorEastAsia" w:hAnsiTheme="minorEastAsia" w:hint="eastAsia"/>
          <w:sz w:val="24"/>
          <w:szCs w:val="24"/>
        </w:rPr>
        <w:t xml:space="preserve">宣传页面信息规划设计、宣传元素选择、风格与动画设计等。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（3）竞赛要点 </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此模块重点考察参赛选手对客户信息分析、广告宣传方案制定、宣传页面设计</w:t>
      </w:r>
      <w:r>
        <w:rPr>
          <w:rFonts w:asciiTheme="minorEastAsia" w:eastAsiaTheme="minorEastAsia" w:hAnsiTheme="minorEastAsia" w:hint="eastAsia"/>
          <w:sz w:val="24"/>
          <w:szCs w:val="24"/>
        </w:rPr>
        <w:lastRenderedPageBreak/>
        <w:t>等专业知识技能及相关综合技能的考评，包括安全</w:t>
      </w:r>
      <w:r>
        <w:rPr>
          <w:rFonts w:asciiTheme="minorEastAsia" w:eastAsiaTheme="minorEastAsia" w:hAnsiTheme="minorEastAsia"/>
          <w:sz w:val="24"/>
          <w:szCs w:val="24"/>
        </w:rPr>
        <w:t>/7S/</w:t>
      </w:r>
      <w:r>
        <w:rPr>
          <w:rFonts w:asciiTheme="minorEastAsia" w:eastAsiaTheme="minorEastAsia" w:hAnsiTheme="minorEastAsia" w:hint="eastAsia"/>
          <w:sz w:val="24"/>
          <w:szCs w:val="24"/>
        </w:rPr>
        <w:t>态度、专业技能能力、工具及设备的使用能力、资料和信息查询能力、数据判断和分析能力、表单填写与报告撰写能力，全面考察选手所掌握的综合技能。</w:t>
      </w:r>
    </w:p>
    <w:p w:rsidR="00C02969" w:rsidRDefault="002D0CF0">
      <w:pPr>
        <w:numPr>
          <w:ilvl w:val="0"/>
          <w:numId w:val="1"/>
        </w:num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评分方法</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各参赛队成绩为两个模块成绩的加权总和。</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总成绩=新车销售与配件索赔模块成绩×50%+客户关系管理与网络营销模块成绩×50%</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1、新车销售与配件索赔模块成绩=汽车销售流程管理系统成绩×30%+现场裁判评定成绩×70%</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2、客户关系管理与网络营销模块成绩=汽车网络营销H5制作系统成绩×30%+现场裁判评定成绩×70%</w:t>
      </w:r>
    </w:p>
    <w:p w:rsidR="00C02969" w:rsidRDefault="002D0CF0">
      <w:pPr>
        <w:snapToGrid w:val="0"/>
        <w:spacing w:beforeLines="50" w:before="159" w:afterLines="50" w:after="159" w:line="520" w:lineRule="exact"/>
        <w:ind w:firstLineChars="200" w:firstLine="482"/>
        <w:contextualSpacing/>
        <w:rPr>
          <w:rFonts w:asciiTheme="minorEastAsia" w:eastAsiaTheme="minorEastAsia" w:hAnsiTheme="minorEastAsia" w:cs="仿宋"/>
          <w:b/>
          <w:color w:val="000000" w:themeColor="text1"/>
          <w:sz w:val="24"/>
          <w:szCs w:val="24"/>
        </w:rPr>
      </w:pPr>
      <w:r>
        <w:rPr>
          <w:rFonts w:asciiTheme="minorEastAsia" w:eastAsiaTheme="minorEastAsia" w:hAnsiTheme="minorEastAsia" w:cs="仿宋" w:hint="eastAsia"/>
          <w:b/>
          <w:color w:val="000000" w:themeColor="text1"/>
          <w:sz w:val="24"/>
          <w:szCs w:val="24"/>
        </w:rPr>
        <w:t>二、比赛的软硬件环境</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1.竞赛赛场设在规范的实训室内，赛场符合防火安全规定，防火疏散标识清晰、齐全，疏散通道畅通；赛场采光、照明和通风良好，提供稳定的水、电、气源，并配有供电应急设备等。</w:t>
      </w:r>
    </w:p>
    <w:p w:rsidR="00C02969" w:rsidRDefault="002D0CF0">
      <w:pPr>
        <w:spacing w:line="480" w:lineRule="exact"/>
        <w:ind w:firstLineChars="200" w:firstLine="400"/>
        <w:contextualSpacing/>
        <w:jc w:val="center"/>
        <w:rPr>
          <w:rFonts w:asciiTheme="minorEastAsia" w:eastAsiaTheme="minorEastAsia" w:hAnsiTheme="minorEastAsia"/>
          <w:sz w:val="24"/>
          <w:szCs w:val="24"/>
        </w:rPr>
      </w:pPr>
      <w:r>
        <w:rPr>
          <w:noProof/>
          <w:sz w:val="20"/>
        </w:rPr>
        <w:drawing>
          <wp:anchor distT="0" distB="0" distL="114300" distR="114300" simplePos="0" relativeHeight="251660288" behindDoc="0" locked="0" layoutInCell="1" allowOverlap="1">
            <wp:simplePos x="0" y="0"/>
            <wp:positionH relativeFrom="column">
              <wp:posOffset>1271270</wp:posOffset>
            </wp:positionH>
            <wp:positionV relativeFrom="paragraph">
              <wp:posOffset>95250</wp:posOffset>
            </wp:positionV>
            <wp:extent cx="3258185" cy="2770505"/>
            <wp:effectExtent l="0" t="0" r="0" b="0"/>
            <wp:wrapSquare wrapText="bothSides"/>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jpe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8185" cy="2770505"/>
                    </a:xfrm>
                    <a:prstGeom prst="rect">
                      <a:avLst/>
                    </a:prstGeom>
                  </pic:spPr>
                </pic:pic>
              </a:graphicData>
            </a:graphic>
          </wp:anchor>
        </w:drawing>
      </w:r>
    </w:p>
    <w:p w:rsidR="00C02969" w:rsidRDefault="00C02969">
      <w:pPr>
        <w:spacing w:line="480" w:lineRule="exact"/>
        <w:ind w:firstLineChars="200" w:firstLine="480"/>
        <w:contextualSpacing/>
        <w:rPr>
          <w:rFonts w:asciiTheme="minorEastAsia" w:eastAsiaTheme="minorEastAsia" w:hAnsiTheme="minorEastAsia"/>
          <w:sz w:val="24"/>
          <w:szCs w:val="24"/>
        </w:rPr>
      </w:pPr>
    </w:p>
    <w:p w:rsidR="00C02969" w:rsidRDefault="00C02969">
      <w:pPr>
        <w:pStyle w:val="a3"/>
        <w:spacing w:before="62" w:line="480" w:lineRule="exact"/>
        <w:ind w:left="803" w:right="820"/>
        <w:jc w:val="center"/>
        <w:rPr>
          <w:spacing w:val="-35"/>
        </w:rPr>
      </w:pPr>
    </w:p>
    <w:p w:rsidR="00C02969" w:rsidRDefault="00C02969">
      <w:pPr>
        <w:pStyle w:val="a3"/>
        <w:spacing w:before="62" w:line="480" w:lineRule="exact"/>
        <w:ind w:left="803" w:right="820"/>
        <w:jc w:val="center"/>
        <w:rPr>
          <w:spacing w:val="-35"/>
        </w:rPr>
      </w:pPr>
    </w:p>
    <w:p w:rsidR="00C02969" w:rsidRDefault="00C02969">
      <w:pPr>
        <w:pStyle w:val="a3"/>
        <w:spacing w:before="62" w:line="480" w:lineRule="exact"/>
        <w:ind w:left="803" w:right="820"/>
        <w:jc w:val="center"/>
        <w:rPr>
          <w:spacing w:val="-35"/>
        </w:rPr>
      </w:pPr>
    </w:p>
    <w:p w:rsidR="00C02969" w:rsidRDefault="00C02969">
      <w:pPr>
        <w:pStyle w:val="a3"/>
        <w:spacing w:before="62" w:line="480" w:lineRule="exact"/>
        <w:ind w:left="803" w:right="820"/>
        <w:jc w:val="center"/>
        <w:rPr>
          <w:spacing w:val="-35"/>
        </w:rPr>
      </w:pPr>
    </w:p>
    <w:p w:rsidR="00C02969" w:rsidRDefault="00C02969">
      <w:pPr>
        <w:pStyle w:val="a3"/>
        <w:spacing w:before="62" w:line="480" w:lineRule="exact"/>
        <w:ind w:left="803" w:right="820"/>
        <w:jc w:val="center"/>
        <w:rPr>
          <w:spacing w:val="-35"/>
        </w:rPr>
      </w:pPr>
    </w:p>
    <w:p w:rsidR="00C02969" w:rsidRDefault="00C02969">
      <w:pPr>
        <w:pStyle w:val="a3"/>
        <w:spacing w:before="62" w:line="480" w:lineRule="exact"/>
        <w:ind w:left="803" w:right="820"/>
        <w:jc w:val="center"/>
        <w:rPr>
          <w:spacing w:val="-35"/>
        </w:rPr>
      </w:pPr>
    </w:p>
    <w:p w:rsidR="00C02969" w:rsidRDefault="00C02969">
      <w:pPr>
        <w:pStyle w:val="a3"/>
        <w:spacing w:before="62" w:line="480" w:lineRule="exact"/>
        <w:ind w:left="803" w:right="820"/>
        <w:jc w:val="center"/>
        <w:rPr>
          <w:spacing w:val="-35"/>
        </w:rPr>
      </w:pPr>
    </w:p>
    <w:p w:rsidR="00C02969" w:rsidRDefault="002D0CF0">
      <w:pPr>
        <w:pStyle w:val="a3"/>
        <w:spacing w:before="62" w:line="480" w:lineRule="exact"/>
        <w:ind w:right="820" w:firstLineChars="900" w:firstLine="1890"/>
      </w:pPr>
      <w:r>
        <w:rPr>
          <w:spacing w:val="-35"/>
        </w:rPr>
        <w:t xml:space="preserve">图 </w:t>
      </w:r>
      <w:r>
        <w:t>1</w:t>
      </w:r>
      <w:r>
        <w:rPr>
          <w:spacing w:val="-3"/>
        </w:rPr>
        <w:t xml:space="preserve"> 新车销售与配件索赔模块场地布置图</w:t>
      </w:r>
    </w:p>
    <w:p w:rsidR="00C02969" w:rsidRDefault="002D0CF0">
      <w:pPr>
        <w:spacing w:line="480" w:lineRule="exact"/>
        <w:ind w:firstLineChars="200" w:firstLine="420"/>
        <w:contextualSpacing/>
        <w:jc w:val="center"/>
        <w:rPr>
          <w:rFonts w:asciiTheme="minorEastAsia" w:eastAsiaTheme="minorEastAsia" w:hAnsiTheme="minorEastAsia"/>
          <w:sz w:val="24"/>
          <w:szCs w:val="24"/>
        </w:rPr>
      </w:pPr>
      <w:r>
        <w:rPr>
          <w:noProof/>
        </w:rPr>
        <w:lastRenderedPageBreak/>
        <w:drawing>
          <wp:anchor distT="0" distB="0" distL="0" distR="0" simplePos="0" relativeHeight="251659264" behindDoc="0" locked="0" layoutInCell="1" allowOverlap="1">
            <wp:simplePos x="0" y="0"/>
            <wp:positionH relativeFrom="page">
              <wp:posOffset>2494280</wp:posOffset>
            </wp:positionH>
            <wp:positionV relativeFrom="paragraph">
              <wp:posOffset>226695</wp:posOffset>
            </wp:positionV>
            <wp:extent cx="2538095" cy="3332480"/>
            <wp:effectExtent l="0" t="0" r="0" b="1270"/>
            <wp:wrapSquare wrapText="bothSides"/>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jpeg"/>
                    <pic:cNvPicPr>
                      <a:picLocks noChangeAspect="1"/>
                    </pic:cNvPicPr>
                  </pic:nvPicPr>
                  <pic:blipFill>
                    <a:blip r:embed="rId11" cstate="print"/>
                    <a:stretch>
                      <a:fillRect/>
                    </a:stretch>
                  </pic:blipFill>
                  <pic:spPr>
                    <a:xfrm>
                      <a:off x="0" y="0"/>
                      <a:ext cx="2538095" cy="3332480"/>
                    </a:xfrm>
                    <a:prstGeom prst="rect">
                      <a:avLst/>
                    </a:prstGeom>
                  </pic:spPr>
                </pic:pic>
              </a:graphicData>
            </a:graphic>
            <wp14:sizeRelH relativeFrom="margin">
              <wp14:pctWidth>0</wp14:pctWidth>
            </wp14:sizeRelH>
            <wp14:sizeRelV relativeFrom="margin">
              <wp14:pctHeight>0</wp14:pctHeight>
            </wp14:sizeRelV>
          </wp:anchor>
        </w:drawing>
      </w:r>
    </w:p>
    <w:p w:rsidR="00C02969" w:rsidRDefault="00C02969">
      <w:pPr>
        <w:pStyle w:val="a3"/>
        <w:spacing w:line="480" w:lineRule="exact"/>
        <w:ind w:left="1940"/>
      </w:pPr>
    </w:p>
    <w:p w:rsidR="00C02969" w:rsidRDefault="00C02969">
      <w:pPr>
        <w:pStyle w:val="a3"/>
        <w:spacing w:line="480" w:lineRule="exact"/>
        <w:ind w:left="1940"/>
      </w:pPr>
    </w:p>
    <w:p w:rsidR="00C02969" w:rsidRDefault="00C02969">
      <w:pPr>
        <w:pStyle w:val="a3"/>
        <w:spacing w:line="480" w:lineRule="exact"/>
        <w:ind w:left="1940"/>
      </w:pPr>
    </w:p>
    <w:p w:rsidR="00C02969" w:rsidRDefault="00C02969">
      <w:pPr>
        <w:pStyle w:val="a3"/>
        <w:spacing w:line="480" w:lineRule="exact"/>
        <w:ind w:left="1940"/>
      </w:pPr>
    </w:p>
    <w:p w:rsidR="00C02969" w:rsidRDefault="00C02969">
      <w:pPr>
        <w:pStyle w:val="a3"/>
        <w:spacing w:line="480" w:lineRule="exact"/>
        <w:ind w:left="1940"/>
      </w:pPr>
    </w:p>
    <w:p w:rsidR="00C02969" w:rsidRDefault="00C02969">
      <w:pPr>
        <w:pStyle w:val="a3"/>
        <w:spacing w:line="480" w:lineRule="exact"/>
        <w:ind w:left="1940"/>
      </w:pPr>
    </w:p>
    <w:p w:rsidR="00C02969" w:rsidRDefault="00C02969">
      <w:pPr>
        <w:pStyle w:val="a3"/>
        <w:spacing w:line="480" w:lineRule="exact"/>
        <w:ind w:left="1940"/>
      </w:pPr>
    </w:p>
    <w:p w:rsidR="00C02969" w:rsidRDefault="00C02969">
      <w:pPr>
        <w:pStyle w:val="a3"/>
        <w:spacing w:line="480" w:lineRule="exact"/>
        <w:ind w:left="1940"/>
      </w:pPr>
    </w:p>
    <w:p w:rsidR="00C02969" w:rsidRDefault="00C02969">
      <w:pPr>
        <w:pStyle w:val="a3"/>
        <w:spacing w:line="480" w:lineRule="exact"/>
        <w:ind w:left="1940"/>
      </w:pPr>
    </w:p>
    <w:p w:rsidR="00C02969" w:rsidRDefault="00C02969">
      <w:pPr>
        <w:pStyle w:val="a3"/>
        <w:spacing w:line="480" w:lineRule="exact"/>
        <w:ind w:left="1940"/>
      </w:pPr>
    </w:p>
    <w:p w:rsidR="00C02969" w:rsidRDefault="00C02969">
      <w:pPr>
        <w:pStyle w:val="a3"/>
        <w:spacing w:line="480" w:lineRule="exact"/>
        <w:ind w:left="1940"/>
      </w:pPr>
    </w:p>
    <w:p w:rsidR="00C02969" w:rsidRDefault="002D0CF0">
      <w:pPr>
        <w:pStyle w:val="a3"/>
        <w:spacing w:line="480" w:lineRule="exact"/>
        <w:ind w:left="1940"/>
      </w:pPr>
      <w:r>
        <w:t xml:space="preserve">图 </w:t>
      </w:r>
      <w:r>
        <w:rPr>
          <w:rFonts w:hint="eastAsia"/>
          <w:lang w:val="en-US"/>
        </w:rPr>
        <w:t>2</w:t>
      </w:r>
      <w:r>
        <w:t xml:space="preserve"> 客户关系管理与网络营销模块场地布置图</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2.竞赛场地划分为检录区、现场服务与技术支持区、休息区等。</w:t>
      </w:r>
    </w:p>
    <w:p w:rsidR="00C02969" w:rsidRDefault="002D0CF0">
      <w:pPr>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3.单个赛位面积200平方米左右，保证竞赛氛围，确保选手独立竞赛，不受外界影响。</w:t>
      </w:r>
    </w:p>
    <w:p w:rsidR="00C02969" w:rsidRDefault="002D0CF0">
      <w:pPr>
        <w:snapToGrid w:val="0"/>
        <w:spacing w:beforeLines="50" w:before="159" w:afterLines="50" w:after="159" w:line="520" w:lineRule="exact"/>
        <w:ind w:firstLineChars="200" w:firstLine="482"/>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三、重要说明</w:t>
      </w:r>
    </w:p>
    <w:p w:rsidR="00C02969" w:rsidRDefault="002D0CF0">
      <w:pPr>
        <w:tabs>
          <w:tab w:val="left" w:pos="7310"/>
        </w:tabs>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1.参赛选手必须持本人身份证、学生证和参赛证进入指定考场参加竞赛，各队领队和指导教师均不得进入赛场。</w:t>
      </w:r>
    </w:p>
    <w:p w:rsidR="00C02969" w:rsidRDefault="002D0CF0">
      <w:pPr>
        <w:tabs>
          <w:tab w:val="left" w:pos="7310"/>
        </w:tabs>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2.参赛选手应准时到达指定地点抽签检录，按要求入场，不得迟到早退；在竞赛结束之后，参赛选手方可离开赛场。如有特殊情况，需报告现场工作人员并请示裁判长同意。</w:t>
      </w:r>
    </w:p>
    <w:p w:rsidR="00C02969" w:rsidRDefault="002D0CF0">
      <w:pPr>
        <w:tabs>
          <w:tab w:val="left" w:pos="7310"/>
        </w:tabs>
        <w:spacing w:line="520" w:lineRule="exact"/>
        <w:ind w:firstLineChars="200" w:firstLine="48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3.禁止携带和使用移动存储设备、通信工具及参考资料进入考场。</w:t>
      </w:r>
    </w:p>
    <w:p w:rsidR="00C02969" w:rsidRDefault="00995EBD">
      <w:pPr>
        <w:tabs>
          <w:tab w:val="left" w:pos="7310"/>
        </w:tabs>
        <w:spacing w:line="520" w:lineRule="exact"/>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4</w:t>
      </w:r>
      <w:r w:rsidR="002D0CF0">
        <w:rPr>
          <w:rFonts w:asciiTheme="minorEastAsia" w:eastAsiaTheme="minorEastAsia" w:hAnsiTheme="minorEastAsia" w:hint="eastAsia"/>
          <w:color w:val="000000"/>
          <w:sz w:val="24"/>
          <w:szCs w:val="24"/>
        </w:rPr>
        <w:t>.不允许损坏赛场准备的比赛所需要的竞赛设备。</w:t>
      </w:r>
    </w:p>
    <w:p w:rsidR="00C02969" w:rsidRDefault="002D0CF0">
      <w:pPr>
        <w:adjustRightInd w:val="0"/>
        <w:snapToGrid w:val="0"/>
        <w:spacing w:line="520" w:lineRule="exact"/>
        <w:ind w:firstLineChars="200" w:firstLine="482"/>
        <w:jc w:val="lef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四、参考资料</w:t>
      </w:r>
    </w:p>
    <w:p w:rsidR="00C02969" w:rsidRDefault="002D0CF0">
      <w:pPr>
        <w:tabs>
          <w:tab w:val="left" w:pos="7310"/>
        </w:tabs>
        <w:spacing w:line="520" w:lineRule="exact"/>
        <w:ind w:firstLineChars="200" w:firstLine="480"/>
        <w:contextualSpacing/>
        <w:rPr>
          <w:sz w:val="8"/>
        </w:rPr>
      </w:pPr>
      <w:r>
        <w:rPr>
          <w:rFonts w:asciiTheme="minorEastAsia" w:eastAsiaTheme="minorEastAsia" w:hAnsiTheme="minorEastAsia" w:hint="eastAsia"/>
          <w:sz w:val="24"/>
          <w:szCs w:val="24"/>
        </w:rPr>
        <w:t>竞赛赛题范围与难度设定参照教育部对中职汽车整车与配件销售专业教学的基本要求，以及</w:t>
      </w:r>
      <w:r>
        <w:rPr>
          <w:rFonts w:ascii="宋体" w:eastAsiaTheme="minorEastAsia" w:hAnsi="宋体" w:cs="宋体" w:hint="eastAsia"/>
          <w:color w:val="000000"/>
          <w:sz w:val="24"/>
          <w:szCs w:val="24"/>
        </w:rPr>
        <w:t>中职国赛的要求</w:t>
      </w:r>
      <w:r>
        <w:rPr>
          <w:rFonts w:asciiTheme="minorEastAsia" w:eastAsiaTheme="minorEastAsia" w:hAnsiTheme="minorEastAsia" w:hint="eastAsia"/>
          <w:sz w:val="24"/>
          <w:szCs w:val="24"/>
        </w:rPr>
        <w:t>。</w:t>
      </w:r>
      <w:r>
        <w:rPr>
          <w:rFonts w:asciiTheme="minorEastAsia" w:eastAsiaTheme="minorEastAsia" w:hAnsiTheme="minorEastAsia" w:cs="仿宋" w:hint="eastAsia"/>
          <w:b/>
          <w:color w:val="000000" w:themeColor="text1"/>
          <w:sz w:val="24"/>
          <w:szCs w:val="24"/>
        </w:rPr>
        <w:t xml:space="preserve"> </w:t>
      </w:r>
    </w:p>
    <w:sectPr w:rsidR="00C02969">
      <w:pgSz w:w="11906" w:h="16838"/>
      <w:pgMar w:top="1440" w:right="1644" w:bottom="1440" w:left="1644"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2F" w:rsidRDefault="006E532F" w:rsidP="00BF0E04">
      <w:r>
        <w:separator/>
      </w:r>
    </w:p>
  </w:endnote>
  <w:endnote w:type="continuationSeparator" w:id="0">
    <w:p w:rsidR="006E532F" w:rsidRDefault="006E532F" w:rsidP="00BF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2F" w:rsidRDefault="006E532F" w:rsidP="00BF0E04">
      <w:r>
        <w:separator/>
      </w:r>
    </w:p>
  </w:footnote>
  <w:footnote w:type="continuationSeparator" w:id="0">
    <w:p w:rsidR="006E532F" w:rsidRDefault="006E532F" w:rsidP="00BF0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D921"/>
    <w:multiLevelType w:val="singleLevel"/>
    <w:tmpl w:val="49D2D921"/>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76"/>
    <w:rsid w:val="0000687E"/>
    <w:rsid w:val="00011BB0"/>
    <w:rsid w:val="00016982"/>
    <w:rsid w:val="00032414"/>
    <w:rsid w:val="000336F6"/>
    <w:rsid w:val="000412A0"/>
    <w:rsid w:val="00074BFD"/>
    <w:rsid w:val="00080AAD"/>
    <w:rsid w:val="000B35DF"/>
    <w:rsid w:val="000C0138"/>
    <w:rsid w:val="000C768F"/>
    <w:rsid w:val="000D7113"/>
    <w:rsid w:val="000E439C"/>
    <w:rsid w:val="000F20A3"/>
    <w:rsid w:val="000F49EE"/>
    <w:rsid w:val="000F7452"/>
    <w:rsid w:val="00106D3D"/>
    <w:rsid w:val="0013453E"/>
    <w:rsid w:val="001345E3"/>
    <w:rsid w:val="00152CCB"/>
    <w:rsid w:val="00172A27"/>
    <w:rsid w:val="00173346"/>
    <w:rsid w:val="00174DD3"/>
    <w:rsid w:val="00181181"/>
    <w:rsid w:val="001A10DB"/>
    <w:rsid w:val="001A58ED"/>
    <w:rsid w:val="001B10B6"/>
    <w:rsid w:val="001C6476"/>
    <w:rsid w:val="001E3987"/>
    <w:rsid w:val="00216BBA"/>
    <w:rsid w:val="00267381"/>
    <w:rsid w:val="002A1780"/>
    <w:rsid w:val="002B3C21"/>
    <w:rsid w:val="002B680C"/>
    <w:rsid w:val="002D0CF0"/>
    <w:rsid w:val="002F57E3"/>
    <w:rsid w:val="002F5FAE"/>
    <w:rsid w:val="00301E4D"/>
    <w:rsid w:val="003050AD"/>
    <w:rsid w:val="003065E9"/>
    <w:rsid w:val="0031087C"/>
    <w:rsid w:val="00311332"/>
    <w:rsid w:val="00333DE5"/>
    <w:rsid w:val="00337C41"/>
    <w:rsid w:val="003433D7"/>
    <w:rsid w:val="00343D8A"/>
    <w:rsid w:val="00362853"/>
    <w:rsid w:val="00373823"/>
    <w:rsid w:val="003763A7"/>
    <w:rsid w:val="00381A53"/>
    <w:rsid w:val="003835C2"/>
    <w:rsid w:val="00386117"/>
    <w:rsid w:val="003A5748"/>
    <w:rsid w:val="003B24D0"/>
    <w:rsid w:val="003B5B1B"/>
    <w:rsid w:val="003D47FF"/>
    <w:rsid w:val="003D5B7A"/>
    <w:rsid w:val="003E2AB7"/>
    <w:rsid w:val="003E48F6"/>
    <w:rsid w:val="003E6DDC"/>
    <w:rsid w:val="003E765C"/>
    <w:rsid w:val="00402B81"/>
    <w:rsid w:val="00402D63"/>
    <w:rsid w:val="0041767B"/>
    <w:rsid w:val="00431A29"/>
    <w:rsid w:val="00443800"/>
    <w:rsid w:val="00470F2E"/>
    <w:rsid w:val="00477587"/>
    <w:rsid w:val="00481FEC"/>
    <w:rsid w:val="0048284E"/>
    <w:rsid w:val="004B75F8"/>
    <w:rsid w:val="004C0750"/>
    <w:rsid w:val="004C2F3B"/>
    <w:rsid w:val="004D0F67"/>
    <w:rsid w:val="004D1A6D"/>
    <w:rsid w:val="004E560B"/>
    <w:rsid w:val="004F4CFA"/>
    <w:rsid w:val="00512527"/>
    <w:rsid w:val="005157A5"/>
    <w:rsid w:val="005367B3"/>
    <w:rsid w:val="00546E49"/>
    <w:rsid w:val="00572B68"/>
    <w:rsid w:val="00576109"/>
    <w:rsid w:val="00576488"/>
    <w:rsid w:val="00597443"/>
    <w:rsid w:val="005A2396"/>
    <w:rsid w:val="005C56E2"/>
    <w:rsid w:val="005C6C69"/>
    <w:rsid w:val="005D2A3A"/>
    <w:rsid w:val="005D37D3"/>
    <w:rsid w:val="005F0D82"/>
    <w:rsid w:val="005F2AA1"/>
    <w:rsid w:val="00600875"/>
    <w:rsid w:val="00601498"/>
    <w:rsid w:val="00620D89"/>
    <w:rsid w:val="00641DCC"/>
    <w:rsid w:val="0066316A"/>
    <w:rsid w:val="00672BB0"/>
    <w:rsid w:val="00693428"/>
    <w:rsid w:val="00695751"/>
    <w:rsid w:val="006B19AA"/>
    <w:rsid w:val="006B373E"/>
    <w:rsid w:val="006B4A1E"/>
    <w:rsid w:val="006B5D2D"/>
    <w:rsid w:val="006D6D7A"/>
    <w:rsid w:val="006E43DF"/>
    <w:rsid w:val="006E532F"/>
    <w:rsid w:val="007039B8"/>
    <w:rsid w:val="00703F60"/>
    <w:rsid w:val="00711BDB"/>
    <w:rsid w:val="00714B76"/>
    <w:rsid w:val="00737F7A"/>
    <w:rsid w:val="00741BC9"/>
    <w:rsid w:val="0075175B"/>
    <w:rsid w:val="0079410F"/>
    <w:rsid w:val="007C7838"/>
    <w:rsid w:val="007D082B"/>
    <w:rsid w:val="007D2A64"/>
    <w:rsid w:val="007D7B9A"/>
    <w:rsid w:val="007E0ED0"/>
    <w:rsid w:val="007E1300"/>
    <w:rsid w:val="007E364E"/>
    <w:rsid w:val="007F4739"/>
    <w:rsid w:val="0081431E"/>
    <w:rsid w:val="00836321"/>
    <w:rsid w:val="00846DA8"/>
    <w:rsid w:val="00851677"/>
    <w:rsid w:val="0085358B"/>
    <w:rsid w:val="00860864"/>
    <w:rsid w:val="008628A0"/>
    <w:rsid w:val="00862A0C"/>
    <w:rsid w:val="00863C5D"/>
    <w:rsid w:val="00864466"/>
    <w:rsid w:val="008714B2"/>
    <w:rsid w:val="008768BC"/>
    <w:rsid w:val="0089604F"/>
    <w:rsid w:val="008B02BD"/>
    <w:rsid w:val="008B3732"/>
    <w:rsid w:val="008C702B"/>
    <w:rsid w:val="008E0C56"/>
    <w:rsid w:val="008F4D49"/>
    <w:rsid w:val="0092401A"/>
    <w:rsid w:val="0093298F"/>
    <w:rsid w:val="009334A9"/>
    <w:rsid w:val="00974DE5"/>
    <w:rsid w:val="009763E1"/>
    <w:rsid w:val="00995EBD"/>
    <w:rsid w:val="009A1E9B"/>
    <w:rsid w:val="009C0C83"/>
    <w:rsid w:val="009C4AAA"/>
    <w:rsid w:val="009D07C4"/>
    <w:rsid w:val="009D7447"/>
    <w:rsid w:val="009E2232"/>
    <w:rsid w:val="009E4806"/>
    <w:rsid w:val="009E4D3B"/>
    <w:rsid w:val="009F3B15"/>
    <w:rsid w:val="009F3F15"/>
    <w:rsid w:val="00A005E9"/>
    <w:rsid w:val="00A04380"/>
    <w:rsid w:val="00A10F6A"/>
    <w:rsid w:val="00A15D3C"/>
    <w:rsid w:val="00A258D1"/>
    <w:rsid w:val="00A2762B"/>
    <w:rsid w:val="00A32F66"/>
    <w:rsid w:val="00A47A39"/>
    <w:rsid w:val="00A47B29"/>
    <w:rsid w:val="00A62A7D"/>
    <w:rsid w:val="00A76130"/>
    <w:rsid w:val="00A80012"/>
    <w:rsid w:val="00A911A4"/>
    <w:rsid w:val="00A92B9D"/>
    <w:rsid w:val="00AC4673"/>
    <w:rsid w:val="00AC7CF0"/>
    <w:rsid w:val="00AD14F9"/>
    <w:rsid w:val="00AF6679"/>
    <w:rsid w:val="00B0669B"/>
    <w:rsid w:val="00B07E67"/>
    <w:rsid w:val="00B316F4"/>
    <w:rsid w:val="00B3412D"/>
    <w:rsid w:val="00B34BB0"/>
    <w:rsid w:val="00B553F7"/>
    <w:rsid w:val="00B613C2"/>
    <w:rsid w:val="00B85E48"/>
    <w:rsid w:val="00BA0532"/>
    <w:rsid w:val="00BA22CC"/>
    <w:rsid w:val="00BB6052"/>
    <w:rsid w:val="00BC0172"/>
    <w:rsid w:val="00BE3CCB"/>
    <w:rsid w:val="00BE6782"/>
    <w:rsid w:val="00BF0E04"/>
    <w:rsid w:val="00BF6EA6"/>
    <w:rsid w:val="00C02969"/>
    <w:rsid w:val="00C03E63"/>
    <w:rsid w:val="00C0459D"/>
    <w:rsid w:val="00C122D0"/>
    <w:rsid w:val="00C14882"/>
    <w:rsid w:val="00C33B98"/>
    <w:rsid w:val="00C363A1"/>
    <w:rsid w:val="00C41C6B"/>
    <w:rsid w:val="00C41EE1"/>
    <w:rsid w:val="00C54BC0"/>
    <w:rsid w:val="00C73F19"/>
    <w:rsid w:val="00C76C25"/>
    <w:rsid w:val="00C76F12"/>
    <w:rsid w:val="00C82F64"/>
    <w:rsid w:val="00CA7552"/>
    <w:rsid w:val="00CB3E53"/>
    <w:rsid w:val="00CE450C"/>
    <w:rsid w:val="00D03346"/>
    <w:rsid w:val="00D31DE3"/>
    <w:rsid w:val="00D47872"/>
    <w:rsid w:val="00D66BFF"/>
    <w:rsid w:val="00D701DE"/>
    <w:rsid w:val="00D83B4B"/>
    <w:rsid w:val="00D85EED"/>
    <w:rsid w:val="00DC5F79"/>
    <w:rsid w:val="00DC5FF0"/>
    <w:rsid w:val="00DC6C66"/>
    <w:rsid w:val="00DD43F6"/>
    <w:rsid w:val="00E007A3"/>
    <w:rsid w:val="00E048DA"/>
    <w:rsid w:val="00E24325"/>
    <w:rsid w:val="00E27C66"/>
    <w:rsid w:val="00E31469"/>
    <w:rsid w:val="00E3704E"/>
    <w:rsid w:val="00E372E6"/>
    <w:rsid w:val="00E51ABA"/>
    <w:rsid w:val="00E63FAA"/>
    <w:rsid w:val="00E72114"/>
    <w:rsid w:val="00E80E9C"/>
    <w:rsid w:val="00EB1EC1"/>
    <w:rsid w:val="00EB6F8A"/>
    <w:rsid w:val="00EB724C"/>
    <w:rsid w:val="00EB734D"/>
    <w:rsid w:val="00EC39DD"/>
    <w:rsid w:val="00EC6D72"/>
    <w:rsid w:val="00ED30E6"/>
    <w:rsid w:val="00F062EE"/>
    <w:rsid w:val="00F12324"/>
    <w:rsid w:val="00F12B39"/>
    <w:rsid w:val="00F12CD0"/>
    <w:rsid w:val="00F16414"/>
    <w:rsid w:val="00F3184A"/>
    <w:rsid w:val="00F35A91"/>
    <w:rsid w:val="00F40EE0"/>
    <w:rsid w:val="00F55866"/>
    <w:rsid w:val="00F636CC"/>
    <w:rsid w:val="00F679B2"/>
    <w:rsid w:val="00F81DAD"/>
    <w:rsid w:val="00F90E57"/>
    <w:rsid w:val="00F92279"/>
    <w:rsid w:val="00FC29CF"/>
    <w:rsid w:val="00FD20CE"/>
    <w:rsid w:val="00FE1888"/>
    <w:rsid w:val="07053C95"/>
    <w:rsid w:val="10D2374C"/>
    <w:rsid w:val="1B141384"/>
    <w:rsid w:val="1D195D53"/>
    <w:rsid w:val="243C6DAC"/>
    <w:rsid w:val="31F04451"/>
    <w:rsid w:val="40305291"/>
    <w:rsid w:val="4A4E2180"/>
    <w:rsid w:val="4C2C7AC0"/>
    <w:rsid w:val="4EDE5F61"/>
    <w:rsid w:val="64D209C4"/>
    <w:rsid w:val="67F24566"/>
    <w:rsid w:val="789C72EA"/>
    <w:rsid w:val="7A9C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8"/>
      <w:szCs w:val="28"/>
      <w:lang w:val="zh-CN" w:bidi="zh-CN"/>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Pr>
      <w:b/>
      <w:b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zw1">
    <w:name w:val="3zw1"/>
    <w:uiPriority w:val="99"/>
    <w:qFormat/>
    <w:rPr>
      <w:rFonts w:cs="Times New Roman"/>
      <w:color w:val="000000"/>
      <w:sz w:val="21"/>
      <w:szCs w:val="21"/>
    </w:rPr>
  </w:style>
  <w:style w:type="paragraph" w:styleId="a9">
    <w:name w:val="No Spacing"/>
    <w:uiPriority w:val="1"/>
    <w:qFormat/>
    <w:pPr>
      <w:widowControl w:val="0"/>
      <w:jc w:val="both"/>
    </w:pPr>
    <w:rPr>
      <w:rFonts w:ascii="Calibri" w:hAnsi="Calibri"/>
      <w:kern w:val="2"/>
      <w:sz w:val="21"/>
      <w:szCs w:val="22"/>
    </w:rPr>
  </w:style>
  <w:style w:type="paragraph" w:customStyle="1" w:styleId="ListParagraph1">
    <w:name w:val="List Paragraph1"/>
    <w:basedOn w:val="a"/>
    <w:uiPriority w:val="99"/>
    <w:qFormat/>
    <w:pPr>
      <w:topLinePunct/>
      <w:ind w:firstLineChars="200" w:firstLine="420"/>
    </w:pPr>
    <w:rPr>
      <w:rFonts w:ascii="宋体" w:hAnsi="宋体"/>
      <w:szCs w:val="20"/>
    </w:rPr>
  </w:style>
  <w:style w:type="paragraph" w:customStyle="1" w:styleId="-11">
    <w:name w:val="彩色列表 - 着色 11"/>
    <w:basedOn w:val="a"/>
    <w:uiPriority w:val="99"/>
    <w:qFormat/>
    <w:pPr>
      <w:ind w:firstLineChars="200" w:firstLine="420"/>
    </w:pPr>
    <w:rPr>
      <w:rFonts w:ascii="Times New Roman" w:hAnsi="Times New Roman"/>
      <w:szCs w:val="24"/>
    </w:r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character" w:customStyle="1" w:styleId="50">
    <w:name w:val="标题 5 字符"/>
    <w:qFormat/>
    <w:rPr>
      <w:rFonts w:ascii="Times New Roman" w:hAnsi="Times New Roman"/>
      <w:b/>
      <w:bCs/>
      <w:kern w:val="2"/>
      <w:sz w:val="28"/>
      <w:szCs w:val="28"/>
    </w:rPr>
  </w:style>
  <w:style w:type="paragraph" w:customStyle="1" w:styleId="1">
    <w:name w:val="列出段落1"/>
    <w:basedOn w:val="a"/>
    <w:qFormat/>
    <w:pPr>
      <w:ind w:firstLineChars="200" w:firstLine="420"/>
    </w:pPr>
    <w:rPr>
      <w:rFonts w:ascii="Times New Roman" w:hAnsi="Times New Roman"/>
      <w:szCs w:val="20"/>
    </w:rPr>
  </w:style>
  <w:style w:type="paragraph" w:styleId="aa">
    <w:name w:val="List Paragraph"/>
    <w:basedOn w:val="a"/>
    <w:uiPriority w:val="34"/>
    <w:qFormat/>
    <w:pPr>
      <w:ind w:firstLineChars="200" w:firstLine="420"/>
    </w:pPr>
  </w:style>
  <w:style w:type="paragraph" w:customStyle="1" w:styleId="TableParagraph">
    <w:name w:val="Table Paragraph"/>
    <w:basedOn w:val="a"/>
    <w:uiPriority w:val="1"/>
    <w:qFormat/>
    <w:pPr>
      <w:jc w:val="center"/>
    </w:pPr>
    <w:rPr>
      <w:rFonts w:ascii="宋体" w:hAnsi="宋体" w:cs="宋体"/>
      <w:lang w:val="zh-CN" w:bidi="zh-CN"/>
    </w:rPr>
  </w:style>
  <w:style w:type="character" w:customStyle="1" w:styleId="Char">
    <w:name w:val="批注框文本 Char"/>
    <w:basedOn w:val="a0"/>
    <w:link w:val="a4"/>
    <w:uiPriority w:val="99"/>
    <w:semiHidden/>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8"/>
      <w:szCs w:val="28"/>
      <w:lang w:val="zh-CN" w:bidi="zh-CN"/>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Pr>
      <w:b/>
      <w:b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zw1">
    <w:name w:val="3zw1"/>
    <w:uiPriority w:val="99"/>
    <w:qFormat/>
    <w:rPr>
      <w:rFonts w:cs="Times New Roman"/>
      <w:color w:val="000000"/>
      <w:sz w:val="21"/>
      <w:szCs w:val="21"/>
    </w:rPr>
  </w:style>
  <w:style w:type="paragraph" w:styleId="a9">
    <w:name w:val="No Spacing"/>
    <w:uiPriority w:val="1"/>
    <w:qFormat/>
    <w:pPr>
      <w:widowControl w:val="0"/>
      <w:jc w:val="both"/>
    </w:pPr>
    <w:rPr>
      <w:rFonts w:ascii="Calibri" w:hAnsi="Calibri"/>
      <w:kern w:val="2"/>
      <w:sz w:val="21"/>
      <w:szCs w:val="22"/>
    </w:rPr>
  </w:style>
  <w:style w:type="paragraph" w:customStyle="1" w:styleId="ListParagraph1">
    <w:name w:val="List Paragraph1"/>
    <w:basedOn w:val="a"/>
    <w:uiPriority w:val="99"/>
    <w:qFormat/>
    <w:pPr>
      <w:topLinePunct/>
      <w:ind w:firstLineChars="200" w:firstLine="420"/>
    </w:pPr>
    <w:rPr>
      <w:rFonts w:ascii="宋体" w:hAnsi="宋体"/>
      <w:szCs w:val="20"/>
    </w:rPr>
  </w:style>
  <w:style w:type="paragraph" w:customStyle="1" w:styleId="-11">
    <w:name w:val="彩色列表 - 着色 11"/>
    <w:basedOn w:val="a"/>
    <w:uiPriority w:val="99"/>
    <w:qFormat/>
    <w:pPr>
      <w:ind w:firstLineChars="200" w:firstLine="420"/>
    </w:pPr>
    <w:rPr>
      <w:rFonts w:ascii="Times New Roman" w:hAnsi="Times New Roman"/>
      <w:szCs w:val="24"/>
    </w:r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character" w:customStyle="1" w:styleId="50">
    <w:name w:val="标题 5 字符"/>
    <w:qFormat/>
    <w:rPr>
      <w:rFonts w:ascii="Times New Roman" w:hAnsi="Times New Roman"/>
      <w:b/>
      <w:bCs/>
      <w:kern w:val="2"/>
      <w:sz w:val="28"/>
      <w:szCs w:val="28"/>
    </w:rPr>
  </w:style>
  <w:style w:type="paragraph" w:customStyle="1" w:styleId="1">
    <w:name w:val="列出段落1"/>
    <w:basedOn w:val="a"/>
    <w:qFormat/>
    <w:pPr>
      <w:ind w:firstLineChars="200" w:firstLine="420"/>
    </w:pPr>
    <w:rPr>
      <w:rFonts w:ascii="Times New Roman" w:hAnsi="Times New Roman"/>
      <w:szCs w:val="20"/>
    </w:rPr>
  </w:style>
  <w:style w:type="paragraph" w:styleId="aa">
    <w:name w:val="List Paragraph"/>
    <w:basedOn w:val="a"/>
    <w:uiPriority w:val="34"/>
    <w:qFormat/>
    <w:pPr>
      <w:ind w:firstLineChars="200" w:firstLine="420"/>
    </w:pPr>
  </w:style>
  <w:style w:type="paragraph" w:customStyle="1" w:styleId="TableParagraph">
    <w:name w:val="Table Paragraph"/>
    <w:basedOn w:val="a"/>
    <w:uiPriority w:val="1"/>
    <w:qFormat/>
    <w:pPr>
      <w:jc w:val="center"/>
    </w:pPr>
    <w:rPr>
      <w:rFonts w:ascii="宋体" w:hAnsi="宋体" w:cs="宋体"/>
      <w:lang w:val="zh-CN" w:bidi="zh-CN"/>
    </w:rPr>
  </w:style>
  <w:style w:type="character" w:customStyle="1" w:styleId="Char">
    <w:name w:val="批注框文本 Char"/>
    <w:basedOn w:val="a0"/>
    <w:link w:val="a4"/>
    <w:uiPriority w:val="99"/>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6128A-447F-4500-919B-DBD8121F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290</Words>
  <Characters>1659</Characters>
  <Application>Microsoft Office Word</Application>
  <DocSecurity>0</DocSecurity>
  <Lines>13</Lines>
  <Paragraphs>3</Paragraphs>
  <ScaleCrop>false</ScaleCrop>
  <Company>china</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123</cp:lastModifiedBy>
  <cp:revision>28</cp:revision>
  <dcterms:created xsi:type="dcterms:W3CDTF">2017-04-06T06:58:00Z</dcterms:created>
  <dcterms:modified xsi:type="dcterms:W3CDTF">2021-10-15T06:50:00Z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8AF84F349C5A4C10BFB58C9854C50934</vt:lpwstr>
  </property>
</Properties>
</file>