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lang w:val="en-US" w:eastAsia="zh-CN"/>
        </w:rPr>
        <w:t>河北省</w:t>
      </w:r>
      <w:r>
        <w:rPr>
          <w:rFonts w:hint="eastAsia" w:ascii="黑体" w:hAnsi="黑体" w:eastAsia="黑体" w:cs="黑体"/>
          <w:b w:val="0"/>
          <w:bCs w:val="0"/>
          <w:sz w:val="36"/>
          <w:szCs w:val="36"/>
        </w:rPr>
        <w:t>2022</w:t>
      </w:r>
      <w:r>
        <w:rPr>
          <w:rFonts w:hint="eastAsia" w:ascii="黑体" w:hAnsi="黑体" w:eastAsia="黑体" w:cs="黑体"/>
          <w:b w:val="0"/>
          <w:bCs w:val="0"/>
          <w:sz w:val="36"/>
          <w:szCs w:val="36"/>
        </w:rPr>
        <w:t>年度</w:t>
      </w:r>
      <w:r>
        <w:rPr>
          <w:rFonts w:hint="eastAsia" w:ascii="黑体" w:hAnsi="黑体" w:eastAsia="黑体" w:cs="黑体"/>
          <w:b w:val="0"/>
          <w:bCs w:val="0"/>
          <w:sz w:val="36"/>
          <w:szCs w:val="36"/>
          <w:lang w:val="en-US" w:eastAsia="zh-CN"/>
        </w:rPr>
        <w:t>职业院校</w:t>
      </w: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智能机器人与数字驱动技术应用</w:t>
      </w:r>
      <w:r>
        <w:rPr>
          <w:rFonts w:hint="eastAsia" w:ascii="黑体" w:hAnsi="黑体" w:eastAsia="黑体" w:cs="黑体"/>
          <w:b w:val="0"/>
          <w:bCs w:val="0"/>
          <w:sz w:val="36"/>
          <w:szCs w:val="36"/>
          <w:lang w:val="en-US" w:eastAsia="zh-CN"/>
        </w:rPr>
        <w:t>赛项</w:t>
      </w:r>
      <w:r>
        <w:rPr>
          <w:rFonts w:hint="eastAsia" w:ascii="黑体" w:hAnsi="黑体" w:eastAsia="黑体" w:cs="黑体"/>
          <w:b w:val="0"/>
          <w:bCs w:val="0"/>
          <w:sz w:val="36"/>
          <w:szCs w:val="36"/>
        </w:rPr>
        <w:t>（高职组）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技能大赛</w:t>
      </w:r>
      <w:r>
        <w:rPr>
          <w:rFonts w:hint="eastAsia" w:ascii="黑体" w:hAnsi="黑体" w:eastAsia="黑体" w:cs="黑体"/>
          <w:b w:val="0"/>
          <w:bCs w:val="0"/>
          <w:sz w:val="36"/>
          <w:szCs w:val="36"/>
        </w:rPr>
        <w:t>竞赛任务书（样题）</w:t>
      </w:r>
    </w:p>
    <w:p>
      <w:pPr>
        <w:spacing w:line="360" w:lineRule="auto"/>
        <w:jc w:val="center"/>
        <w:rPr>
          <w:rFonts w:ascii="仿宋" w:hAnsi="仿宋" w:eastAsia="仿宋"/>
          <w:b/>
          <w:sz w:val="32"/>
          <w:szCs w:val="32"/>
        </w:rPr>
      </w:pPr>
    </w:p>
    <w:p>
      <w:pPr>
        <w:spacing w:line="360" w:lineRule="auto"/>
        <w:jc w:val="center"/>
        <w:rPr>
          <w:rFonts w:ascii="仿宋" w:hAnsi="仿宋" w:eastAsia="仿宋"/>
          <w:b/>
          <w:sz w:val="36"/>
          <w:szCs w:val="36"/>
        </w:rPr>
      </w:pPr>
    </w:p>
    <w:p>
      <w:pPr>
        <w:spacing w:line="360" w:lineRule="auto"/>
        <w:jc w:val="center"/>
        <w:rPr>
          <w:rFonts w:ascii="仿宋" w:hAnsi="仿宋" w:eastAsia="仿宋"/>
          <w:b/>
          <w:sz w:val="36"/>
          <w:szCs w:val="36"/>
        </w:rPr>
      </w:pPr>
    </w:p>
    <w:p>
      <w:pPr>
        <w:spacing w:line="360" w:lineRule="auto"/>
        <w:jc w:val="center"/>
        <w:rPr>
          <w:rFonts w:ascii="仿宋" w:hAnsi="仿宋" w:eastAsia="仿宋"/>
          <w:b/>
          <w:sz w:val="36"/>
          <w:szCs w:val="36"/>
        </w:rPr>
      </w:pPr>
    </w:p>
    <w:p>
      <w:pPr>
        <w:tabs>
          <w:tab w:val="left" w:pos="4019"/>
        </w:tabs>
        <w:spacing w:line="360" w:lineRule="auto"/>
        <w:jc w:val="left"/>
        <w:rPr>
          <w:rFonts w:ascii="仿宋" w:hAnsi="仿宋" w:eastAsia="仿宋"/>
          <w:b/>
          <w:sz w:val="36"/>
          <w:szCs w:val="36"/>
        </w:rPr>
      </w:pPr>
      <w:r>
        <w:rPr>
          <w:rFonts w:ascii="仿宋" w:hAnsi="仿宋" w:eastAsia="仿宋"/>
          <w:b/>
          <w:sz w:val="36"/>
          <w:szCs w:val="36"/>
        </w:rPr>
        <w:tab/>
      </w:r>
    </w:p>
    <w:p>
      <w:pPr>
        <w:spacing w:line="360" w:lineRule="auto"/>
        <w:jc w:val="center"/>
        <w:rPr>
          <w:rFonts w:ascii="仿宋" w:hAnsi="仿宋" w:eastAsia="仿宋"/>
          <w:b/>
          <w:sz w:val="36"/>
          <w:szCs w:val="36"/>
        </w:rPr>
      </w:pPr>
    </w:p>
    <w:p>
      <w:pPr>
        <w:spacing w:line="360" w:lineRule="auto"/>
        <w:jc w:val="center"/>
        <w:rPr>
          <w:rFonts w:ascii="仿宋" w:hAnsi="仿宋" w:eastAsia="仿宋"/>
          <w:b/>
          <w:sz w:val="36"/>
          <w:szCs w:val="36"/>
        </w:rPr>
      </w:pPr>
    </w:p>
    <w:p>
      <w:pPr>
        <w:spacing w:line="360" w:lineRule="auto"/>
        <w:jc w:val="center"/>
        <w:rPr>
          <w:rFonts w:ascii="仿宋" w:hAnsi="仿宋" w:eastAsia="仿宋"/>
          <w:b/>
          <w:sz w:val="36"/>
          <w:szCs w:val="36"/>
        </w:rPr>
      </w:pPr>
    </w:p>
    <w:p>
      <w:pPr>
        <w:spacing w:line="360" w:lineRule="auto"/>
        <w:jc w:val="center"/>
        <w:rPr>
          <w:rFonts w:ascii="仿宋" w:hAnsi="仿宋" w:eastAsia="仿宋"/>
          <w:b/>
          <w:sz w:val="36"/>
          <w:szCs w:val="36"/>
        </w:rPr>
      </w:pPr>
    </w:p>
    <w:p>
      <w:pPr>
        <w:widowControl/>
        <w:spacing w:line="360" w:lineRule="auto"/>
        <w:jc w:val="both"/>
        <w:rPr>
          <w:rFonts w:ascii="黑体" w:hAnsi="黑体" w:eastAsia="黑体"/>
          <w:b/>
          <w:kern w:val="0"/>
          <w:sz w:val="32"/>
          <w:szCs w:val="32"/>
        </w:rPr>
      </w:pPr>
    </w:p>
    <w:p>
      <w:pPr>
        <w:widowControl/>
        <w:spacing w:line="360" w:lineRule="auto"/>
        <w:jc w:val="center"/>
        <w:rPr>
          <w:rFonts w:ascii="黑体" w:hAnsi="黑体" w:eastAsia="黑体"/>
          <w:b/>
          <w:kern w:val="0"/>
          <w:sz w:val="32"/>
          <w:szCs w:val="32"/>
        </w:rPr>
      </w:pPr>
    </w:p>
    <w:p>
      <w:pPr>
        <w:widowControl/>
        <w:spacing w:line="360" w:lineRule="auto"/>
        <w:jc w:val="center"/>
        <w:rPr>
          <w:rFonts w:ascii="黑体" w:hAnsi="黑体" w:eastAsia="黑体"/>
          <w:b w:val="0"/>
          <w:bCs/>
          <w:sz w:val="32"/>
          <w:szCs w:val="32"/>
        </w:rPr>
      </w:pPr>
      <w:r>
        <w:rPr>
          <w:rFonts w:hint="eastAsia" w:ascii="黑体" w:hAnsi="黑体" w:eastAsia="黑体"/>
          <w:b w:val="0"/>
          <w:bCs/>
          <w:kern w:val="0"/>
          <w:sz w:val="32"/>
          <w:szCs w:val="32"/>
        </w:rPr>
        <w:t>“</w:t>
      </w:r>
      <w:r>
        <w:rPr>
          <w:rFonts w:hint="eastAsia" w:ascii="黑体" w:hAnsi="黑体" w:eastAsia="黑体" w:cs="黑体"/>
          <w:b w:val="0"/>
          <w:bCs w:val="0"/>
          <w:sz w:val="32"/>
          <w:szCs w:val="32"/>
        </w:rPr>
        <w:t>智能机器人与数字驱动技术应用</w:t>
      </w:r>
      <w:r>
        <w:rPr>
          <w:rFonts w:hint="eastAsia" w:ascii="黑体" w:hAnsi="黑体" w:eastAsia="黑体" w:cs="黑体"/>
          <w:b w:val="0"/>
          <w:bCs w:val="0"/>
          <w:sz w:val="32"/>
          <w:szCs w:val="32"/>
          <w:lang w:val="en-US" w:eastAsia="zh-CN"/>
        </w:rPr>
        <w:t>赛项</w:t>
      </w:r>
      <w:r>
        <w:rPr>
          <w:rFonts w:hint="eastAsia" w:ascii="黑体" w:hAnsi="黑体" w:eastAsia="黑体"/>
          <w:b w:val="0"/>
          <w:bCs/>
          <w:kern w:val="0"/>
          <w:sz w:val="32"/>
          <w:szCs w:val="32"/>
        </w:rPr>
        <w:t>”赛项执委会制</w:t>
      </w:r>
    </w:p>
    <w:p>
      <w:pPr>
        <w:jc w:val="center"/>
        <w:rPr>
          <w:rFonts w:ascii="黑体" w:hAnsi="黑体" w:eastAsia="黑体"/>
          <w:b w:val="0"/>
          <w:bCs/>
          <w:sz w:val="32"/>
          <w:szCs w:val="32"/>
        </w:rPr>
      </w:pPr>
      <w:r>
        <w:rPr>
          <w:rFonts w:hint="eastAsia" w:ascii="黑体" w:hAnsi="黑体" w:eastAsia="黑体"/>
          <w:b w:val="0"/>
          <w:bCs/>
          <w:sz w:val="32"/>
          <w:szCs w:val="32"/>
        </w:rPr>
        <w:t>202</w:t>
      </w:r>
      <w:r>
        <w:rPr>
          <w:rFonts w:hint="eastAsia" w:ascii="黑体" w:hAnsi="黑体" w:eastAsia="黑体"/>
          <w:b w:val="0"/>
          <w:bCs/>
          <w:sz w:val="32"/>
          <w:szCs w:val="32"/>
          <w:lang w:val="en-US" w:eastAsia="zh-CN"/>
        </w:rPr>
        <w:t>2</w:t>
      </w:r>
      <w:r>
        <w:rPr>
          <w:rFonts w:hint="eastAsia" w:ascii="黑体" w:hAnsi="黑体" w:eastAsia="黑体"/>
          <w:b w:val="0"/>
          <w:bCs/>
          <w:sz w:val="32"/>
          <w:szCs w:val="32"/>
        </w:rPr>
        <w:t>年</w:t>
      </w:r>
      <w:r>
        <w:rPr>
          <w:rFonts w:hint="eastAsia" w:ascii="黑体" w:hAnsi="黑体" w:eastAsia="黑体"/>
          <w:b w:val="0"/>
          <w:bCs/>
          <w:sz w:val="32"/>
          <w:szCs w:val="32"/>
          <w:lang w:val="en-US" w:eastAsia="zh-CN"/>
        </w:rPr>
        <w:t>6</w:t>
      </w:r>
      <w:r>
        <w:rPr>
          <w:rFonts w:hint="eastAsia" w:ascii="黑体" w:hAnsi="黑体" w:eastAsia="黑体"/>
          <w:b w:val="0"/>
          <w:bCs/>
          <w:sz w:val="32"/>
          <w:szCs w:val="32"/>
        </w:rPr>
        <w:t>月</w:t>
      </w:r>
    </w:p>
    <w:p>
      <w:pPr>
        <w:jc w:val="center"/>
        <w:rPr>
          <w:rFonts w:ascii="仿宋" w:hAnsi="仿宋" w:eastAsia="仿宋"/>
          <w:b/>
          <w:sz w:val="30"/>
          <w:szCs w:val="30"/>
        </w:rPr>
      </w:pPr>
    </w:p>
    <w:p>
      <w:pPr>
        <w:jc w:val="center"/>
        <w:rPr>
          <w:rFonts w:ascii="仿宋" w:hAnsi="仿宋" w:eastAsia="仿宋"/>
          <w:b/>
          <w:sz w:val="30"/>
          <w:szCs w:val="30"/>
        </w:rPr>
      </w:pPr>
    </w:p>
    <w:p>
      <w:pPr>
        <w:spacing w:line="360" w:lineRule="auto"/>
        <w:rPr>
          <w:rFonts w:hint="eastAsia" w:ascii="宋体" w:hAnsi="宋体"/>
          <w:sz w:val="28"/>
          <w:szCs w:val="28"/>
        </w:rPr>
      </w:pPr>
    </w:p>
    <w:p>
      <w:pPr>
        <w:spacing w:line="360" w:lineRule="auto"/>
        <w:rPr>
          <w:rFonts w:hint="eastAsia" w:ascii="仿宋" w:hAnsi="仿宋" w:eastAsia="仿宋" w:cs="仿宋"/>
          <w:b/>
          <w:bCs/>
          <w:sz w:val="28"/>
          <w:szCs w:val="28"/>
        </w:rPr>
      </w:pPr>
      <w:r>
        <w:rPr>
          <w:rFonts w:hint="eastAsia" w:ascii="仿宋" w:hAnsi="仿宋" w:eastAsia="仿宋" w:cs="仿宋"/>
          <w:b/>
          <w:bCs/>
          <w:sz w:val="28"/>
          <w:szCs w:val="28"/>
        </w:rPr>
        <w:t>选手须知：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 任务书共</w:t>
      </w:r>
      <w:r>
        <w:rPr>
          <w:rFonts w:hint="eastAsia" w:ascii="仿宋" w:hAnsi="仿宋" w:eastAsia="仿宋" w:cs="仿宋"/>
          <w:color w:val="auto"/>
          <w:sz w:val="28"/>
          <w:szCs w:val="28"/>
          <w:u w:val="single"/>
        </w:rPr>
        <w:t>1</w:t>
      </w:r>
      <w:r>
        <w:rPr>
          <w:rFonts w:hint="eastAsia" w:ascii="仿宋" w:hAnsi="仿宋" w:eastAsia="仿宋" w:cs="仿宋"/>
          <w:color w:val="auto"/>
          <w:sz w:val="28"/>
          <w:szCs w:val="28"/>
          <w:u w:val="single"/>
          <w:lang w:val="en-US" w:eastAsia="zh-CN"/>
        </w:rPr>
        <w:t>9</w:t>
      </w:r>
      <w:r>
        <w:rPr>
          <w:rFonts w:hint="eastAsia" w:ascii="仿宋" w:hAnsi="仿宋" w:eastAsia="仿宋" w:cs="仿宋"/>
          <w:sz w:val="28"/>
          <w:szCs w:val="28"/>
        </w:rPr>
        <w:t>页，如出现缺页、字迹不清等问题，请及时向裁判示意，并进行任务书的更换。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 参赛队应在</w:t>
      </w:r>
      <w:r>
        <w:rPr>
          <w:rFonts w:hint="eastAsia" w:ascii="仿宋" w:hAnsi="仿宋" w:eastAsia="仿宋" w:cs="仿宋"/>
          <w:sz w:val="28"/>
          <w:szCs w:val="28"/>
          <w:u w:val="single"/>
        </w:rPr>
        <w:t xml:space="preserve"> 3 </w:t>
      </w:r>
      <w:r>
        <w:rPr>
          <w:rFonts w:hint="eastAsia" w:ascii="仿宋" w:hAnsi="仿宋" w:eastAsia="仿宋" w:cs="仿宋"/>
          <w:sz w:val="28"/>
          <w:szCs w:val="28"/>
        </w:rPr>
        <w:t>小时内完成</w:t>
      </w:r>
      <w:r>
        <w:rPr>
          <w:rFonts w:hint="eastAsia" w:ascii="仿宋" w:hAnsi="仿宋" w:eastAsia="仿宋" w:cs="仿宋"/>
          <w:sz w:val="28"/>
          <w:szCs w:val="28"/>
          <w:lang w:val="en-US" w:eastAsia="zh-CN"/>
        </w:rPr>
        <w:t>实操</w:t>
      </w:r>
      <w:r>
        <w:rPr>
          <w:rFonts w:hint="eastAsia" w:ascii="仿宋" w:hAnsi="仿宋" w:eastAsia="仿宋" w:cs="仿宋"/>
          <w:sz w:val="28"/>
          <w:szCs w:val="28"/>
        </w:rPr>
        <w:t>任务书规定内容，选手在竞赛过程中需要用到的程序文件在“D:\技能竞赛的文件夹下”。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 选手提交的答卷用工位号标识，不得出现学校、姓名等与身份有关的信息，否则成绩无效。</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4．选手在竞赛过程中应遵守竞赛规则和安全操作规程，如有违反按照相关规定处理。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5．扰乱赛场秩序，干扰裁判的正常工作扣10分，情节严重者，经执委会批准，由裁判长宣布，取消参赛资格。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6．不准携带移动存储器材，不准携带手机等通讯工具，违者取消竞赛资格。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7．试运行时必须得到裁判的允许后，才能通电试运行；若装配或电气连接不完整，则不允许试运行，该任务不得分。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 在使用计算机编写程序时，请随时在计算机D盘保存已编好的程序，保存文件名为场次号加工位号。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9．任务书中相关报告、表格等请用黑色水笔填写，表中数据文字涂改后无效；未经裁判核实的数据都是无效数值，该项目不得分。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10．选手应合理安排装调工作的顺序和时间。</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 参赛选手在比赛过程中可提出设备器件更换要求，所更换的器件经裁判组检测后，如非人为损坏，由裁判根据现场情况给予更换，如人为损坏器件，每次扣3分。</w:t>
      </w:r>
    </w:p>
    <w:p>
      <w:pPr>
        <w:spacing w:line="360" w:lineRule="auto"/>
        <w:ind w:firstLine="560" w:firstLineChars="200"/>
        <w:rPr>
          <w:rFonts w:hint="eastAsia" w:ascii="仿宋" w:hAnsi="仿宋" w:eastAsia="仿宋" w:cs="仿宋"/>
          <w:sz w:val="28"/>
          <w:szCs w:val="28"/>
        </w:rPr>
      </w:pPr>
    </w:p>
    <w:p>
      <w:pPr>
        <w:spacing w:line="360" w:lineRule="auto"/>
        <w:ind w:firstLine="1400" w:firstLineChars="500"/>
        <w:rPr>
          <w:rFonts w:hint="eastAsia" w:ascii="仿宋" w:hAnsi="仿宋" w:eastAsia="仿宋" w:cs="仿宋"/>
          <w:sz w:val="28"/>
          <w:szCs w:val="28"/>
          <w:u w:val="single"/>
        </w:rPr>
      </w:pPr>
      <w:r>
        <w:rPr>
          <w:rFonts w:hint="eastAsia" w:ascii="仿宋" w:hAnsi="仿宋" w:eastAsia="仿宋" w:cs="仿宋"/>
          <w:sz w:val="28"/>
          <w:szCs w:val="28"/>
        </w:rPr>
        <w:t>竞赛场次：第</w:t>
      </w:r>
      <w:r>
        <w:rPr>
          <w:rFonts w:hint="eastAsia" w:ascii="仿宋" w:hAnsi="仿宋" w:eastAsia="仿宋" w:cs="仿宋"/>
          <w:sz w:val="28"/>
          <w:szCs w:val="28"/>
          <w:u w:val="single"/>
        </w:rPr>
        <w:t xml:space="preserve">      </w:t>
      </w:r>
      <w:r>
        <w:rPr>
          <w:rFonts w:hint="eastAsia" w:ascii="仿宋" w:hAnsi="仿宋" w:eastAsia="仿宋" w:cs="仿宋"/>
          <w:sz w:val="28"/>
          <w:szCs w:val="28"/>
        </w:rPr>
        <w:t>场                工位号：</w:t>
      </w:r>
      <w:r>
        <w:rPr>
          <w:rFonts w:hint="eastAsia" w:ascii="仿宋" w:hAnsi="仿宋" w:eastAsia="仿宋" w:cs="仿宋"/>
          <w:sz w:val="28"/>
          <w:szCs w:val="28"/>
          <w:u w:val="single"/>
        </w:rPr>
        <w:t xml:space="preserve">          </w:t>
      </w:r>
    </w:p>
    <w:p>
      <w:pPr>
        <w:spacing w:line="360" w:lineRule="auto"/>
        <w:rPr>
          <w:rFonts w:hint="eastAsia" w:ascii="仿宋" w:hAnsi="仿宋" w:eastAsia="仿宋" w:cs="仿宋"/>
          <w:sz w:val="28"/>
          <w:szCs w:val="28"/>
        </w:rPr>
      </w:pPr>
      <w:bookmarkStart w:id="6" w:name="_GoBack"/>
      <w:bookmarkEnd w:id="6"/>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配置1.生产对象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生产对象为3D打印行业专用的步进电机，电机部分零件是完成加工后的半成品铸造铝制零件。电机零件分别有电机底壳、转子、线圈和固定销钉，电机组成零部件如</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_Ref85548364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图 1</w:t>
      </w:r>
      <w:r>
        <w:rPr>
          <w:rFonts w:hint="eastAsia" w:ascii="仿宋" w:hAnsi="仿宋" w:eastAsia="仿宋" w:cs="仿宋"/>
          <w:sz w:val="28"/>
          <w:szCs w:val="28"/>
        </w:rPr>
        <w:fldChar w:fldCharType="end"/>
      </w:r>
      <w:r>
        <w:rPr>
          <w:rFonts w:hint="eastAsia" w:ascii="仿宋" w:hAnsi="仿宋" w:eastAsia="仿宋" w:cs="仿宋"/>
          <w:sz w:val="28"/>
          <w:szCs w:val="28"/>
        </w:rPr>
        <w:t>所示。</w:t>
      </w:r>
    </w:p>
    <w:p>
      <w:pPr>
        <w:keepNext/>
        <w:spacing w:line="360" w:lineRule="auto"/>
        <w:jc w:val="center"/>
      </w:pPr>
      <w:r>
        <w:rPr>
          <w:rFonts w:hint="eastAsia" w:ascii="宋体" w:hAnsi="宋体"/>
          <w:sz w:val="28"/>
          <w:szCs w:val="28"/>
        </w:rPr>
        <w:drawing>
          <wp:inline distT="0" distB="0" distL="114300" distR="114300">
            <wp:extent cx="4765040" cy="2931795"/>
            <wp:effectExtent l="0" t="0" r="16510" b="1905"/>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7"/>
                    <a:stretch>
                      <a:fillRect/>
                    </a:stretch>
                  </pic:blipFill>
                  <pic:spPr>
                    <a:xfrm>
                      <a:off x="0" y="0"/>
                      <a:ext cx="4765040" cy="2931795"/>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bookmarkStart w:id="0" w:name="_Ref85548364"/>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0"/>
      <w:r>
        <w:rPr>
          <w:rFonts w:hint="eastAsia" w:ascii="宋体" w:hAnsi="宋体" w:eastAsia="宋体" w:cs="宋体"/>
          <w:sz w:val="24"/>
          <w:szCs w:val="24"/>
        </w:rPr>
        <w:t>电机组成零部件</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2.产品生产工艺流程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公司主营业务是生产3D打印机步进电机，目前客户的生产需求多样，部分工艺过程客户需要自主选择。本生产任务需根据工艺流程图完成应用平台的编程调试，来实现所有电机零件组装，并完成成品电机通电检测的生产过程。单个成品电机完成生产工艺流程如</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_Ref85548575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图 2</w:t>
      </w:r>
      <w:r>
        <w:rPr>
          <w:rFonts w:hint="eastAsia" w:ascii="仿宋" w:hAnsi="仿宋" w:eastAsia="仿宋" w:cs="仿宋"/>
          <w:sz w:val="28"/>
          <w:szCs w:val="28"/>
        </w:rPr>
        <w:fldChar w:fldCharType="end"/>
      </w:r>
      <w:r>
        <w:rPr>
          <w:rFonts w:hint="eastAsia" w:ascii="仿宋" w:hAnsi="仿宋" w:eastAsia="仿宋" w:cs="仿宋"/>
          <w:sz w:val="28"/>
          <w:szCs w:val="28"/>
        </w:rPr>
        <w:t>所示。</w:t>
      </w:r>
    </w:p>
    <w:p>
      <w:pPr>
        <w:keepNext/>
        <w:spacing w:line="360" w:lineRule="auto"/>
        <w:jc w:val="center"/>
      </w:pPr>
      <w:r>
        <w:drawing>
          <wp:inline distT="0" distB="0" distL="0" distR="0">
            <wp:extent cx="4846320" cy="4191000"/>
            <wp:effectExtent l="0" t="0" r="0" b="0"/>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noChangeArrowheads="1"/>
                    </pic:cNvPicPr>
                  </pic:nvPicPr>
                  <pic:blipFill>
                    <a:blip r:embed="rId8"/>
                    <a:srcRect/>
                    <a:stretch>
                      <a:fillRect/>
                    </a:stretch>
                  </pic:blipFill>
                  <pic:spPr>
                    <a:xfrm>
                      <a:off x="0" y="0"/>
                      <a:ext cx="4846320" cy="4191000"/>
                    </a:xfrm>
                    <a:prstGeom prst="rect">
                      <a:avLst/>
                    </a:prstGeom>
                    <a:noFill/>
                    <a:ln>
                      <a:noFill/>
                    </a:ln>
                  </pic:spPr>
                </pic:pic>
              </a:graphicData>
            </a:graphic>
          </wp:inline>
        </w:drawing>
      </w:r>
    </w:p>
    <w:p>
      <w:pPr>
        <w:pStyle w:val="4"/>
        <w:spacing w:line="360" w:lineRule="auto"/>
        <w:jc w:val="center"/>
        <w:rPr>
          <w:rFonts w:hint="eastAsia" w:ascii="宋体" w:hAnsi="宋体" w:eastAsia="宋体" w:cs="宋体"/>
          <w:sz w:val="24"/>
          <w:szCs w:val="24"/>
        </w:rPr>
      </w:pPr>
      <w:bookmarkStart w:id="1" w:name="_Ref85548575"/>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bookmarkEnd w:id="1"/>
      <w:r>
        <w:rPr>
          <w:rFonts w:hint="eastAsia" w:ascii="宋体" w:hAnsi="宋体" w:eastAsia="宋体" w:cs="宋体"/>
          <w:sz w:val="24"/>
          <w:szCs w:val="24"/>
        </w:rPr>
        <w:t xml:space="preserve">  生产产品工艺流程图</w:t>
      </w:r>
    </w:p>
    <w:p>
      <w:pPr>
        <w:spacing w:line="360" w:lineRule="auto"/>
        <w:jc w:val="center"/>
        <w:rPr>
          <w:rFonts w:ascii="宋体" w:hAnsi="宋体"/>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任务一</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平台系统配置方案设计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（一）系统布局方案设计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根据产品生产工艺流程，结合所提供的硬件单元尺寸和功能，合理设计各单元的布局分布，并在任务书最后附件一（任选1份任务书）上绘制布局方案，各单元用框图表示并用文字标识，比例适当。</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（二）控制系统方案设计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数字技术应用平台的硬件设备功能，合理设计控制系统结构，并在任务书最后附件二（任选1份任务书）上绘制控制系统结构图。要求：方案中需包含当前设备中所有控制设备（PLC/HMI/各单元IO接口/智能机器人/视觉模块/4轴机器人），通过折线连接各个设备体现实际通信关系，并在折线上标明通讯形式（IO/模拟量/Modbus通讯/以太网）。</w:t>
      </w:r>
    </w:p>
    <w:p>
      <w:pPr>
        <w:spacing w:line="360" w:lineRule="auto"/>
        <w:ind w:firstLine="420"/>
        <w:rPr>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任务二 数字化软件设计与调试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（一）三维布局设计与规划</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根据系统布局方案设计结果，利用比赛提供的三维工业数字模型，在工业仿真软件(MIoT.VC)中，完成对应用平台的布局设计和规划。</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（二）生产工艺流程虚拟调试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根据图3的虚拟生产工艺流程，在工业仿真软件(MIoT.VC)中，对智能机器人运动轨迹编程和各单元动作信号设置，按照赛题中要求的生产流程，完成现场设备的虚拟调试。</w:t>
      </w:r>
    </w:p>
    <w:p>
      <w:pPr>
        <w:spacing w:line="360" w:lineRule="auto"/>
        <w:jc w:val="center"/>
        <w:rPr>
          <w:rFonts w:ascii="宋体" w:hAnsi="宋体"/>
        </w:rPr>
      </w:pPr>
      <w:r>
        <w:rPr>
          <w:rFonts w:hint="eastAsia" w:ascii="宋体" w:hAnsi="宋体"/>
        </w:rPr>
        <w:drawing>
          <wp:inline distT="0" distB="0" distL="114300" distR="114300">
            <wp:extent cx="5120640" cy="4358640"/>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9"/>
                    <a:stretch>
                      <a:fillRect/>
                    </a:stretch>
                  </pic:blipFill>
                  <pic:spPr>
                    <a:xfrm>
                      <a:off x="0" y="0"/>
                      <a:ext cx="5120640" cy="4358640"/>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图 3 虚拟仿真生产工艺流程</w:t>
      </w:r>
    </w:p>
    <w:p>
      <w:pPr>
        <w:spacing w:line="360" w:lineRule="auto"/>
        <w:jc w:val="center"/>
        <w:rPr>
          <w:rFonts w:ascii="宋体" w:hAnsi="宋体"/>
        </w:rPr>
      </w:pPr>
    </w:p>
    <w:p>
      <w:pPr>
        <w:spacing w:line="360" w:lineRule="auto"/>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任务三 机械及电气安装调试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安装工艺要求：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1.电缆与气管分开绑扎，第一根绑扎带距离接头处 60±5mm，其余两个绑扎带之间的距离不超过 50±5mm，绑扎带切割不能留余太长，必须小于 1mm，美观安全。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2.气管在型材支架上可用线夹子绑扎带固定，两个线夹子之间的距离不超过 120mm。走线槽的气管长度应合适，不能出现折弯缠绕和绑扎变形现象，不允许出现漏气现象。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3.机械安装需选择合适工具，按提供模块零件完成单元装配，安装完毕后机械单元部分没有晃动和松动。执行元器件气缸动作平缓，无强烈碰撞。</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（一）电气、通讯接线</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根据系统布局方案设计和控制系统方案设计，完成各单元的电源、气源、通讯线路连接和布线。</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（二）IO信号面板接线</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根据提供的系统IO信号表，完成总控单元实训面板信号的连接和布线。</w:t>
      </w:r>
    </w:p>
    <w:p>
      <w:pPr>
        <w:spacing w:line="360" w:lineRule="auto"/>
        <w:ind w:firstLine="420"/>
        <w:jc w:val="center"/>
        <w:rPr>
          <w:sz w:val="28"/>
          <w:szCs w:val="28"/>
        </w:rPr>
      </w:pPr>
      <w:r>
        <w:rPr>
          <w:rFonts w:hint="eastAsia"/>
          <w:sz w:val="28"/>
          <w:szCs w:val="28"/>
        </w:rPr>
        <w:drawing>
          <wp:inline distT="0" distB="0" distL="114300" distR="114300">
            <wp:extent cx="5920740" cy="1409700"/>
            <wp:effectExtent l="0" t="0" r="7620" b="7620"/>
            <wp:docPr id="6" name="图片 6"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png2"/>
                    <pic:cNvPicPr>
                      <a:picLocks noChangeAspect="1"/>
                    </pic:cNvPicPr>
                  </pic:nvPicPr>
                  <pic:blipFill>
                    <a:blip r:embed="rId10"/>
                    <a:srcRect/>
                    <a:stretch>
                      <a:fillRect/>
                    </a:stretch>
                  </pic:blipFill>
                  <pic:spPr>
                    <a:xfrm>
                      <a:off x="0" y="0"/>
                      <a:ext cx="5920740" cy="1409700"/>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t xml:space="preserve"> IO信号表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（三）力觉传感器机构安装及接线</w:t>
      </w:r>
    </w:p>
    <w:p>
      <w:pPr>
        <w:spacing w:line="360" w:lineRule="auto"/>
        <w:ind w:firstLine="560" w:firstLineChars="200"/>
        <w:rPr>
          <w:sz w:val="28"/>
          <w:szCs w:val="28"/>
        </w:rPr>
      </w:pPr>
      <w:r>
        <w:rPr>
          <w:rFonts w:hint="eastAsia" w:ascii="仿宋" w:hAnsi="仿宋" w:eastAsia="仿宋" w:cs="仿宋"/>
          <w:sz w:val="28"/>
          <w:szCs w:val="28"/>
        </w:rPr>
        <w:t>在智能机器人上安装力觉传感器，用于实现检测智能机器人的手臂和手腕所产生的力。根据功能及IO分配完成力觉传感器机构安装及接线。</w:t>
      </w:r>
    </w:p>
    <w:p>
      <w:pPr>
        <w:keepNext/>
        <w:jc w:val="center"/>
      </w:pPr>
      <w:r>
        <w:rPr>
          <w:rFonts w:hint="eastAsia"/>
        </w:rPr>
        <w:drawing>
          <wp:inline distT="0" distB="0" distL="114300" distR="114300">
            <wp:extent cx="3467100" cy="1783080"/>
            <wp:effectExtent l="0" t="0" r="7620" b="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1"/>
                    <a:stretch>
                      <a:fillRect/>
                    </a:stretch>
                  </pic:blipFill>
                  <pic:spPr>
                    <a:xfrm>
                      <a:off x="0" y="0"/>
                      <a:ext cx="3467100" cy="1783080"/>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力觉传感器</w:t>
      </w:r>
    </w:p>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任务四 应用平台系统集成</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（一）应用平台通讯组态及调试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（1）PLC组态设置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完成PLC模块的硬件组态和参数设置，使PLC建立数据通信和网络传输。</w:t>
      </w:r>
    </w:p>
    <w:p>
      <w:pPr>
        <w:keepNext/>
        <w:jc w:val="center"/>
      </w:pPr>
      <w:r>
        <w:drawing>
          <wp:inline distT="0" distB="0" distL="114300" distR="114300">
            <wp:extent cx="5212080" cy="2964815"/>
            <wp:effectExtent l="0" t="0" r="0" b="6985"/>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12"/>
                    <a:stretch>
                      <a:fillRect/>
                    </a:stretch>
                  </pic:blipFill>
                  <pic:spPr>
                    <a:xfrm>
                      <a:off x="0" y="0"/>
                      <a:ext cx="5212080" cy="2964815"/>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PLC硬件组态</w:t>
      </w:r>
    </w:p>
    <w:p>
      <w:pPr>
        <w:pStyle w:val="4"/>
        <w:spacing w:line="360" w:lineRule="auto"/>
        <w:jc w:val="both"/>
        <w:rPr>
          <w:rFonts w:hint="eastAsia" w:ascii="仿宋" w:hAnsi="仿宋" w:eastAsia="仿宋" w:cs="仿宋"/>
          <w:sz w:val="28"/>
          <w:szCs w:val="28"/>
        </w:rPr>
      </w:pPr>
      <w:r>
        <w:rPr>
          <w:rFonts w:hint="eastAsia" w:ascii="仿宋" w:hAnsi="仿宋" w:eastAsia="仿宋" w:cs="仿宋"/>
          <w:sz w:val="28"/>
          <w:szCs w:val="28"/>
        </w:rPr>
        <w:t>（2）智能</w:t>
      </w:r>
      <w:r>
        <w:rPr>
          <w:rFonts w:hint="eastAsia" w:ascii="宋体" w:hAnsi="宋体" w:eastAsia="宋体" w:cs="宋体"/>
          <w:sz w:val="28"/>
          <w:szCs w:val="28"/>
        </w:rPr>
        <w:t>机器人</w:t>
      </w:r>
      <w:r>
        <w:rPr>
          <w:rFonts w:hint="eastAsia" w:ascii="仿宋" w:hAnsi="仿宋" w:eastAsia="仿宋" w:cs="仿宋"/>
          <w:sz w:val="28"/>
          <w:szCs w:val="28"/>
        </w:rPr>
        <w:t>组态设置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完成智能机器人的参数设置，在智能机器人的系统建立IO信号，实现IO数据通信。</w:t>
      </w:r>
    </w:p>
    <w:p>
      <w:pPr>
        <w:keepNext/>
        <w:jc w:val="center"/>
      </w:pPr>
      <w:r>
        <w:drawing>
          <wp:inline distT="0" distB="0" distL="114300" distR="114300">
            <wp:extent cx="6295390" cy="1930400"/>
            <wp:effectExtent l="0" t="0" r="13970" b="508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3"/>
                    <a:stretch>
                      <a:fillRect/>
                    </a:stretch>
                  </pic:blipFill>
                  <pic:spPr>
                    <a:xfrm>
                      <a:off x="0" y="0"/>
                      <a:ext cx="6295390" cy="1930400"/>
                    </a:xfrm>
                    <a:prstGeom prst="rect">
                      <a:avLst/>
                    </a:prstGeom>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lang w:val="en-US" w:eastAsia="zh-CN"/>
        </w:rPr>
        <w:t xml:space="preserve">7 </w:t>
      </w:r>
      <w:r>
        <w:rPr>
          <w:rFonts w:hint="eastAsia" w:ascii="宋体" w:hAnsi="宋体" w:eastAsia="宋体" w:cs="宋体"/>
          <w:sz w:val="24"/>
          <w:szCs w:val="24"/>
        </w:rPr>
        <w:t xml:space="preserve"> 智能机器人IO表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（3）智能视觉通讯设置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完成对智能视觉通讯端口和与其完成通讯的控制设备网络端口设置，使其可以建立正常通信并实现信号交互。</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（二）执行单元和工具单元智能化配置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（1）智能机器人安全姿态设定</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对智能机器人操作与编程，确定智能机器人本体的安全姿态，此姿态智能机器人本体不会与周边设备发生碰撞。当执行单元平移滑台运行时，智能机器人本体必须保持此姿态，不得同时动作。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（2）平移滑台配置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①对平移滑台进行运动控制编程，设置PLC对于电机的控制参数。</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②根据所提供的执行单元内部接线图，对执行单元内部的PLC进行编程，使平移滑台实现回原点、定位运动、定速运动功能。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（3）快换工具的拾取与放回</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对智能机器人操作与编程，使智能机器人可以完成对所需工具的拾取与放回，动作过程无碰撞。</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（三）组装单元智能化配置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电机组装单元功能集成根据控制系统方案设计结果和所提供的内部接线图，实现以下功能：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（1）智能机器人从原料仓库中取出电机半成品零部件，电机半成品零部件分别有：转子、电机壳体、电机上端盖。</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（2）智能机器人将电机半成品零部件逐一放置组装工作台上进行电机组装。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（3）智能机器人从组装工作台中取出组装完成的未检测电机。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（四）视觉单元智能化配置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根据控制系统方案设计结果和所提供的内部接线图，实现以下功能：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（1）输送检测单元将零件从料井推至输送带起始端上，零件在输送带前端时开始启动电机。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（2）零件根据生产工艺移动至视觉相机进行颜色检测、坐标位置检测。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（3）坐标位置检测方式可由选手自行选择，坐标位置检测方式有：工件静态捕捉坐标位置和工件动态追踪坐标位置，两种检测方式在本任务中所占分值不同。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（4）智能机器人根据视觉模块反馈的零件坐标结果，将零件从输送带取出。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（5）智能机器人将零件放到定位平台上进行零件二次定位，定位完成后将零件从定位平台取起。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（五）检测单元智能化配置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根据控制系统方案设计结果和所提供的内部接线图，实现以下功能：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（1）智能机器人将电机成品放到动力检测工位上。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（2）智能机器人从视觉单元中抓取齿轮零件，将齿轮零件放到分度盘的入料工位上。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（3）齿轮零件根据生产工艺，在分度盘上进行重量属性检测和材质属性检测。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（4）智能机器人将检测完成的齿轮零件从出料工位取起，与动力检测工位的电机进行配合组装，将齿轮零件安装至电机转轴中。</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（5）通过检测气缸动作对需要检测的电机进行通电检测，电机通电后能够带动传动机构，使齿轮钟表转动和LED灯亮起，表示电机安装成功。电机通电运行30S后，停止电机通电检测。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（6）智能机器人将检测完成品电机和齿轮分别取出，放入电机成品工位中和齿轮回收工位中。</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（六）仓储单元智能化配置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仓储单元功能集成根据控制系统方案设计结果和所提供的内部接线图，实现以下功能：</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（1）智能机器人将电机放到激光雕刻工位上。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（2）四轴机器人移动至电机激光雕刻区域，根据</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_Ref86396503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图 </w:t>
      </w:r>
      <w:r>
        <w:rPr>
          <w:rFonts w:hint="eastAsia" w:ascii="仿宋" w:hAnsi="仿宋" w:eastAsia="仿宋" w:cs="仿宋"/>
          <w:sz w:val="28"/>
          <w:szCs w:val="28"/>
          <w:lang w:val="en-US" w:eastAsia="zh-CN"/>
        </w:rPr>
        <w:t>8</w:t>
      </w:r>
      <w:r>
        <w:rPr>
          <w:rFonts w:hint="eastAsia" w:ascii="仿宋" w:hAnsi="仿宋" w:eastAsia="仿宋" w:cs="仿宋"/>
          <w:sz w:val="28"/>
          <w:szCs w:val="28"/>
        </w:rPr>
        <w:fldChar w:fldCharType="end"/>
      </w:r>
      <w:r>
        <w:rPr>
          <w:rFonts w:hint="eastAsia" w:ascii="仿宋" w:hAnsi="仿宋" w:eastAsia="仿宋" w:cs="仿宋"/>
          <w:sz w:val="28"/>
          <w:szCs w:val="28"/>
        </w:rPr>
        <w:t>图案完成激光雕刻。</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（3）四轴机器人将电机从激光雕刻工位取起放回仓储单元。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（4）放料仓位号从小到大开始放入。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324350" cy="3062605"/>
            <wp:effectExtent l="0" t="0" r="3810" b="635"/>
            <wp:docPr id="2" name="图片 2"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png1"/>
                    <pic:cNvPicPr>
                      <a:picLocks noChangeAspect="1" noChangeArrowheads="1"/>
                    </pic:cNvPicPr>
                  </pic:nvPicPr>
                  <pic:blipFill>
                    <a:blip r:embed="rId14"/>
                    <a:srcRect/>
                    <a:stretch>
                      <a:fillRect/>
                    </a:stretch>
                  </pic:blipFill>
                  <pic:spPr>
                    <a:xfrm>
                      <a:off x="0" y="0"/>
                      <a:ext cx="4324350" cy="3062605"/>
                    </a:xfrm>
                    <a:prstGeom prst="rect">
                      <a:avLst/>
                    </a:prstGeom>
                    <a:noFill/>
                    <a:ln>
                      <a:noFill/>
                    </a:ln>
                  </pic:spPr>
                </pic:pic>
              </a:graphicData>
            </a:graphic>
          </wp:inline>
        </w:drawing>
      </w:r>
    </w:p>
    <w:p>
      <w:pPr>
        <w:pStyle w:val="4"/>
        <w:spacing w:line="360" w:lineRule="auto"/>
        <w:jc w:val="center"/>
        <w:rPr>
          <w:rFonts w:hint="eastAsia" w:ascii="宋体" w:hAnsi="宋体" w:eastAsia="宋体" w:cs="宋体"/>
          <w:sz w:val="24"/>
          <w:szCs w:val="24"/>
        </w:rPr>
      </w:pPr>
      <w:bookmarkStart w:id="2" w:name="_Ref86396503"/>
      <w:r>
        <w:rPr>
          <w:rFonts w:hint="eastAsia" w:ascii="宋体" w:hAnsi="宋体" w:eastAsia="宋体" w:cs="宋体"/>
          <w:sz w:val="24"/>
          <w:szCs w:val="24"/>
        </w:rPr>
        <w:t xml:space="preserve">图 </w:t>
      </w:r>
      <w:bookmarkEnd w:id="2"/>
      <w:r>
        <w:rPr>
          <w:rFonts w:hint="eastAsia" w:ascii="宋体" w:hAnsi="宋体" w:eastAsia="宋体" w:cs="宋体"/>
          <w:sz w:val="24"/>
          <w:szCs w:val="24"/>
          <w:lang w:val="en-US" w:eastAsia="zh-CN"/>
        </w:rPr>
        <w:t xml:space="preserve">8 </w:t>
      </w:r>
      <w:r>
        <w:rPr>
          <w:rFonts w:hint="eastAsia" w:ascii="宋体" w:hAnsi="宋体" w:eastAsia="宋体" w:cs="宋体"/>
          <w:sz w:val="24"/>
          <w:szCs w:val="24"/>
        </w:rPr>
        <w:t xml:space="preserve"> 雕刻图案</w:t>
      </w: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任务五 平台系统联调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（一）应用平台初始状态要求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在流程开始前和流程结束后，应用平台处于初始状态。初始状态要求如下：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（1）智能机器人停止运行且处于安全姿态，无安装工具。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（2）快换工具按照需求摆放稳当。</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（3）所有的工位气缸停止运行且处于原位位置。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（4）输送带电机停止运行。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（5）分度盘停止运行且处于原点位置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（6）四轴机器人停止运行且处于原点位置。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（二）生产自动化流程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（1）应用平台未启动前，总控单元三色灯和所有按钮灯不亮。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（2）当按下绿色自复位按钮后，三色灯黄色灯和按钮黄色灯以1s为周期闪烁；应用平台开始初始化，初始化完成后三色灯黄色灯和按钮黄色灯常亮。</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（3）再次按下绿色自复位按钮后，三色灯绿色灯和按钮绿色灯常亮，执行电机产品的完整装配流程。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（4）完成单个电机的装配流程后，应用平台完成初始化使其达到初始状态要求，同时绿色自复位按钮灯和三色灯绿色灯以1s为周期闪烁；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（5）重复实现第</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t>-⑤步实现后续电机的生产。</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（三）可视化HMI模块界面开发</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赛题中所给出的界面样式仅做参考非开发依据，界面效果不做评分要求，选手根据赛题要求自行设计，满足信息展示和操作功能即可。界面开发所需图片素材存储在“D:\参考资料”文件夹中。</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（1）欢迎界面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欢迎界面如下</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_Ref85553334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图 </w:t>
      </w:r>
      <w:r>
        <w:rPr>
          <w:rFonts w:hint="eastAsia" w:ascii="仿宋" w:hAnsi="仿宋" w:eastAsia="仿宋" w:cs="仿宋"/>
          <w:sz w:val="28"/>
          <w:szCs w:val="28"/>
          <w:lang w:val="en-US" w:eastAsia="zh-CN"/>
        </w:rPr>
        <w:t>9</w:t>
      </w:r>
      <w:r>
        <w:rPr>
          <w:rFonts w:hint="eastAsia" w:ascii="仿宋" w:hAnsi="仿宋" w:eastAsia="仿宋" w:cs="仿宋"/>
          <w:sz w:val="28"/>
          <w:szCs w:val="28"/>
        </w:rPr>
        <w:fldChar w:fldCharType="end"/>
      </w:r>
      <w:r>
        <w:rPr>
          <w:rFonts w:hint="eastAsia" w:ascii="仿宋" w:hAnsi="仿宋" w:eastAsia="仿宋" w:cs="仿宋"/>
          <w:sz w:val="28"/>
          <w:szCs w:val="28"/>
        </w:rPr>
        <w:t>所示。图示仅供参考。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功能交互要求：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①欢迎界面上有三个子系统，分别是“订单界面”、“监控界面”、“手动控制”，点击右侧的对应按钮，可以分别进入到相应的管理界面。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902325" cy="3462020"/>
            <wp:effectExtent l="0" t="0" r="3175" b="5080"/>
            <wp:docPr id="3" name="图片 3" descr="C:\Users\judy\AppData\Local\Temp\WeChat Files\575f8838d03ffcbf3656c41ed294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udy\AppData\Local\Temp\WeChat Files\575f8838d03ffcbf3656c41ed29408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02325" cy="3462020"/>
                    </a:xfrm>
                    <a:prstGeom prst="rect">
                      <a:avLst/>
                    </a:prstGeom>
                    <a:noFill/>
                    <a:ln>
                      <a:noFill/>
                    </a:ln>
                  </pic:spPr>
                </pic:pic>
              </a:graphicData>
            </a:graphic>
          </wp:inline>
        </w:drawing>
      </w:r>
    </w:p>
    <w:p>
      <w:pPr>
        <w:pStyle w:val="4"/>
        <w:spacing w:line="360" w:lineRule="auto"/>
        <w:jc w:val="center"/>
        <w:rPr>
          <w:rFonts w:hint="eastAsia" w:ascii="宋体" w:hAnsi="宋体" w:eastAsia="宋体" w:cs="宋体"/>
          <w:sz w:val="24"/>
          <w:szCs w:val="24"/>
        </w:rPr>
      </w:pPr>
      <w:bookmarkStart w:id="3" w:name="_Ref85553334"/>
      <w:r>
        <w:rPr>
          <w:rFonts w:hint="eastAsia" w:ascii="宋体" w:hAnsi="宋体" w:eastAsia="宋体" w:cs="宋体"/>
          <w:sz w:val="24"/>
          <w:szCs w:val="24"/>
        </w:rPr>
        <w:t xml:space="preserve">图 </w:t>
      </w:r>
      <w:bookmarkEnd w:id="3"/>
      <w:r>
        <w:rPr>
          <w:rFonts w:hint="eastAsia" w:ascii="宋体" w:hAnsi="宋体" w:eastAsia="宋体" w:cs="宋体"/>
          <w:sz w:val="24"/>
          <w:szCs w:val="24"/>
          <w:lang w:val="en-US" w:eastAsia="zh-CN"/>
        </w:rPr>
        <w:t xml:space="preserve">9  </w:t>
      </w:r>
      <w:r>
        <w:rPr>
          <w:rFonts w:hint="eastAsia" w:ascii="宋体" w:hAnsi="宋体" w:eastAsia="宋体" w:cs="宋体"/>
          <w:sz w:val="24"/>
          <w:szCs w:val="24"/>
        </w:rPr>
        <w:t xml:space="preserve"> 欢迎界面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（2）手动控制界面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59264" behindDoc="1" locked="0" layoutInCell="1" allowOverlap="1">
            <wp:simplePos x="0" y="0"/>
            <wp:positionH relativeFrom="column">
              <wp:posOffset>744855</wp:posOffset>
            </wp:positionH>
            <wp:positionV relativeFrom="paragraph">
              <wp:posOffset>336550</wp:posOffset>
            </wp:positionV>
            <wp:extent cx="5000625" cy="2931795"/>
            <wp:effectExtent l="0" t="0" r="9525" b="1905"/>
            <wp:wrapTight wrapText="bothSides">
              <wp:wrapPolygon>
                <wp:start x="0" y="0"/>
                <wp:lineTo x="0" y="21474"/>
                <wp:lineTo x="21559" y="21474"/>
                <wp:lineTo x="21559" y="0"/>
                <wp:lineTo x="0" y="0"/>
              </wp:wrapPolygon>
            </wp:wrapTight>
            <wp:docPr id="21" name="图片 21"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3.png3"/>
                    <pic:cNvPicPr>
                      <a:picLocks noChangeAspect="1" noChangeArrowheads="1"/>
                    </pic:cNvPicPr>
                  </pic:nvPicPr>
                  <pic:blipFill>
                    <a:blip r:embed="rId16"/>
                    <a:srcRect/>
                    <a:stretch>
                      <a:fillRect/>
                    </a:stretch>
                  </pic:blipFill>
                  <pic:spPr>
                    <a:xfrm>
                      <a:off x="0" y="0"/>
                      <a:ext cx="5000625" cy="2931795"/>
                    </a:xfrm>
                    <a:prstGeom prst="rect">
                      <a:avLst/>
                    </a:prstGeom>
                    <a:noFill/>
                    <a:ln>
                      <a:noFill/>
                    </a:ln>
                  </pic:spPr>
                </pic:pic>
              </a:graphicData>
            </a:graphic>
          </wp:anchor>
        </w:drawing>
      </w:r>
      <w:r>
        <w:rPr>
          <w:rFonts w:hint="eastAsia" w:ascii="仿宋" w:hAnsi="仿宋" w:eastAsia="仿宋" w:cs="仿宋"/>
          <w:sz w:val="28"/>
          <w:szCs w:val="28"/>
        </w:rPr>
        <w:t>手动控制界面如下</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_Ref85653823 \h </w:instrText>
      </w:r>
      <w:r>
        <w:rPr>
          <w:rFonts w:hint="eastAsia" w:ascii="仿宋" w:hAnsi="仿宋" w:eastAsia="仿宋" w:cs="仿宋"/>
          <w:sz w:val="28"/>
          <w:szCs w:val="28"/>
        </w:rPr>
        <w:fldChar w:fldCharType="separate"/>
      </w:r>
      <w:r>
        <w:rPr>
          <w:rFonts w:hint="eastAsia" w:ascii="仿宋" w:hAnsi="仿宋" w:eastAsia="仿宋" w:cs="仿宋"/>
          <w:sz w:val="28"/>
          <w:szCs w:val="28"/>
        </w:rPr>
        <w:t>图 10</w:t>
      </w:r>
      <w:r>
        <w:rPr>
          <w:rFonts w:hint="eastAsia" w:ascii="仿宋" w:hAnsi="仿宋" w:eastAsia="仿宋" w:cs="仿宋"/>
          <w:sz w:val="28"/>
          <w:szCs w:val="28"/>
        </w:rPr>
        <w:fldChar w:fldCharType="end"/>
      </w:r>
      <w:r>
        <w:rPr>
          <w:rFonts w:hint="eastAsia" w:ascii="仿宋" w:hAnsi="仿宋" w:eastAsia="仿宋" w:cs="仿宋"/>
          <w:sz w:val="28"/>
          <w:szCs w:val="28"/>
        </w:rPr>
        <w:t>所示。图示仅供参考，图示中的数据仅供参考。</w:t>
      </w:r>
    </w:p>
    <w:p>
      <w:pPr>
        <w:spacing w:line="360" w:lineRule="auto"/>
        <w:ind w:firstLine="560" w:firstLineChars="200"/>
        <w:rPr>
          <w:rFonts w:hint="eastAsia" w:ascii="仿宋" w:hAnsi="仿宋" w:eastAsia="仿宋" w:cs="仿宋"/>
          <w:sz w:val="28"/>
          <w:szCs w:val="28"/>
        </w:rPr>
      </w:pPr>
    </w:p>
    <w:p>
      <w:pPr>
        <w:pStyle w:val="4"/>
        <w:spacing w:line="360" w:lineRule="auto"/>
        <w:jc w:val="center"/>
        <w:rPr>
          <w:rFonts w:hint="eastAsia" w:ascii="宋体" w:hAnsi="宋体" w:eastAsia="宋体" w:cs="宋体"/>
          <w:sz w:val="24"/>
          <w:szCs w:val="24"/>
        </w:rPr>
      </w:pPr>
      <w:bookmarkStart w:id="4" w:name="_Ref85653823"/>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bookmarkEnd w:id="4"/>
      <w:r>
        <w:rPr>
          <w:rFonts w:hint="eastAsia" w:ascii="宋体" w:hAnsi="宋体" w:eastAsia="宋体" w:cs="宋体"/>
          <w:sz w:val="24"/>
          <w:szCs w:val="24"/>
        </w:rPr>
        <w:t xml:space="preserve"> 手动界面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功能交互要求：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①对页面控件进行布局和开发，可以实现对</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_Ref85553801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表 2</w:t>
      </w:r>
      <w:r>
        <w:rPr>
          <w:rFonts w:hint="eastAsia" w:ascii="仿宋" w:hAnsi="仿宋" w:eastAsia="仿宋" w:cs="仿宋"/>
          <w:sz w:val="28"/>
          <w:szCs w:val="28"/>
        </w:rPr>
        <w:fldChar w:fldCharType="end"/>
      </w:r>
      <w:r>
        <w:rPr>
          <w:rFonts w:hint="eastAsia" w:ascii="仿宋" w:hAnsi="仿宋" w:eastAsia="仿宋" w:cs="仿宋"/>
          <w:sz w:val="28"/>
          <w:szCs w:val="28"/>
        </w:rPr>
        <w:t>中所示参数进行手动控制。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②点击“主画面”按钮，系统返回至欢迎界面。</w:t>
      </w:r>
    </w:p>
    <w:p>
      <w:pPr>
        <w:spacing w:line="360" w:lineRule="auto"/>
        <w:ind w:firstLine="960" w:firstLineChars="400"/>
        <w:rPr>
          <w:rFonts w:hint="eastAsia" w:ascii="仿宋" w:hAnsi="仿宋" w:eastAsia="仿宋" w:cs="仿宋"/>
          <w:sz w:val="24"/>
          <w:szCs w:val="24"/>
        </w:rPr>
      </w:pPr>
      <w:bookmarkStart w:id="5" w:name="_Ref85553801"/>
      <w:r>
        <w:rPr>
          <w:rFonts w:hint="eastAsia" w:ascii="仿宋" w:hAnsi="仿宋" w:eastAsia="仿宋" w:cs="仿宋"/>
          <w:sz w:val="24"/>
          <w:szCs w:val="24"/>
        </w:rPr>
        <w:t xml:space="preserve">表 </w:t>
      </w:r>
      <w:bookmarkEnd w:id="5"/>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手动控制参数列表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2268"/>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64" w:type="dxa"/>
            <w:vAlign w:val="center"/>
          </w:tcPr>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序</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号</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单元</w:t>
            </w:r>
          </w:p>
        </w:tc>
        <w:tc>
          <w:tcPr>
            <w:tcW w:w="3862"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参数项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执行单元</w:t>
            </w:r>
          </w:p>
        </w:tc>
        <w:tc>
          <w:tcPr>
            <w:tcW w:w="3862" w:type="dxa"/>
            <w:vAlign w:val="center"/>
          </w:tcPr>
          <w:p>
            <w:pPr>
              <w:spacing w:line="360" w:lineRule="auto"/>
              <w:rPr>
                <w:rFonts w:hint="eastAsia" w:ascii="仿宋" w:hAnsi="仿宋" w:eastAsia="仿宋" w:cs="仿宋"/>
                <w:sz w:val="28"/>
                <w:szCs w:val="28"/>
              </w:rPr>
            </w:pPr>
            <w:r>
              <w:rPr>
                <w:rFonts w:hint="eastAsia" w:ascii="仿宋" w:hAnsi="仿宋" w:eastAsia="仿宋" w:cs="仿宋"/>
                <w:sz w:val="28"/>
                <w:szCs w:val="28"/>
              </w:rPr>
              <w:t>平移滑台正转、反转和回原点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仓储单元</w:t>
            </w:r>
          </w:p>
        </w:tc>
        <w:tc>
          <w:tcPr>
            <w:tcW w:w="3862"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各仓位手动推出和缩回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总控单元</w:t>
            </w:r>
          </w:p>
        </w:tc>
        <w:tc>
          <w:tcPr>
            <w:tcW w:w="3862" w:type="dxa"/>
            <w:vAlign w:val="center"/>
          </w:tcPr>
          <w:p>
            <w:pPr>
              <w:spacing w:line="360" w:lineRule="auto"/>
              <w:rPr>
                <w:rFonts w:hint="eastAsia" w:ascii="仿宋" w:hAnsi="仿宋" w:eastAsia="仿宋" w:cs="仿宋"/>
                <w:sz w:val="28"/>
                <w:szCs w:val="28"/>
              </w:rPr>
            </w:pPr>
            <w:r>
              <w:rPr>
                <w:rFonts w:hint="eastAsia" w:ascii="仿宋" w:hAnsi="仿宋" w:eastAsia="仿宋" w:cs="仿宋"/>
                <w:sz w:val="28"/>
                <w:szCs w:val="28"/>
              </w:rPr>
              <w:t>系统单次执行和系统连续执行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w:t>
            </w:r>
          </w:p>
        </w:tc>
        <w:tc>
          <w:tcPr>
            <w:tcW w:w="2268" w:type="dxa"/>
            <w:vMerge w:val="restart"/>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组装单元</w:t>
            </w:r>
          </w:p>
        </w:tc>
        <w:tc>
          <w:tcPr>
            <w:tcW w:w="3862" w:type="dxa"/>
            <w:vMerge w:val="restart"/>
            <w:vAlign w:val="center"/>
          </w:tcPr>
          <w:p>
            <w:pPr>
              <w:spacing w:line="360" w:lineRule="auto"/>
              <w:rPr>
                <w:rFonts w:hint="eastAsia" w:ascii="仿宋" w:hAnsi="仿宋" w:eastAsia="仿宋" w:cs="仿宋"/>
                <w:sz w:val="28"/>
                <w:szCs w:val="28"/>
              </w:rPr>
            </w:pPr>
            <w:r>
              <w:rPr>
                <w:rFonts w:hint="eastAsia" w:ascii="仿宋" w:hAnsi="仿宋" w:eastAsia="仿宋" w:cs="仿宋"/>
                <w:sz w:val="28"/>
                <w:szCs w:val="28"/>
              </w:rPr>
              <w:t>XY定位气缸手动推出和缩回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w:t>
            </w:r>
          </w:p>
        </w:tc>
        <w:tc>
          <w:tcPr>
            <w:tcW w:w="2268" w:type="dxa"/>
            <w:vMerge w:val="continue"/>
            <w:vAlign w:val="center"/>
          </w:tcPr>
          <w:p>
            <w:pPr>
              <w:spacing w:line="360" w:lineRule="auto"/>
              <w:ind w:firstLine="560" w:firstLineChars="200"/>
              <w:rPr>
                <w:rFonts w:hint="eastAsia" w:ascii="仿宋" w:hAnsi="仿宋" w:eastAsia="仿宋" w:cs="仿宋"/>
                <w:sz w:val="28"/>
                <w:szCs w:val="28"/>
              </w:rPr>
            </w:pPr>
          </w:p>
        </w:tc>
        <w:tc>
          <w:tcPr>
            <w:tcW w:w="3862" w:type="dxa"/>
            <w:vMerge w:val="continue"/>
            <w:vAlign w:val="center"/>
          </w:tcPr>
          <w:p>
            <w:pPr>
              <w:spacing w:line="360" w:lineRule="auto"/>
              <w:ind w:firstLine="560" w:firstLineChars="200"/>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w:t>
            </w:r>
          </w:p>
        </w:tc>
        <w:tc>
          <w:tcPr>
            <w:tcW w:w="2268" w:type="dxa"/>
            <w:vMerge w:val="continue"/>
            <w:vAlign w:val="center"/>
          </w:tcPr>
          <w:p>
            <w:pPr>
              <w:spacing w:line="360" w:lineRule="auto"/>
              <w:ind w:firstLine="560" w:firstLineChars="200"/>
              <w:rPr>
                <w:rFonts w:hint="eastAsia" w:ascii="仿宋" w:hAnsi="仿宋" w:eastAsia="仿宋" w:cs="仿宋"/>
                <w:sz w:val="28"/>
                <w:szCs w:val="28"/>
              </w:rPr>
            </w:pPr>
          </w:p>
        </w:tc>
        <w:tc>
          <w:tcPr>
            <w:tcW w:w="3862" w:type="dxa"/>
            <w:vMerge w:val="continue"/>
            <w:vAlign w:val="center"/>
          </w:tcPr>
          <w:p>
            <w:pPr>
              <w:spacing w:line="360" w:lineRule="auto"/>
              <w:ind w:firstLine="560" w:firstLineChars="200"/>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视觉单元</w:t>
            </w:r>
          </w:p>
        </w:tc>
        <w:tc>
          <w:tcPr>
            <w:tcW w:w="3862"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输送皮带运行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w:t>
            </w:r>
          </w:p>
        </w:tc>
        <w:tc>
          <w:tcPr>
            <w:tcW w:w="2268" w:type="dxa"/>
            <w:vMerge w:val="restart"/>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检测单元</w:t>
            </w:r>
          </w:p>
        </w:tc>
        <w:tc>
          <w:tcPr>
            <w:tcW w:w="3862" w:type="dxa"/>
            <w:vMerge w:val="restart"/>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分度盘手动控制运动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w:t>
            </w:r>
          </w:p>
        </w:tc>
        <w:tc>
          <w:tcPr>
            <w:tcW w:w="2268" w:type="dxa"/>
            <w:vMerge w:val="continue"/>
            <w:vAlign w:val="center"/>
          </w:tcPr>
          <w:p>
            <w:pPr>
              <w:spacing w:line="360" w:lineRule="auto"/>
              <w:ind w:firstLine="560" w:firstLineChars="200"/>
              <w:rPr>
                <w:rFonts w:hint="eastAsia" w:ascii="仿宋" w:hAnsi="仿宋" w:eastAsia="仿宋" w:cs="仿宋"/>
                <w:sz w:val="28"/>
                <w:szCs w:val="28"/>
              </w:rPr>
            </w:pPr>
          </w:p>
        </w:tc>
        <w:tc>
          <w:tcPr>
            <w:tcW w:w="3862" w:type="dxa"/>
            <w:vMerge w:val="continue"/>
            <w:vAlign w:val="center"/>
          </w:tcPr>
          <w:p>
            <w:pPr>
              <w:spacing w:line="360" w:lineRule="auto"/>
              <w:ind w:firstLine="560" w:firstLineChars="200"/>
              <w:rPr>
                <w:rFonts w:hint="eastAsia" w:ascii="仿宋" w:hAnsi="仿宋" w:eastAsia="仿宋" w:cs="仿宋"/>
                <w:sz w:val="28"/>
                <w:szCs w:val="28"/>
              </w:rPr>
            </w:pPr>
          </w:p>
        </w:tc>
      </w:tr>
    </w:tbl>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（3）订单界面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手动控制界面如下图11所示。图示仅供参考，图示中的数据仅供参考。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6299200" cy="3693795"/>
            <wp:effectExtent l="0" t="0" r="10160" b="9525"/>
            <wp:docPr id="4" name="图片 4"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png1"/>
                    <pic:cNvPicPr>
                      <a:picLocks noChangeAspect="1" noChangeArrowheads="1"/>
                    </pic:cNvPicPr>
                  </pic:nvPicPr>
                  <pic:blipFill>
                    <a:blip r:embed="rId17"/>
                    <a:srcRect/>
                    <a:stretch>
                      <a:fillRect/>
                    </a:stretch>
                  </pic:blipFill>
                  <pic:spPr>
                    <a:xfrm>
                      <a:off x="0" y="0"/>
                      <a:ext cx="6299200" cy="3693795"/>
                    </a:xfrm>
                    <a:prstGeom prst="rect">
                      <a:avLst/>
                    </a:prstGeom>
                    <a:noFill/>
                    <a:ln>
                      <a:noFill/>
                    </a:ln>
                  </pic:spPr>
                </pic:pic>
              </a:graphicData>
            </a:graphic>
          </wp:inline>
        </w:drawing>
      </w:r>
    </w:p>
    <w:p>
      <w:pPr>
        <w:pStyle w:val="4"/>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1 订单界面</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功能交互要求：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①对页面控件进行布局和开发，可以实现对</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REF _Ref85553801 \h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表 </w:t>
      </w:r>
      <w:r>
        <w:rPr>
          <w:rFonts w:hint="eastAsia" w:ascii="仿宋" w:hAnsi="仿宋" w:eastAsia="仿宋" w:cs="仿宋"/>
          <w:sz w:val="28"/>
          <w:szCs w:val="28"/>
        </w:rPr>
        <w:fldChar w:fldCharType="end"/>
      </w:r>
      <w:r>
        <w:rPr>
          <w:rFonts w:hint="eastAsia" w:ascii="仿宋" w:hAnsi="仿宋" w:eastAsia="仿宋" w:cs="仿宋"/>
          <w:sz w:val="28"/>
          <w:szCs w:val="28"/>
        </w:rPr>
        <w:t>3中所示参数进行监控。</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②点击“主画面”按钮，系统返回至欢迎界面。</w:t>
      </w:r>
    </w:p>
    <w:p>
      <w:pPr>
        <w:spacing w:line="360" w:lineRule="auto"/>
        <w:ind w:firstLine="2520" w:firstLineChars="900"/>
        <w:rPr>
          <w:rFonts w:hint="eastAsia" w:ascii="仿宋" w:hAnsi="仿宋" w:eastAsia="仿宋" w:cs="仿宋"/>
          <w:sz w:val="28"/>
          <w:szCs w:val="28"/>
        </w:rPr>
      </w:pPr>
      <w:r>
        <w:rPr>
          <w:rFonts w:hint="eastAsia" w:ascii="仿宋" w:hAnsi="仿宋" w:eastAsia="仿宋" w:cs="仿宋"/>
          <w:sz w:val="28"/>
          <w:szCs w:val="28"/>
        </w:rPr>
        <w:t xml:space="preserve">表 </w:t>
      </w:r>
      <w:r>
        <w:rPr>
          <w:rFonts w:hint="eastAsia" w:ascii="仿宋" w:hAnsi="仿宋" w:eastAsia="仿宋" w:cs="仿宋"/>
          <w:sz w:val="28"/>
          <w:szCs w:val="28"/>
          <w:lang w:val="en-US" w:eastAsia="zh-CN"/>
        </w:rPr>
        <w:t xml:space="preserve">2 </w:t>
      </w:r>
      <w:r>
        <w:rPr>
          <w:rFonts w:hint="eastAsia" w:ascii="仿宋" w:hAnsi="仿宋" w:eastAsia="仿宋" w:cs="仿宋"/>
          <w:sz w:val="28"/>
          <w:szCs w:val="28"/>
        </w:rPr>
        <w:t xml:space="preserve"> 订单参数列表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268"/>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Align w:val="center"/>
          </w:tcPr>
          <w:p>
            <w:pPr>
              <w:spacing w:line="360" w:lineRule="auto"/>
              <w:rPr>
                <w:rFonts w:hint="eastAsia" w:ascii="仿宋" w:hAnsi="仿宋" w:eastAsia="仿宋" w:cs="仿宋"/>
                <w:sz w:val="28"/>
                <w:szCs w:val="28"/>
              </w:rPr>
            </w:pPr>
            <w:r>
              <w:rPr>
                <w:rFonts w:hint="eastAsia" w:ascii="仿宋" w:hAnsi="仿宋" w:eastAsia="仿宋" w:cs="仿宋"/>
                <w:sz w:val="28"/>
                <w:szCs w:val="28"/>
              </w:rPr>
              <w:t>序号</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单元</w:t>
            </w:r>
          </w:p>
        </w:tc>
        <w:tc>
          <w:tcPr>
            <w:tcW w:w="4362"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参数项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p>
        </w:tc>
        <w:tc>
          <w:tcPr>
            <w:tcW w:w="2268"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工艺流程</w:t>
            </w:r>
          </w:p>
        </w:tc>
        <w:tc>
          <w:tcPr>
            <w:tcW w:w="4362" w:type="dxa"/>
            <w:vAlign w:val="center"/>
          </w:tcPr>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创建完整的生产工艺流程图并用绿色方框表示当前运行工艺</w:t>
            </w:r>
          </w:p>
        </w:tc>
      </w:tr>
    </w:tbl>
    <w:p>
      <w:pPr>
        <w:spacing w:line="360" w:lineRule="auto"/>
        <w:rPr>
          <w:rFonts w:hint="eastAsia" w:ascii="仿宋" w:hAnsi="仿宋" w:eastAsia="仿宋" w:cs="仿宋"/>
          <w:sz w:val="28"/>
          <w:szCs w:val="28"/>
        </w:rPr>
      </w:pPr>
    </w:p>
    <w:p>
      <w:pPr>
        <w:spacing w:line="360" w:lineRule="auto"/>
        <w:ind w:firstLine="562" w:firstLineChars="200"/>
        <w:rPr>
          <w:rFonts w:hint="eastAsia" w:ascii="仿宋" w:hAnsi="仿宋" w:eastAsia="仿宋" w:cs="仿宋"/>
          <w:b/>
          <w:bCs/>
          <w:sz w:val="28"/>
          <w:szCs w:val="28"/>
        </w:rPr>
      </w:pP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任务六 职业素养</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在竞赛过程中，从设备操作的规范性、装配耗材使用的合理性、专用工具的操作及安全生产的认识程度等方面对参赛选手进行综合评价。</w:t>
      </w:r>
    </w:p>
    <w:p>
      <w:pPr>
        <w:spacing w:line="360" w:lineRule="auto"/>
        <w:rPr>
          <w:rFonts w:hint="eastAsia" w:ascii="仿宋" w:hAnsi="仿宋" w:eastAsia="仿宋" w:cs="仿宋"/>
          <w:sz w:val="28"/>
          <w:szCs w:val="28"/>
        </w:rPr>
      </w:pPr>
    </w:p>
    <w:p>
      <w:pPr>
        <w:spacing w:line="360" w:lineRule="auto"/>
        <w:rPr>
          <w:rFonts w:hint="eastAsia" w:ascii="仿宋" w:hAnsi="仿宋" w:eastAsia="仿宋" w:cs="仿宋"/>
          <w:sz w:val="28"/>
          <w:szCs w:val="28"/>
        </w:rPr>
      </w:pPr>
    </w:p>
    <w:p>
      <w:pPr>
        <w:spacing w:line="360" w:lineRule="auto"/>
        <w:rPr>
          <w:rFonts w:hint="eastAsia" w:ascii="仿宋" w:hAnsi="仿宋" w:eastAsia="仿宋" w:cs="仿宋"/>
          <w:sz w:val="28"/>
          <w:szCs w:val="28"/>
        </w:rPr>
      </w:pPr>
      <w:r>
        <w:rPr>
          <w:rFonts w:hint="eastAsia" w:ascii="仿宋" w:hAnsi="仿宋" w:eastAsia="仿宋" w:cs="仿宋"/>
          <w:sz w:val="28"/>
          <w:szCs w:val="28"/>
        </w:rPr>
        <w:t>附一系统布局方案</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88305" cy="7765415"/>
            <wp:effectExtent l="0" t="0" r="17145" b="698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18"/>
                    <a:stretch>
                      <a:fillRect/>
                    </a:stretch>
                  </pic:blipFill>
                  <pic:spPr>
                    <a:xfrm>
                      <a:off x="0" y="0"/>
                      <a:ext cx="5488305" cy="776541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附二控制系统方案</w:t>
      </w:r>
    </w:p>
    <w:p>
      <w:pPr>
        <w:rPr>
          <w:sz w:val="20"/>
          <w:szCs w:val="20"/>
        </w:rPr>
        <w:sectPr>
          <w:footerReference r:id="rId5" w:type="first"/>
          <w:headerReference r:id="rId3" w:type="default"/>
          <w:footerReference r:id="rId4" w:type="default"/>
          <w:pgSz w:w="11906" w:h="16838"/>
          <w:pgMar w:top="1417" w:right="1417" w:bottom="1417" w:left="1587" w:header="567" w:footer="510" w:gutter="0"/>
          <w:cols w:space="720" w:num="1"/>
          <w:titlePg/>
        </w:sectPr>
      </w:pPr>
      <w:r>
        <w:drawing>
          <wp:inline distT="0" distB="0" distL="114300" distR="114300">
            <wp:extent cx="5739765" cy="8120380"/>
            <wp:effectExtent l="0" t="0" r="13335" b="13970"/>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9"/>
                    <a:stretch>
                      <a:fillRect/>
                    </a:stretch>
                  </pic:blipFill>
                  <pic:spPr>
                    <a:xfrm>
                      <a:off x="0" y="0"/>
                      <a:ext cx="5739765" cy="8120380"/>
                    </a:xfrm>
                    <a:prstGeom prst="rect">
                      <a:avLst/>
                    </a:prstGeom>
                  </pic:spPr>
                </pic:pic>
              </a:graphicData>
            </a:graphic>
          </wp:inline>
        </w:drawing>
      </w:r>
    </w:p>
    <w:p>
      <w:pPr>
        <w:spacing w:line="360" w:lineRule="auto"/>
        <w:rPr>
          <w:rFonts w:ascii="宋体" w:hAnsi="宋体"/>
          <w:spacing w:val="-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GB2312">
    <w:altName w:val="仿宋"/>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560" w:lineRule="exact"/>
      <w:jc w:val="left"/>
      <w:outlineLvl w:val="0"/>
      <w:rPr>
        <w:rFonts w:ascii="仿宋GB2312" w:hAnsi="仿宋GB2312" w:eastAsia="仿宋GB2312" w:cs="仿宋GB2312"/>
        <w:b/>
        <w:bCs/>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LQ0MjAxMbE0NrQwtzBS0lEKTi0uzszPAykwrAUAr4QqkCwAAAA="/>
    <w:docVar w:name="commondata" w:val="eyJoZGlkIjoiOWE4MDk1YjBhMzJjMWFiNTZjMGJkYmQyZmRkZTg4YmMifQ=="/>
  </w:docVars>
  <w:rsids>
    <w:rsidRoot w:val="00172A27"/>
    <w:rsid w:val="00006EFC"/>
    <w:rsid w:val="00030E61"/>
    <w:rsid w:val="0003464A"/>
    <w:rsid w:val="00042E6B"/>
    <w:rsid w:val="0007150E"/>
    <w:rsid w:val="000A52CD"/>
    <w:rsid w:val="000D489E"/>
    <w:rsid w:val="0015405F"/>
    <w:rsid w:val="001631C3"/>
    <w:rsid w:val="00172A27"/>
    <w:rsid w:val="001C6B4A"/>
    <w:rsid w:val="001C7BE5"/>
    <w:rsid w:val="001E33A4"/>
    <w:rsid w:val="001E439C"/>
    <w:rsid w:val="0024580F"/>
    <w:rsid w:val="002464D2"/>
    <w:rsid w:val="002840F5"/>
    <w:rsid w:val="002954A5"/>
    <w:rsid w:val="002A1E56"/>
    <w:rsid w:val="002B6632"/>
    <w:rsid w:val="002E2A59"/>
    <w:rsid w:val="002F7BB1"/>
    <w:rsid w:val="00331629"/>
    <w:rsid w:val="00371D52"/>
    <w:rsid w:val="003C4AA6"/>
    <w:rsid w:val="004261A7"/>
    <w:rsid w:val="00436D0E"/>
    <w:rsid w:val="0045126A"/>
    <w:rsid w:val="00497197"/>
    <w:rsid w:val="004A60C1"/>
    <w:rsid w:val="004E6F47"/>
    <w:rsid w:val="004E7A05"/>
    <w:rsid w:val="004F1F42"/>
    <w:rsid w:val="004F5EF6"/>
    <w:rsid w:val="00502D63"/>
    <w:rsid w:val="00530E3E"/>
    <w:rsid w:val="005658F6"/>
    <w:rsid w:val="005727F9"/>
    <w:rsid w:val="00582233"/>
    <w:rsid w:val="005D17C2"/>
    <w:rsid w:val="005F2550"/>
    <w:rsid w:val="0060058A"/>
    <w:rsid w:val="006208D8"/>
    <w:rsid w:val="00626701"/>
    <w:rsid w:val="00650214"/>
    <w:rsid w:val="00674C69"/>
    <w:rsid w:val="00685955"/>
    <w:rsid w:val="006C7593"/>
    <w:rsid w:val="00711D66"/>
    <w:rsid w:val="007309B2"/>
    <w:rsid w:val="00736958"/>
    <w:rsid w:val="00750137"/>
    <w:rsid w:val="00756185"/>
    <w:rsid w:val="0078612A"/>
    <w:rsid w:val="007A41C4"/>
    <w:rsid w:val="007A7548"/>
    <w:rsid w:val="007B2366"/>
    <w:rsid w:val="007E28CE"/>
    <w:rsid w:val="0080011B"/>
    <w:rsid w:val="00827F14"/>
    <w:rsid w:val="00880E18"/>
    <w:rsid w:val="008A0B6A"/>
    <w:rsid w:val="008C4B44"/>
    <w:rsid w:val="008F58C3"/>
    <w:rsid w:val="00910C06"/>
    <w:rsid w:val="00986627"/>
    <w:rsid w:val="009B726F"/>
    <w:rsid w:val="009C490E"/>
    <w:rsid w:val="009D790B"/>
    <w:rsid w:val="009E6787"/>
    <w:rsid w:val="009F0885"/>
    <w:rsid w:val="00A0657A"/>
    <w:rsid w:val="00A1410C"/>
    <w:rsid w:val="00A24F43"/>
    <w:rsid w:val="00A26525"/>
    <w:rsid w:val="00A708F0"/>
    <w:rsid w:val="00A729DD"/>
    <w:rsid w:val="00A81023"/>
    <w:rsid w:val="00A914C0"/>
    <w:rsid w:val="00AA317B"/>
    <w:rsid w:val="00B151F5"/>
    <w:rsid w:val="00B22AD5"/>
    <w:rsid w:val="00B26018"/>
    <w:rsid w:val="00B30E46"/>
    <w:rsid w:val="00B411BD"/>
    <w:rsid w:val="00B511B5"/>
    <w:rsid w:val="00BE304D"/>
    <w:rsid w:val="00BE4E6D"/>
    <w:rsid w:val="00BF010F"/>
    <w:rsid w:val="00C0408C"/>
    <w:rsid w:val="00C12D39"/>
    <w:rsid w:val="00C206D7"/>
    <w:rsid w:val="00C37164"/>
    <w:rsid w:val="00C40BE1"/>
    <w:rsid w:val="00C94509"/>
    <w:rsid w:val="00C96F7C"/>
    <w:rsid w:val="00CC75C4"/>
    <w:rsid w:val="00D106DA"/>
    <w:rsid w:val="00D44C95"/>
    <w:rsid w:val="00D46E1F"/>
    <w:rsid w:val="00D561C9"/>
    <w:rsid w:val="00D56BEE"/>
    <w:rsid w:val="00D6267F"/>
    <w:rsid w:val="00D666A3"/>
    <w:rsid w:val="00D748CA"/>
    <w:rsid w:val="00DB1352"/>
    <w:rsid w:val="00DC6836"/>
    <w:rsid w:val="00DE751A"/>
    <w:rsid w:val="00E02B0D"/>
    <w:rsid w:val="00E16619"/>
    <w:rsid w:val="00E32CDB"/>
    <w:rsid w:val="00EA348F"/>
    <w:rsid w:val="00EB4088"/>
    <w:rsid w:val="00F664A4"/>
    <w:rsid w:val="00F74CBF"/>
    <w:rsid w:val="00F8350F"/>
    <w:rsid w:val="00FA0137"/>
    <w:rsid w:val="00FA0CFC"/>
    <w:rsid w:val="00FF16FC"/>
    <w:rsid w:val="015E6D81"/>
    <w:rsid w:val="01A22C9B"/>
    <w:rsid w:val="029022DA"/>
    <w:rsid w:val="03C02980"/>
    <w:rsid w:val="04891753"/>
    <w:rsid w:val="04A42031"/>
    <w:rsid w:val="04D455EE"/>
    <w:rsid w:val="0506080F"/>
    <w:rsid w:val="05104EFB"/>
    <w:rsid w:val="05EE19D9"/>
    <w:rsid w:val="05F26D35"/>
    <w:rsid w:val="05F5729B"/>
    <w:rsid w:val="063751C5"/>
    <w:rsid w:val="06C90B9A"/>
    <w:rsid w:val="070870A3"/>
    <w:rsid w:val="075065BC"/>
    <w:rsid w:val="0857677B"/>
    <w:rsid w:val="08895637"/>
    <w:rsid w:val="09DE77EC"/>
    <w:rsid w:val="0B36516B"/>
    <w:rsid w:val="0B4D67FA"/>
    <w:rsid w:val="0BC23ACE"/>
    <w:rsid w:val="0C8E52A2"/>
    <w:rsid w:val="0DA557C0"/>
    <w:rsid w:val="0DDA7F6D"/>
    <w:rsid w:val="0E0E69E3"/>
    <w:rsid w:val="0F477A0E"/>
    <w:rsid w:val="0F562427"/>
    <w:rsid w:val="0FE803E1"/>
    <w:rsid w:val="0FFE1C42"/>
    <w:rsid w:val="104C25DE"/>
    <w:rsid w:val="10854CF3"/>
    <w:rsid w:val="11420A86"/>
    <w:rsid w:val="124774A6"/>
    <w:rsid w:val="130C0647"/>
    <w:rsid w:val="133264F0"/>
    <w:rsid w:val="14463094"/>
    <w:rsid w:val="15240DC1"/>
    <w:rsid w:val="15D67CEC"/>
    <w:rsid w:val="16217EF8"/>
    <w:rsid w:val="163A00F1"/>
    <w:rsid w:val="17AA47D8"/>
    <w:rsid w:val="17E040B4"/>
    <w:rsid w:val="17F9116C"/>
    <w:rsid w:val="18997372"/>
    <w:rsid w:val="1AE8316B"/>
    <w:rsid w:val="1B5C376E"/>
    <w:rsid w:val="1BC46717"/>
    <w:rsid w:val="1BCD775A"/>
    <w:rsid w:val="1C11470D"/>
    <w:rsid w:val="1C625389"/>
    <w:rsid w:val="1CA141B6"/>
    <w:rsid w:val="1CE87F6D"/>
    <w:rsid w:val="1E153483"/>
    <w:rsid w:val="1E5E0AAE"/>
    <w:rsid w:val="1EA30447"/>
    <w:rsid w:val="1EDB1C0F"/>
    <w:rsid w:val="1F0A4DEF"/>
    <w:rsid w:val="1F4D2C36"/>
    <w:rsid w:val="1F74282A"/>
    <w:rsid w:val="1F9D5C11"/>
    <w:rsid w:val="1FA379FD"/>
    <w:rsid w:val="201B6615"/>
    <w:rsid w:val="21574F75"/>
    <w:rsid w:val="21C12A5E"/>
    <w:rsid w:val="22857C7E"/>
    <w:rsid w:val="22C43737"/>
    <w:rsid w:val="22EC5A11"/>
    <w:rsid w:val="22F826C9"/>
    <w:rsid w:val="23403264"/>
    <w:rsid w:val="23835C42"/>
    <w:rsid w:val="23EE6559"/>
    <w:rsid w:val="242F693E"/>
    <w:rsid w:val="2455087A"/>
    <w:rsid w:val="257E2DBE"/>
    <w:rsid w:val="279B77A5"/>
    <w:rsid w:val="28113B79"/>
    <w:rsid w:val="28F1105D"/>
    <w:rsid w:val="29296D7A"/>
    <w:rsid w:val="29AC01CF"/>
    <w:rsid w:val="2B287649"/>
    <w:rsid w:val="2BCD4F92"/>
    <w:rsid w:val="2C092328"/>
    <w:rsid w:val="2CA836DA"/>
    <w:rsid w:val="2D1C1861"/>
    <w:rsid w:val="2D470A42"/>
    <w:rsid w:val="2D6D37D3"/>
    <w:rsid w:val="2E661AFC"/>
    <w:rsid w:val="2EB93762"/>
    <w:rsid w:val="2EC4290F"/>
    <w:rsid w:val="2F0B5FC1"/>
    <w:rsid w:val="2FD627B9"/>
    <w:rsid w:val="30834767"/>
    <w:rsid w:val="3235132B"/>
    <w:rsid w:val="324B7E0C"/>
    <w:rsid w:val="3452757B"/>
    <w:rsid w:val="347B09E4"/>
    <w:rsid w:val="36532496"/>
    <w:rsid w:val="374B4D9C"/>
    <w:rsid w:val="3800617E"/>
    <w:rsid w:val="38006916"/>
    <w:rsid w:val="380A49F0"/>
    <w:rsid w:val="38200CB7"/>
    <w:rsid w:val="385D3665"/>
    <w:rsid w:val="3C5F7DD3"/>
    <w:rsid w:val="3C79513C"/>
    <w:rsid w:val="3D361BF6"/>
    <w:rsid w:val="3DC1717A"/>
    <w:rsid w:val="3DFF1B5E"/>
    <w:rsid w:val="3E1B5B99"/>
    <w:rsid w:val="3E3A5461"/>
    <w:rsid w:val="3E622012"/>
    <w:rsid w:val="3E966E85"/>
    <w:rsid w:val="3F472F46"/>
    <w:rsid w:val="3F8C6726"/>
    <w:rsid w:val="3FAE18D4"/>
    <w:rsid w:val="3FE16660"/>
    <w:rsid w:val="3FFB2E84"/>
    <w:rsid w:val="40064F4C"/>
    <w:rsid w:val="404E6916"/>
    <w:rsid w:val="413C2FFF"/>
    <w:rsid w:val="41C61E05"/>
    <w:rsid w:val="42A935A6"/>
    <w:rsid w:val="42CC2858"/>
    <w:rsid w:val="42EC17BD"/>
    <w:rsid w:val="42FC0CF0"/>
    <w:rsid w:val="43477BD7"/>
    <w:rsid w:val="44800519"/>
    <w:rsid w:val="448C0200"/>
    <w:rsid w:val="45C6290F"/>
    <w:rsid w:val="45EC0BD2"/>
    <w:rsid w:val="461861B6"/>
    <w:rsid w:val="462F37F3"/>
    <w:rsid w:val="47014F69"/>
    <w:rsid w:val="48E907C3"/>
    <w:rsid w:val="48F57C1E"/>
    <w:rsid w:val="4916418A"/>
    <w:rsid w:val="492B6C99"/>
    <w:rsid w:val="49497CB2"/>
    <w:rsid w:val="49711B8C"/>
    <w:rsid w:val="4B3A73C9"/>
    <w:rsid w:val="4C42254F"/>
    <w:rsid w:val="4CAE5FA7"/>
    <w:rsid w:val="4CC67496"/>
    <w:rsid w:val="4CE242DE"/>
    <w:rsid w:val="4D03728A"/>
    <w:rsid w:val="4D197AA7"/>
    <w:rsid w:val="4DF56FD2"/>
    <w:rsid w:val="4F2F541E"/>
    <w:rsid w:val="50E155F5"/>
    <w:rsid w:val="50F0113A"/>
    <w:rsid w:val="512211C7"/>
    <w:rsid w:val="52BA7D45"/>
    <w:rsid w:val="5414552F"/>
    <w:rsid w:val="54584E8A"/>
    <w:rsid w:val="54F1107D"/>
    <w:rsid w:val="550E1199"/>
    <w:rsid w:val="55CE23A2"/>
    <w:rsid w:val="568670AF"/>
    <w:rsid w:val="571C7D45"/>
    <w:rsid w:val="5725441C"/>
    <w:rsid w:val="578816B4"/>
    <w:rsid w:val="579E0696"/>
    <w:rsid w:val="57AE5C6E"/>
    <w:rsid w:val="58751850"/>
    <w:rsid w:val="59236D98"/>
    <w:rsid w:val="5929108E"/>
    <w:rsid w:val="59C16F2E"/>
    <w:rsid w:val="5B146665"/>
    <w:rsid w:val="5B8D5791"/>
    <w:rsid w:val="5B8E2D62"/>
    <w:rsid w:val="5DE567C7"/>
    <w:rsid w:val="5EE3408D"/>
    <w:rsid w:val="60964D6F"/>
    <w:rsid w:val="61131030"/>
    <w:rsid w:val="61702390"/>
    <w:rsid w:val="622B34B9"/>
    <w:rsid w:val="63C41D17"/>
    <w:rsid w:val="63E96738"/>
    <w:rsid w:val="64220F29"/>
    <w:rsid w:val="64926C40"/>
    <w:rsid w:val="64F80FC0"/>
    <w:rsid w:val="65324E5D"/>
    <w:rsid w:val="66A00A23"/>
    <w:rsid w:val="66DC074F"/>
    <w:rsid w:val="677C6C31"/>
    <w:rsid w:val="68B45814"/>
    <w:rsid w:val="68B53A83"/>
    <w:rsid w:val="6AB07BFD"/>
    <w:rsid w:val="6B7B169C"/>
    <w:rsid w:val="6BBC579E"/>
    <w:rsid w:val="6BFA1F1B"/>
    <w:rsid w:val="6C376869"/>
    <w:rsid w:val="6D8323FC"/>
    <w:rsid w:val="6D9212EE"/>
    <w:rsid w:val="6DEC788D"/>
    <w:rsid w:val="6DFA188D"/>
    <w:rsid w:val="6E1262BE"/>
    <w:rsid w:val="6E1B7E4D"/>
    <w:rsid w:val="6EF95745"/>
    <w:rsid w:val="6F257408"/>
    <w:rsid w:val="6F712A8D"/>
    <w:rsid w:val="6F9B05FD"/>
    <w:rsid w:val="6FC26DA3"/>
    <w:rsid w:val="706354B4"/>
    <w:rsid w:val="70F225B7"/>
    <w:rsid w:val="714D57A1"/>
    <w:rsid w:val="71B8033A"/>
    <w:rsid w:val="724F11E3"/>
    <w:rsid w:val="73056130"/>
    <w:rsid w:val="731E1907"/>
    <w:rsid w:val="73F87AB0"/>
    <w:rsid w:val="74350170"/>
    <w:rsid w:val="748B6180"/>
    <w:rsid w:val="759F327C"/>
    <w:rsid w:val="75BA4A98"/>
    <w:rsid w:val="760024E0"/>
    <w:rsid w:val="766F0D6F"/>
    <w:rsid w:val="77F9519F"/>
    <w:rsid w:val="79AC1407"/>
    <w:rsid w:val="79C26BFB"/>
    <w:rsid w:val="79D14E9C"/>
    <w:rsid w:val="7A7B3747"/>
    <w:rsid w:val="7A987758"/>
    <w:rsid w:val="7B0046C3"/>
    <w:rsid w:val="7B84695E"/>
    <w:rsid w:val="7D0F0CEB"/>
    <w:rsid w:val="7EC05E9B"/>
    <w:rsid w:val="7EF72F16"/>
    <w:rsid w:val="7EF95B73"/>
    <w:rsid w:val="7F361A4E"/>
    <w:rsid w:val="7F416F5C"/>
    <w:rsid w:val="7FAD0999"/>
    <w:rsid w:val="7FF71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2"/>
    <w:pPr>
      <w:keepNext/>
      <w:keepLines/>
      <w:jc w:val="center"/>
      <w:outlineLvl w:val="0"/>
    </w:pPr>
    <w:rPr>
      <w:rFonts w:eastAsia="黑体"/>
      <w:bCs/>
      <w:kern w:val="44"/>
      <w:sz w:val="32"/>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19"/>
    <w:unhideWhenUsed/>
    <w:qFormat/>
    <w:uiPriority w:val="99"/>
    <w:pPr>
      <w:jc w:val="left"/>
    </w:pPr>
  </w:style>
  <w:style w:type="paragraph" w:styleId="6">
    <w:name w:val="Balloon Text"/>
    <w:basedOn w:val="1"/>
    <w:link w:val="16"/>
    <w:semiHidden/>
    <w:unhideWhenUsed/>
    <w:qFormat/>
    <w:uiPriority w:val="99"/>
    <w:rPr>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itle"/>
    <w:next w:val="1"/>
    <w:qFormat/>
    <w:uiPriority w:val="99"/>
    <w:pPr>
      <w:adjustRightInd w:val="0"/>
      <w:snapToGrid w:val="0"/>
      <w:spacing w:before="326" w:beforeLines="100" w:after="326" w:afterLines="100"/>
      <w:jc w:val="center"/>
    </w:pPr>
    <w:rPr>
      <w:rFonts w:ascii="Times New Roman" w:hAnsi="Times New Roman" w:eastAsia="黑体" w:cstheme="majorBidi"/>
      <w:bCs/>
      <w:kern w:val="2"/>
      <w:sz w:val="36"/>
      <w:szCs w:val="32"/>
      <w:lang w:val="en-US" w:eastAsia="zh-CN" w:bidi="ar-SA"/>
    </w:rPr>
  </w:style>
  <w:style w:type="paragraph" w:styleId="10">
    <w:name w:val="annotation subject"/>
    <w:basedOn w:val="5"/>
    <w:next w:val="5"/>
    <w:link w:val="20"/>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semiHidden/>
    <w:unhideWhenUsed/>
    <w:qFormat/>
    <w:uiPriority w:val="99"/>
    <w:rPr>
      <w:sz w:val="21"/>
      <w:szCs w:val="21"/>
    </w:rPr>
  </w:style>
  <w:style w:type="paragraph" w:styleId="15">
    <w:name w:val="List Paragraph"/>
    <w:basedOn w:val="1"/>
    <w:qFormat/>
    <w:uiPriority w:val="99"/>
    <w:pPr>
      <w:ind w:firstLine="420" w:firstLineChars="200"/>
    </w:pPr>
  </w:style>
  <w:style w:type="character" w:customStyle="1" w:styleId="16">
    <w:name w:val="批注框文本 字符"/>
    <w:basedOn w:val="13"/>
    <w:link w:val="6"/>
    <w:semiHidden/>
    <w:qFormat/>
    <w:uiPriority w:val="99"/>
    <w:rPr>
      <w:rFonts w:ascii="Calibri" w:hAnsi="Calibri" w:eastAsia="宋体" w:cs="Times New Roman"/>
      <w:kern w:val="2"/>
      <w:sz w:val="18"/>
      <w:szCs w:val="18"/>
    </w:rPr>
  </w:style>
  <w:style w:type="paragraph" w:customStyle="1" w:styleId="17">
    <w:name w:val="表"/>
    <w:qFormat/>
    <w:uiPriority w:val="7"/>
    <w:pPr>
      <w:spacing w:line="300" w:lineRule="exact"/>
      <w:jc w:val="center"/>
    </w:pPr>
    <w:rPr>
      <w:rFonts w:ascii="Times New Roman" w:hAnsi="Times New Roman" w:eastAsia="仿宋_GB2312" w:cs="Times New Roman"/>
      <w:kern w:val="2"/>
      <w:sz w:val="24"/>
      <w:szCs w:val="22"/>
      <w:lang w:val="en-US" w:eastAsia="zh-CN" w:bidi="ar-SA"/>
    </w:rPr>
  </w:style>
  <w:style w:type="character" w:customStyle="1" w:styleId="18">
    <w:name w:val="标题 2 字符"/>
    <w:basedOn w:val="13"/>
    <w:link w:val="3"/>
    <w:qFormat/>
    <w:uiPriority w:val="9"/>
    <w:rPr>
      <w:rFonts w:asciiTheme="majorHAnsi" w:hAnsiTheme="majorHAnsi" w:eastAsiaTheme="majorEastAsia" w:cstheme="majorBidi"/>
      <w:b/>
      <w:bCs/>
      <w:kern w:val="2"/>
      <w:sz w:val="32"/>
      <w:szCs w:val="32"/>
    </w:rPr>
  </w:style>
  <w:style w:type="character" w:customStyle="1" w:styleId="19">
    <w:name w:val="批注文字 字符"/>
    <w:basedOn w:val="13"/>
    <w:link w:val="5"/>
    <w:qFormat/>
    <w:uiPriority w:val="99"/>
    <w:rPr>
      <w:rFonts w:ascii="Calibri" w:hAnsi="Calibri"/>
      <w:kern w:val="2"/>
      <w:sz w:val="21"/>
      <w:szCs w:val="22"/>
    </w:rPr>
  </w:style>
  <w:style w:type="character" w:customStyle="1" w:styleId="20">
    <w:name w:val="批注主题 字符"/>
    <w:basedOn w:val="19"/>
    <w:link w:val="10"/>
    <w:semiHidden/>
    <w:qFormat/>
    <w:uiPriority w:val="99"/>
    <w:rPr>
      <w:rFonts w:ascii="Calibri" w:hAnsi="Calibr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C786E7-6E57-41B9-841F-D44F69FDD9B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4072</Words>
  <Characters>4175</Characters>
  <Lines>35</Lines>
  <Paragraphs>9</Paragraphs>
  <TotalTime>2</TotalTime>
  <ScaleCrop>false</ScaleCrop>
  <LinksUpToDate>false</LinksUpToDate>
  <CharactersWithSpaces>4305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2021-10-24T04:49:00Z</dcterms:created>
  <dc:creator>Jackeylu</dc:creator>
  <cp:lastModifiedBy>dq</cp:lastModifiedBy>
  <dcterms:modified xsi:type="dcterms:W3CDTF">2022-08-17T09:17:10Z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0A66E894101140B28CAEFAEC458BF0AA</vt:lpwstr>
  </property>
</Properties>
</file>