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288" w:lineRule="auto"/>
        <w:contextualSpacing/>
        <w:jc w:val="left"/>
        <w:rPr>
          <w:rFonts w:ascii="宋体" w:hAnsi="宋体"/>
          <w:color w:val="000000" w:themeColor="text1"/>
          <w:sz w:val="24"/>
          <w:szCs w:val="24"/>
        </w:rPr>
      </w:pPr>
      <w:r>
        <w:rPr>
          <w:rFonts w:hint="eastAsia" w:ascii="宋体" w:hAnsi="宋体"/>
          <w:color w:val="000000" w:themeColor="text1"/>
          <w:sz w:val="24"/>
          <w:szCs w:val="24"/>
        </w:rPr>
        <w:t>附件一</w:t>
      </w:r>
    </w:p>
    <w:p>
      <w:pPr>
        <w:widowControl/>
        <w:jc w:val="center"/>
        <w:rPr>
          <w:rFonts w:ascii="宋体" w:hAnsi="宋体"/>
          <w:b/>
          <w:color w:val="000000" w:themeColor="text1"/>
          <w:sz w:val="36"/>
          <w:szCs w:val="36"/>
        </w:rPr>
      </w:pPr>
      <w:r>
        <w:rPr>
          <w:rFonts w:hint="eastAsia" w:ascii="宋体" w:hAnsi="宋体"/>
          <w:b/>
          <w:color w:val="000000" w:themeColor="text1"/>
          <w:sz w:val="36"/>
          <w:szCs w:val="36"/>
        </w:rPr>
        <w:t>河北省202</w:t>
      </w:r>
      <w:r>
        <w:rPr>
          <w:rFonts w:hint="eastAsia" w:ascii="宋体" w:hAnsi="宋体"/>
          <w:b/>
          <w:color w:val="000000" w:themeColor="text1"/>
          <w:sz w:val="36"/>
          <w:szCs w:val="36"/>
          <w:lang w:val="en-US" w:eastAsia="zh-CN"/>
        </w:rPr>
        <w:t>3</w:t>
      </w:r>
      <w:r>
        <w:rPr>
          <w:rFonts w:hint="eastAsia" w:ascii="宋体" w:hAnsi="宋体"/>
          <w:b/>
          <w:color w:val="000000" w:themeColor="text1"/>
          <w:sz w:val="36"/>
          <w:szCs w:val="36"/>
        </w:rPr>
        <w:t>年职业院校“电子电路装调与应用”</w:t>
      </w:r>
    </w:p>
    <w:p>
      <w:pPr>
        <w:widowControl/>
        <w:jc w:val="center"/>
        <w:rPr>
          <w:rFonts w:ascii="宋体" w:hAnsi="宋体"/>
          <w:b/>
          <w:color w:val="000000" w:themeColor="text1"/>
          <w:sz w:val="36"/>
          <w:szCs w:val="36"/>
        </w:rPr>
      </w:pPr>
      <w:r>
        <w:rPr>
          <w:rFonts w:hint="eastAsia" w:ascii="宋体" w:hAnsi="宋体"/>
          <w:b/>
          <w:color w:val="000000" w:themeColor="text1"/>
          <w:sz w:val="36"/>
          <w:szCs w:val="36"/>
        </w:rPr>
        <w:t>（中职组）技能大赛暨国赛选拔赛赛项规程</w:t>
      </w:r>
    </w:p>
    <w:p>
      <w:pPr>
        <w:snapToGrid w:val="0"/>
        <w:spacing w:beforeLines="50" w:afterLines="50" w:line="288" w:lineRule="auto"/>
        <w:ind w:firstLine="723" w:firstLineChars="200"/>
        <w:contextualSpacing/>
        <w:jc w:val="center"/>
        <w:rPr>
          <w:rFonts w:ascii="宋体" w:hAnsi="宋体"/>
          <w:b/>
          <w:color w:val="000000" w:themeColor="text1"/>
          <w:sz w:val="36"/>
          <w:szCs w:val="36"/>
        </w:rPr>
      </w:pPr>
    </w:p>
    <w:p>
      <w:pPr>
        <w:snapToGrid w:val="0"/>
        <w:spacing w:beforeLines="50" w:afterLines="50" w:line="560" w:lineRule="exact"/>
        <w:contextualSpacing/>
        <w:outlineLvl w:val="0"/>
        <w:rPr>
          <w:rFonts w:ascii="宋体" w:hAnsi="宋体" w:cs="仿宋"/>
          <w:b/>
          <w:color w:val="000000" w:themeColor="text1"/>
          <w:sz w:val="30"/>
          <w:szCs w:val="30"/>
        </w:rPr>
      </w:pPr>
      <w:r>
        <w:rPr>
          <w:rFonts w:hint="eastAsia" w:ascii="宋体" w:hAnsi="宋体" w:cs="仿宋"/>
          <w:b/>
          <w:color w:val="000000" w:themeColor="text1"/>
          <w:sz w:val="30"/>
          <w:szCs w:val="30"/>
        </w:rPr>
        <w:t>一、</w:t>
      </w:r>
      <w:r>
        <w:rPr>
          <w:rFonts w:ascii="宋体" w:hAnsi="宋体" w:cs="仿宋"/>
          <w:b/>
          <w:color w:val="000000" w:themeColor="text1"/>
          <w:sz w:val="30"/>
          <w:szCs w:val="30"/>
        </w:rPr>
        <w:t xml:space="preserve"> </w:t>
      </w:r>
      <w:r>
        <w:rPr>
          <w:rFonts w:hint="eastAsia" w:ascii="宋体" w:hAnsi="宋体" w:cs="仿宋"/>
          <w:b/>
          <w:color w:val="000000" w:themeColor="text1"/>
          <w:sz w:val="30"/>
          <w:szCs w:val="30"/>
        </w:rPr>
        <w:t>比赛的标准和内容</w:t>
      </w:r>
    </w:p>
    <w:p>
      <w:pPr>
        <w:snapToGrid w:val="0"/>
        <w:spacing w:line="560" w:lineRule="exact"/>
        <w:ind w:firstLine="480" w:firstLineChars="200"/>
        <w:outlineLvl w:val="1"/>
        <w:rPr>
          <w:rFonts w:ascii="宋体" w:hAnsi="宋体" w:cs="宋体"/>
          <w:color w:val="000000" w:themeColor="text1"/>
          <w:sz w:val="24"/>
          <w:szCs w:val="24"/>
        </w:rPr>
      </w:pPr>
      <w:r>
        <w:rPr>
          <w:rFonts w:hint="eastAsia" w:ascii="宋体" w:hAnsi="宋体" w:cs="宋体"/>
          <w:color w:val="000000" w:themeColor="text1"/>
          <w:sz w:val="24"/>
          <w:szCs w:val="24"/>
        </w:rPr>
        <w:t>（一）标准</w:t>
      </w:r>
    </w:p>
    <w:p>
      <w:pPr>
        <w:spacing w:line="490" w:lineRule="exact"/>
        <w:jc w:val="center"/>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表1竞赛相关技术标准</w:t>
      </w:r>
    </w:p>
    <w:tbl>
      <w:tblPr>
        <w:tblStyle w:val="8"/>
        <w:tblW w:w="85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2550"/>
        <w:gridCol w:w="5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rPr>
            </w:pPr>
            <w:r>
              <w:rPr>
                <w:rFonts w:hint="eastAsia" w:ascii="宋体" w:hAnsi="宋体" w:cs="宋体"/>
                <w:color w:val="000000" w:themeColor="text1"/>
                <w:sz w:val="24"/>
              </w:rPr>
              <w:t>序号</w:t>
            </w:r>
          </w:p>
        </w:tc>
        <w:tc>
          <w:tcPr>
            <w:tcW w:w="2550" w:type="dxa"/>
            <w:vAlign w:val="center"/>
          </w:tcPr>
          <w:p>
            <w:pPr>
              <w:snapToGrid w:val="0"/>
              <w:jc w:val="center"/>
              <w:rPr>
                <w:rFonts w:ascii="宋体" w:hAnsi="宋体" w:cs="宋体"/>
                <w:color w:val="000000" w:themeColor="text1"/>
                <w:sz w:val="24"/>
              </w:rPr>
            </w:pPr>
            <w:r>
              <w:rPr>
                <w:rFonts w:hint="eastAsia" w:ascii="宋体" w:hAnsi="宋体" w:cs="宋体"/>
                <w:color w:val="000000" w:themeColor="text1"/>
                <w:sz w:val="24"/>
              </w:rPr>
              <w:t>标  准</w:t>
            </w:r>
          </w:p>
        </w:tc>
        <w:tc>
          <w:tcPr>
            <w:tcW w:w="5298" w:type="dxa"/>
            <w:vAlign w:val="center"/>
          </w:tcPr>
          <w:p>
            <w:pPr>
              <w:snapToGrid w:val="0"/>
              <w:jc w:val="center"/>
              <w:rPr>
                <w:rFonts w:ascii="宋体" w:hAnsi="宋体" w:cs="宋体"/>
                <w:color w:val="000000" w:themeColor="text1"/>
                <w:sz w:val="24"/>
              </w:rPr>
            </w:pPr>
            <w:r>
              <w:rPr>
                <w:rFonts w:hint="eastAsia" w:ascii="宋体" w:hAnsi="宋体" w:cs="宋体"/>
                <w:color w:val="000000" w:themeColor="text1"/>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GB-T 4728</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电气简图用图形符号国家标准汇编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IPC-A-610E-2010</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电子组件的可接受性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GBT 18290-2000</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无焊连接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4</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GBT 19247-2003</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印刷板组装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5</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GBT 19405-2003</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表面安装技术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6" w:type="dxa"/>
            <w:vAlign w:val="center"/>
          </w:tcPr>
          <w:p>
            <w:pPr>
              <w:snapToGrid w:val="0"/>
              <w:jc w:val="center"/>
              <w:rPr>
                <w:rFonts w:ascii="宋体" w:hAnsi="宋体" w:cs="宋体"/>
                <w:color w:val="000000" w:themeColor="text1"/>
                <w:sz w:val="24"/>
                <w:szCs w:val="24"/>
              </w:rPr>
            </w:pPr>
            <w:r>
              <w:rPr>
                <w:rFonts w:hint="eastAsia" w:ascii="宋体" w:hAnsi="宋体" w:cs="宋体"/>
                <w:color w:val="000000" w:themeColor="text1"/>
                <w:sz w:val="24"/>
                <w:szCs w:val="24"/>
              </w:rPr>
              <w:t>6</w:t>
            </w:r>
          </w:p>
        </w:tc>
        <w:tc>
          <w:tcPr>
            <w:tcW w:w="2550"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职业/工种资格</w:t>
            </w:r>
          </w:p>
        </w:tc>
        <w:tc>
          <w:tcPr>
            <w:tcW w:w="5298" w:type="dxa"/>
            <w:vAlign w:val="center"/>
          </w:tcPr>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1.职业编码：6-08-04-02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电子设备装接工国家职业标准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2.职业编码：6-25-01-12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电子产品制版工国家职业标准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3.职业编码：6-25-02-06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半导体分立器件和集成电路装调工国家职业标准</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4.职业编码：6-25-03-00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计算机及外部设备装配调试员国家职业标准</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 xml:space="preserve">5.职业编码：6-26-01-33 </w:t>
            </w:r>
          </w:p>
          <w:p>
            <w:pPr>
              <w:snapToGrid w:val="0"/>
              <w:rPr>
                <w:rFonts w:ascii="宋体" w:hAnsi="宋体" w:cs="宋体"/>
                <w:color w:val="000000" w:themeColor="text1"/>
                <w:sz w:val="24"/>
                <w:szCs w:val="24"/>
              </w:rPr>
            </w:pPr>
            <w:r>
              <w:rPr>
                <w:rFonts w:hint="eastAsia" w:ascii="宋体" w:hAnsi="宋体" w:cs="宋体"/>
                <w:color w:val="000000" w:themeColor="text1"/>
                <w:sz w:val="24"/>
                <w:szCs w:val="24"/>
              </w:rPr>
              <w:t>电子器件检验工国家职业标准</w:t>
            </w:r>
          </w:p>
        </w:tc>
      </w:tr>
    </w:tbl>
    <w:p>
      <w:pPr>
        <w:snapToGrid w:val="0"/>
        <w:rPr>
          <w:rFonts w:ascii="宋体" w:hAnsi="宋体" w:cs="宋体"/>
          <w:color w:val="000000" w:themeColor="text1"/>
          <w:sz w:val="24"/>
          <w:szCs w:val="24"/>
        </w:rPr>
      </w:pPr>
    </w:p>
    <w:p>
      <w:pPr>
        <w:snapToGrid w:val="0"/>
        <w:rPr>
          <w:rFonts w:ascii="宋体" w:hAnsi="宋体"/>
          <w:color w:val="000000" w:themeColor="text1"/>
          <w:sz w:val="24"/>
          <w:szCs w:val="24"/>
        </w:rPr>
      </w:pPr>
      <w:r>
        <w:rPr>
          <w:rFonts w:hint="eastAsia" w:ascii="宋体" w:hAnsi="宋体" w:cs="宋体"/>
          <w:color w:val="000000" w:themeColor="text1"/>
          <w:sz w:val="24"/>
          <w:szCs w:val="24"/>
        </w:rPr>
        <w:t>（二）比赛内容</w:t>
      </w:r>
    </w:p>
    <w:p>
      <w:pPr>
        <w:autoSpaceDE w:val="0"/>
        <w:autoSpaceDN w:val="0"/>
        <w:spacing w:line="560" w:lineRule="exact"/>
        <w:ind w:firstLine="420"/>
        <w:jc w:val="left"/>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1.竞赛任务</w:t>
      </w:r>
    </w:p>
    <w:p>
      <w:pPr>
        <w:autoSpaceDE w:val="0"/>
        <w:autoSpaceDN w:val="0"/>
        <w:spacing w:line="560" w:lineRule="exact"/>
        <w:ind w:firstLine="42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电子电路装调与应用采用理实一体的竞赛方式，设置三个模块： </w:t>
      </w:r>
    </w:p>
    <w:p>
      <w:pPr>
        <w:pStyle w:val="17"/>
        <w:autoSpaceDE w:val="0"/>
        <w:autoSpaceDN w:val="0"/>
        <w:spacing w:line="560" w:lineRule="exact"/>
        <w:ind w:left="480" w:firstLine="0" w:firstLineChars="0"/>
        <w:jc w:val="left"/>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1.1 模块 A：线路板焊接装配、故障检测与维护、与可视化编程控制：</w:t>
      </w:r>
    </w:p>
    <w:p>
      <w:pPr>
        <w:pStyle w:val="17"/>
        <w:autoSpaceDE w:val="0"/>
        <w:autoSpaceDN w:val="0"/>
        <w:spacing w:line="560" w:lineRule="exact"/>
        <w:ind w:left="420" w:firstLine="0" w:firstLineChars="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（1）用赛场提供的元器件及线路板，根据电路原理图和装配要求，在电子</w:t>
      </w:r>
    </w:p>
    <w:p>
      <w:pPr>
        <w:autoSpaceDE w:val="0"/>
        <w:autoSpaceDN w:val="0"/>
        <w:spacing w:line="560" w:lineRule="exact"/>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线路板上完成焊接及装配。</w:t>
      </w:r>
    </w:p>
    <w:p>
      <w:pPr>
        <w:pStyle w:val="17"/>
        <w:autoSpaceDE w:val="0"/>
        <w:autoSpaceDN w:val="0"/>
        <w:spacing w:line="560" w:lineRule="exact"/>
        <w:ind w:left="420" w:firstLine="0" w:firstLineChars="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（2）故障检测与维护:在焊接装配完成的线路板上，根据电路功能，完成电</w:t>
      </w:r>
    </w:p>
    <w:p>
      <w:pPr>
        <w:autoSpaceDE w:val="0"/>
        <w:autoSpaceDN w:val="0"/>
        <w:spacing w:line="560" w:lineRule="exact"/>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路的检测与故障修复，恢复电路功能。</w:t>
      </w:r>
    </w:p>
    <w:p>
      <w:pPr>
        <w:pStyle w:val="17"/>
        <w:autoSpaceDE w:val="0"/>
        <w:autoSpaceDN w:val="0"/>
        <w:spacing w:line="560" w:lineRule="exact"/>
        <w:ind w:left="420" w:firstLine="0" w:firstLineChars="0"/>
        <w:rPr>
          <w:rFonts w:ascii="宋体" w:hAnsi="宋体" w:cs="宋体"/>
          <w:color w:val="000000" w:themeColor="text1"/>
          <w:kern w:val="0"/>
          <w:sz w:val="24"/>
          <w:szCs w:val="24"/>
        </w:rPr>
      </w:pPr>
      <w:r>
        <w:rPr>
          <w:rFonts w:hint="eastAsia" w:ascii="宋体" w:hAnsi="宋体" w:cs="宋体"/>
          <w:color w:val="000000" w:themeColor="text1"/>
          <w:kern w:val="0"/>
          <w:sz w:val="24"/>
          <w:szCs w:val="24"/>
        </w:rPr>
        <w:t>（3）根据电路功能和相关接口的连接要求，在 PC 机上编写可视化控制程</w:t>
      </w:r>
    </w:p>
    <w:p>
      <w:pPr>
        <w:autoSpaceDE w:val="0"/>
        <w:autoSpaceDN w:val="0"/>
        <w:spacing w:line="560" w:lineRule="exact"/>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序，实现对电路功能控制和相关的采集数据处理。 </w:t>
      </w:r>
    </w:p>
    <w:p>
      <w:pPr>
        <w:pStyle w:val="17"/>
        <w:autoSpaceDE w:val="0"/>
        <w:autoSpaceDN w:val="0"/>
        <w:spacing w:line="560" w:lineRule="exact"/>
        <w:ind w:left="480" w:firstLine="0" w:firstLineChars="0"/>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1.2 模块B：电路仿真 </w:t>
      </w:r>
    </w:p>
    <w:p>
      <w:pPr>
        <w:autoSpaceDE w:val="0"/>
        <w:autoSpaceDN w:val="0"/>
        <w:spacing w:line="560" w:lineRule="exact"/>
        <w:ind w:firstLine="420"/>
        <w:rPr>
          <w:rFonts w:ascii="宋体" w:hAnsi="宋体" w:cs="宋体"/>
          <w:color w:val="000000" w:themeColor="text1"/>
          <w:kern w:val="0"/>
          <w:sz w:val="24"/>
          <w:szCs w:val="24"/>
        </w:rPr>
      </w:pPr>
      <w:r>
        <w:rPr>
          <w:rFonts w:hint="eastAsia" w:ascii="宋体" w:hAnsi="宋体" w:cs="宋体"/>
          <w:color w:val="000000" w:themeColor="text1"/>
          <w:kern w:val="0"/>
          <w:sz w:val="24"/>
          <w:szCs w:val="24"/>
        </w:rPr>
        <w:t>根据电路功能说明及任务要求，设计部分电路，并选择适合的元器件，绘制仿真电路原理图，完成电路仿真及数据测量。</w:t>
      </w:r>
    </w:p>
    <w:p>
      <w:pPr>
        <w:pStyle w:val="17"/>
        <w:autoSpaceDE w:val="0"/>
        <w:autoSpaceDN w:val="0"/>
        <w:spacing w:line="560" w:lineRule="exact"/>
        <w:ind w:left="480" w:firstLine="0" w:firstLineChars="0"/>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1.3 模块C：电路搭建</w:t>
      </w:r>
    </w:p>
    <w:p>
      <w:pPr>
        <w:autoSpaceDE w:val="0"/>
        <w:autoSpaceDN w:val="0"/>
        <w:spacing w:line="560" w:lineRule="exact"/>
        <w:ind w:firstLine="420"/>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根据电路功能说明，选择合适基础模块完成电路搭建和调试，实现电路功能。 </w:t>
      </w:r>
    </w:p>
    <w:p>
      <w:pPr>
        <w:autoSpaceDE w:val="0"/>
        <w:autoSpaceDN w:val="0"/>
        <w:spacing w:line="560" w:lineRule="exact"/>
        <w:ind w:firstLine="420"/>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2.竞赛时间</w:t>
      </w:r>
    </w:p>
    <w:p>
      <w:pPr>
        <w:autoSpaceDE w:val="0"/>
        <w:autoSpaceDN w:val="0"/>
        <w:spacing w:line="560" w:lineRule="exact"/>
        <w:ind w:firstLine="42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完成电子电路装调与应用赛项所有指定工作任务的时间为240分钟（4小时）。</w:t>
      </w:r>
    </w:p>
    <w:p>
      <w:pPr>
        <w:spacing w:line="560" w:lineRule="exact"/>
        <w:ind w:firstLine="360" w:firstLineChars="150"/>
        <w:outlineLvl w:val="1"/>
        <w:rPr>
          <w:rFonts w:ascii="宋体" w:hAnsi="宋体" w:cs="宋体"/>
          <w:color w:val="000000" w:themeColor="text1"/>
          <w:kern w:val="0"/>
          <w:sz w:val="24"/>
          <w:szCs w:val="24"/>
        </w:rPr>
      </w:pPr>
      <w:r>
        <w:rPr>
          <w:rFonts w:hint="eastAsia" w:ascii="宋体" w:hAnsi="宋体" w:cs="宋体"/>
          <w:color w:val="000000" w:themeColor="text1"/>
          <w:kern w:val="0"/>
          <w:sz w:val="24"/>
          <w:szCs w:val="24"/>
        </w:rPr>
        <w:t>3.竞赛项目配分比重</w:t>
      </w:r>
    </w:p>
    <w:p>
      <w:pPr>
        <w:spacing w:line="560" w:lineRule="exact"/>
        <w:ind w:firstLine="480" w:firstLineChars="200"/>
        <w:jc w:val="center"/>
        <w:rPr>
          <w:rFonts w:ascii="宋体" w:hAnsi="宋体" w:cs="宋体"/>
          <w:color w:val="000000" w:themeColor="text1"/>
          <w:sz w:val="24"/>
          <w:szCs w:val="24"/>
        </w:rPr>
      </w:pPr>
      <w:r>
        <w:rPr>
          <w:rFonts w:hint="eastAsia" w:ascii="宋体" w:hAnsi="宋体" w:cs="宋体"/>
          <w:color w:val="000000" w:themeColor="text1"/>
          <w:sz w:val="24"/>
          <w:szCs w:val="24"/>
        </w:rPr>
        <w:t>项目任务成绩配比</w:t>
      </w:r>
    </w:p>
    <w:tbl>
      <w:tblPr>
        <w:tblStyle w:val="8"/>
        <w:tblW w:w="7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1335"/>
        <w:gridCol w:w="2835"/>
        <w:gridCol w:w="1395"/>
        <w:gridCol w:w="1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序号</w:t>
            </w:r>
          </w:p>
        </w:tc>
        <w:tc>
          <w:tcPr>
            <w:tcW w:w="1335" w:type="dxa"/>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模块</w:t>
            </w: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考核模块</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权重（%）</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时间分配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w:t>
            </w:r>
          </w:p>
        </w:tc>
        <w:tc>
          <w:tcPr>
            <w:tcW w:w="4170" w:type="dxa"/>
            <w:gridSpan w:val="2"/>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职业素养</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10</w:t>
            </w:r>
          </w:p>
        </w:tc>
        <w:tc>
          <w:tcPr>
            <w:tcW w:w="1395" w:type="dxa"/>
            <w:vAlign w:val="center"/>
          </w:tcPr>
          <w:p>
            <w:pPr>
              <w:widowControl/>
              <w:jc w:val="center"/>
              <w:rPr>
                <w:rFonts w:ascii="宋体" w:hAnsi="宋体" w:cs="宋体"/>
                <w:color w:val="000000" w:themeColor="text1"/>
                <w:kern w:val="0"/>
                <w:sz w:val="24"/>
                <w:szCs w:val="24"/>
              </w:rPr>
            </w:pPr>
            <w:r>
              <w:rPr>
                <w:rFonts w:ascii="仿宋" w:hAnsi="仿宋" w:eastAsia="仿宋" w:cs="仿宋"/>
                <w:color w:val="000000" w:themeColor="text1"/>
                <w:kern w:val="0"/>
                <w:sz w:val="24"/>
                <w:szCs w:val="24"/>
              </w:rPr>
              <w:t>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w:t>
            </w:r>
          </w:p>
        </w:tc>
        <w:tc>
          <w:tcPr>
            <w:tcW w:w="1335" w:type="dxa"/>
            <w:vMerge w:val="restart"/>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模块 A</w:t>
            </w: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线路板焊接与装配</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15</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3</w:t>
            </w:r>
          </w:p>
        </w:tc>
        <w:tc>
          <w:tcPr>
            <w:tcW w:w="1335" w:type="dxa"/>
            <w:vMerge w:val="continue"/>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故障检测与维护</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15</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w:t>
            </w:r>
          </w:p>
        </w:tc>
        <w:tc>
          <w:tcPr>
            <w:tcW w:w="1335" w:type="dxa"/>
            <w:vMerge w:val="continue"/>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可视化界面制作与编程</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25</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w:t>
            </w:r>
          </w:p>
        </w:tc>
        <w:tc>
          <w:tcPr>
            <w:tcW w:w="1335" w:type="dxa"/>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模块 B</w:t>
            </w: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电路仿真</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15</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Borders>
              <w:righ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w:t>
            </w:r>
          </w:p>
        </w:tc>
        <w:tc>
          <w:tcPr>
            <w:tcW w:w="1335" w:type="dxa"/>
            <w:tcBorders>
              <w:left w:val="single" w:color="auto" w:sz="4" w:space="0"/>
            </w:tcBorders>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模块 C</w:t>
            </w: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电路搭建</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20</w:t>
            </w:r>
          </w:p>
        </w:tc>
        <w:tc>
          <w:tcPr>
            <w:tcW w:w="1395" w:type="dxa"/>
            <w:vAlign w:val="center"/>
          </w:tcPr>
          <w:p>
            <w:pPr>
              <w:autoSpaceDE w:val="0"/>
              <w:autoSpaceDN w:val="0"/>
              <w:adjustRightInd w:val="0"/>
              <w:snapToGrid w:val="0"/>
              <w:jc w:val="center"/>
              <w:rPr>
                <w:rFonts w:ascii="宋体" w:hAnsi="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909" w:type="dxa"/>
          </w:tcPr>
          <w:p>
            <w:pPr>
              <w:autoSpaceDE w:val="0"/>
              <w:autoSpaceDN w:val="0"/>
              <w:adjustRightInd w:val="0"/>
              <w:snapToGrid w:val="0"/>
              <w:jc w:val="center"/>
              <w:rPr>
                <w:rFonts w:ascii="宋体" w:hAnsi="宋体" w:cs="宋体"/>
                <w:color w:val="000000" w:themeColor="text1"/>
                <w:kern w:val="0"/>
                <w:sz w:val="24"/>
                <w:szCs w:val="24"/>
              </w:rPr>
            </w:pPr>
          </w:p>
        </w:tc>
        <w:tc>
          <w:tcPr>
            <w:tcW w:w="1335" w:type="dxa"/>
          </w:tcPr>
          <w:p>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总计</w:t>
            </w:r>
          </w:p>
        </w:tc>
        <w:tc>
          <w:tcPr>
            <w:tcW w:w="1395" w:type="dxa"/>
          </w:tcPr>
          <w:p>
            <w:pPr>
              <w:autoSpaceDE w:val="0"/>
              <w:autoSpaceDN w:val="0"/>
              <w:adjustRightInd w:val="0"/>
              <w:snapToGrid w:val="0"/>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100</w:t>
            </w:r>
          </w:p>
        </w:tc>
        <w:tc>
          <w:tcPr>
            <w:tcW w:w="1395" w:type="dxa"/>
          </w:tcPr>
          <w:p>
            <w:pPr>
              <w:autoSpaceDE w:val="0"/>
              <w:autoSpaceDN w:val="0"/>
              <w:adjustRightInd w:val="0"/>
              <w:snapToGrid w:val="0"/>
              <w:jc w:val="center"/>
              <w:rPr>
                <w:rFonts w:ascii="宋体" w:hAnsi="宋体" w:cs="宋体"/>
                <w:color w:val="000000" w:themeColor="text1"/>
                <w:kern w:val="0"/>
                <w:sz w:val="24"/>
                <w:szCs w:val="24"/>
              </w:rPr>
            </w:pPr>
          </w:p>
        </w:tc>
      </w:tr>
    </w:tbl>
    <w:p>
      <w:pPr>
        <w:snapToGrid w:val="0"/>
        <w:spacing w:beforeLines="50" w:afterLines="50" w:line="560" w:lineRule="exact"/>
        <w:contextualSpacing/>
        <w:outlineLvl w:val="0"/>
        <w:rPr>
          <w:rFonts w:ascii="宋体" w:hAnsi="宋体" w:cs="仿宋"/>
          <w:b/>
          <w:color w:val="000000" w:themeColor="text1"/>
          <w:sz w:val="30"/>
          <w:szCs w:val="30"/>
        </w:rPr>
      </w:pPr>
      <w:r>
        <w:rPr>
          <w:rFonts w:hint="eastAsia" w:ascii="宋体" w:hAnsi="宋体" w:cs="仿宋"/>
          <w:b/>
          <w:color w:val="000000" w:themeColor="text1"/>
          <w:sz w:val="30"/>
          <w:szCs w:val="30"/>
        </w:rPr>
        <w:t>二、技术平台</w:t>
      </w:r>
    </w:p>
    <w:p>
      <w:pPr>
        <w:pStyle w:val="3"/>
        <w:keepNext w:val="0"/>
        <w:keepLines w:val="0"/>
        <w:numPr>
          <w:ilvl w:val="0"/>
          <w:numId w:val="0"/>
        </w:numPr>
        <w:spacing w:before="156" w:after="156" w:line="560" w:lineRule="exact"/>
        <w:ind w:firstLine="482" w:firstLineChars="200"/>
        <w:jc w:val="left"/>
        <w:rPr>
          <w:rFonts w:ascii="宋体" w:hAnsi="宋体" w:cs="宋体"/>
          <w:color w:val="000000" w:themeColor="text1"/>
          <w:sz w:val="24"/>
          <w:szCs w:val="24"/>
        </w:rPr>
      </w:pPr>
      <w:bookmarkStart w:id="0" w:name="_Toc32261"/>
      <w:bookmarkStart w:id="1" w:name="_Toc476223861"/>
      <w:r>
        <w:rPr>
          <w:rFonts w:hint="eastAsia" w:ascii="宋体" w:hAnsi="宋体" w:cs="宋体"/>
          <w:color w:val="000000" w:themeColor="text1"/>
          <w:sz w:val="24"/>
          <w:szCs w:val="24"/>
        </w:rPr>
        <w:t>本次赛项采用亚龙智能装备集团股份有限公司生产的亚龙YL-135C型电子产品装调与智能检测实训考核装置</w:t>
      </w:r>
      <w:bookmarkEnd w:id="0"/>
      <w:bookmarkEnd w:id="1"/>
      <w:r>
        <w:rPr>
          <w:rFonts w:hint="eastAsia" w:ascii="宋体" w:hAnsi="宋体" w:cs="宋体"/>
          <w:color w:val="000000" w:themeColor="text1"/>
          <w:sz w:val="24"/>
          <w:szCs w:val="24"/>
        </w:rPr>
        <w:t>，该装置配置及大赛使用的相关器材如下：</w:t>
      </w:r>
    </w:p>
    <w:p>
      <w:pPr>
        <w:snapToGrid w:val="0"/>
        <w:spacing w:line="560" w:lineRule="exact"/>
        <w:outlineLvl w:val="1"/>
        <w:rPr>
          <w:rFonts w:ascii="宋体" w:hAnsi="宋体" w:cs="宋体"/>
          <w:color w:val="000000" w:themeColor="text1"/>
          <w:sz w:val="24"/>
          <w:szCs w:val="24"/>
        </w:rPr>
      </w:pPr>
      <w:r>
        <w:rPr>
          <w:rFonts w:hint="eastAsia" w:ascii="宋体" w:hAnsi="宋体" w:cs="宋体"/>
          <w:color w:val="000000" w:themeColor="text1"/>
          <w:sz w:val="24"/>
          <w:szCs w:val="24"/>
        </w:rPr>
        <w:t>（一）工作台及仪器配置</w:t>
      </w:r>
    </w:p>
    <w:tbl>
      <w:tblPr>
        <w:tblStyle w:val="8"/>
        <w:tblW w:w="7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223"/>
        <w:gridCol w:w="2348"/>
        <w:gridCol w:w="580"/>
        <w:gridCol w:w="61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序号</w:t>
            </w:r>
          </w:p>
        </w:tc>
        <w:tc>
          <w:tcPr>
            <w:tcW w:w="2223"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产品名称</w:t>
            </w:r>
          </w:p>
        </w:tc>
        <w:tc>
          <w:tcPr>
            <w:tcW w:w="2348"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型号规格</w:t>
            </w:r>
          </w:p>
        </w:tc>
        <w:tc>
          <w:tcPr>
            <w:tcW w:w="580"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数量</w:t>
            </w:r>
          </w:p>
        </w:tc>
        <w:tc>
          <w:tcPr>
            <w:tcW w:w="615"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单位</w:t>
            </w:r>
          </w:p>
        </w:tc>
        <w:tc>
          <w:tcPr>
            <w:tcW w:w="1322" w:type="dxa"/>
            <w:vAlign w:val="center"/>
          </w:tcPr>
          <w:p>
            <w:pPr>
              <w:spacing w:beforeLines="30" w:after="60"/>
              <w:jc w:val="center"/>
              <w:rPr>
                <w:rFonts w:ascii="宋体" w:hAnsi="宋体"/>
                <w:b/>
                <w:color w:val="000000" w:themeColor="text1"/>
                <w:sz w:val="18"/>
                <w:szCs w:val="18"/>
              </w:rPr>
            </w:pPr>
            <w:r>
              <w:rPr>
                <w:rFonts w:ascii="宋体" w:hAnsi="宋体"/>
                <w:b/>
                <w:color w:val="000000" w:themeColor="text1"/>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亚龙YL-135型电子工艺实训桌</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1600*8</w:t>
            </w:r>
            <w:r>
              <w:rPr>
                <w:rFonts w:hint="eastAsia" w:ascii="宋体" w:hAnsi="宋体"/>
                <w:color w:val="000000" w:themeColor="text1"/>
                <w:sz w:val="18"/>
                <w:szCs w:val="18"/>
              </w:rPr>
              <w:t>0</w:t>
            </w:r>
            <w:r>
              <w:rPr>
                <w:rFonts w:ascii="宋体" w:hAnsi="宋体"/>
                <w:color w:val="000000" w:themeColor="text1"/>
                <w:sz w:val="18"/>
                <w:szCs w:val="18"/>
              </w:rPr>
              <w:t>0*1800mm</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张</w:t>
            </w:r>
          </w:p>
        </w:tc>
        <w:tc>
          <w:tcPr>
            <w:tcW w:w="1322" w:type="dxa"/>
          </w:tcPr>
          <w:p>
            <w:pPr>
              <w:spacing w:beforeLines="30" w:after="60"/>
              <w:rPr>
                <w:rFonts w:ascii="宋体" w:hAnsi="宋体"/>
                <w:color w:val="000000" w:themeColor="text1"/>
                <w:sz w:val="18"/>
                <w:szCs w:val="18"/>
              </w:rPr>
            </w:pPr>
            <w:r>
              <w:rPr>
                <w:rFonts w:ascii="宋体" w:hAnsi="宋体"/>
                <w:color w:val="000000" w:themeColor="text1"/>
                <w:sz w:val="18"/>
                <w:szCs w:val="18"/>
              </w:rPr>
              <w:t>铝合金框架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亚龙YL-135型电子工艺电源台</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151</w:t>
            </w:r>
            <w:r>
              <w:rPr>
                <w:rFonts w:hint="eastAsia" w:ascii="宋体" w:hAnsi="宋体"/>
                <w:color w:val="000000" w:themeColor="text1"/>
                <w:sz w:val="18"/>
                <w:szCs w:val="18"/>
              </w:rPr>
              <w:t>8</w:t>
            </w:r>
            <w:r>
              <w:rPr>
                <w:rFonts w:ascii="宋体" w:hAnsi="宋体"/>
                <w:color w:val="000000" w:themeColor="text1"/>
                <w:sz w:val="18"/>
                <w:szCs w:val="18"/>
              </w:rPr>
              <w:t>*230*2</w:t>
            </w:r>
            <w:r>
              <w:rPr>
                <w:rFonts w:hint="eastAsia" w:ascii="宋体" w:hAnsi="宋体"/>
                <w:color w:val="000000" w:themeColor="text1"/>
                <w:sz w:val="18"/>
                <w:szCs w:val="18"/>
              </w:rPr>
              <w:t>1</w:t>
            </w:r>
            <w:r>
              <w:rPr>
                <w:rFonts w:ascii="宋体" w:hAnsi="宋体"/>
                <w:color w:val="000000" w:themeColor="text1"/>
                <w:sz w:val="18"/>
                <w:szCs w:val="18"/>
              </w:rPr>
              <w:t>0 mm</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台</w:t>
            </w:r>
          </w:p>
        </w:tc>
        <w:tc>
          <w:tcPr>
            <w:tcW w:w="1322" w:type="dxa"/>
          </w:tcPr>
          <w:p>
            <w:pPr>
              <w:spacing w:beforeLines="30" w:after="60"/>
              <w:rPr>
                <w:rFonts w:ascii="宋体" w:hAnsi="宋体"/>
                <w:color w:val="000000" w:themeColor="text1"/>
                <w:sz w:val="18"/>
                <w:szCs w:val="18"/>
              </w:rPr>
            </w:pPr>
            <w:r>
              <w:rPr>
                <w:rFonts w:ascii="宋体" w:hAnsi="宋体"/>
                <w:color w:val="000000" w:themeColor="text1"/>
                <w:sz w:val="18"/>
                <w:szCs w:val="18"/>
              </w:rPr>
              <w:t>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双踪示波器</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YLDS1102S</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台</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数字毫伏表</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DF1931</w:t>
            </w:r>
            <w:r>
              <w:rPr>
                <w:rFonts w:hint="eastAsia" w:ascii="宋体" w:hAnsi="宋体"/>
                <w:color w:val="000000" w:themeColor="text1"/>
                <w:sz w:val="18"/>
                <w:szCs w:val="18"/>
              </w:rPr>
              <w:t>A</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台</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函数发生器</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YL-238B</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台</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hint="eastAsia" w:ascii="宋体" w:hAnsi="宋体"/>
                <w:color w:val="000000" w:themeColor="text1"/>
                <w:sz w:val="18"/>
                <w:szCs w:val="18"/>
              </w:rPr>
              <w:t>单元电子电路模块</w:t>
            </w:r>
          </w:p>
        </w:tc>
        <w:tc>
          <w:tcPr>
            <w:tcW w:w="2348" w:type="dxa"/>
          </w:tcPr>
          <w:p>
            <w:pPr>
              <w:spacing w:beforeLines="30" w:after="60"/>
              <w:jc w:val="center"/>
              <w:rPr>
                <w:rFonts w:ascii="宋体" w:hAnsi="宋体"/>
                <w:color w:val="000000" w:themeColor="text1"/>
                <w:sz w:val="18"/>
                <w:szCs w:val="18"/>
              </w:rPr>
            </w:pPr>
            <w:r>
              <w:rPr>
                <w:rFonts w:hint="eastAsia" w:ascii="宋体" w:hAnsi="宋体"/>
                <w:color w:val="000000" w:themeColor="text1"/>
                <w:sz w:val="18"/>
                <w:szCs w:val="18"/>
              </w:rPr>
              <w:t>YL-292型共计114个单元</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r>
              <w:rPr>
                <w:rFonts w:hint="eastAsia" w:ascii="宋体" w:hAnsi="宋体"/>
                <w:color w:val="000000" w:themeColor="text1"/>
                <w:sz w:val="18"/>
                <w:szCs w:val="18"/>
              </w:rPr>
              <w:t>另附：292型单元电路模块清单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hint="eastAsia" w:ascii="宋体" w:hAnsi="宋体"/>
                <w:color w:val="000000" w:themeColor="text1"/>
                <w:sz w:val="18"/>
                <w:szCs w:val="18"/>
              </w:rPr>
              <w:t>电子</w:t>
            </w:r>
            <w:r>
              <w:rPr>
                <w:rFonts w:ascii="宋体" w:hAnsi="宋体"/>
                <w:color w:val="000000" w:themeColor="text1"/>
                <w:sz w:val="18"/>
                <w:szCs w:val="18"/>
              </w:rPr>
              <w:t>产品装调与智能检测</w:t>
            </w:r>
            <w:r>
              <w:rPr>
                <w:rFonts w:hint="eastAsia" w:ascii="宋体" w:hAnsi="宋体"/>
                <w:color w:val="000000" w:themeColor="text1"/>
                <w:sz w:val="18"/>
                <w:szCs w:val="18"/>
              </w:rPr>
              <w:t>技术学习套装</w:t>
            </w:r>
          </w:p>
        </w:tc>
        <w:tc>
          <w:tcPr>
            <w:tcW w:w="2348" w:type="dxa"/>
          </w:tcPr>
          <w:p>
            <w:pPr>
              <w:spacing w:beforeLines="30" w:after="60"/>
              <w:jc w:val="center"/>
              <w:rPr>
                <w:rFonts w:ascii="宋体" w:hAnsi="宋体"/>
                <w:color w:val="000000" w:themeColor="text1"/>
                <w:sz w:val="18"/>
                <w:szCs w:val="18"/>
              </w:rPr>
            </w:pPr>
            <w:r>
              <w:rPr>
                <w:rFonts w:hint="eastAsia" w:ascii="宋体" w:hAnsi="宋体"/>
                <w:color w:val="000000" w:themeColor="text1"/>
                <w:sz w:val="18"/>
                <w:szCs w:val="18"/>
              </w:rPr>
              <w:t>YL-</w:t>
            </w:r>
            <w:r>
              <w:rPr>
                <w:rFonts w:ascii="宋体" w:hAnsi="宋体"/>
                <w:color w:val="000000" w:themeColor="text1"/>
                <w:sz w:val="18"/>
                <w:szCs w:val="18"/>
              </w:rPr>
              <w:t>1050</w:t>
            </w:r>
            <w:r>
              <w:rPr>
                <w:rFonts w:hint="eastAsia" w:ascii="宋体" w:hAnsi="宋体"/>
                <w:color w:val="000000" w:themeColor="text1"/>
                <w:sz w:val="18"/>
                <w:szCs w:val="18"/>
              </w:rPr>
              <w:t>A电子电路焊接与智能检测系统含模块12种</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r>
              <w:rPr>
                <w:rFonts w:hint="eastAsia" w:ascii="宋体" w:hAnsi="宋体"/>
                <w:color w:val="000000" w:themeColor="text1"/>
                <w:sz w:val="18"/>
                <w:szCs w:val="18"/>
              </w:rPr>
              <w:t>另附:YL-1050A电子电</w:t>
            </w:r>
            <w:bookmarkStart w:id="2" w:name="_GoBack"/>
            <w:bookmarkEnd w:id="2"/>
            <w:r>
              <w:rPr>
                <w:rFonts w:hint="eastAsia" w:ascii="宋体" w:hAnsi="宋体"/>
                <w:color w:val="000000" w:themeColor="text1"/>
                <w:sz w:val="18"/>
                <w:szCs w:val="18"/>
              </w:rPr>
              <w:t>路焊接与智能检测系统学习套件清单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hint="eastAsia" w:ascii="宋体" w:hAnsi="宋体"/>
                <w:color w:val="000000" w:themeColor="text1"/>
                <w:sz w:val="18"/>
                <w:szCs w:val="18"/>
              </w:rPr>
              <w:t>软件</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NI Multisim</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hint="eastAsia" w:ascii="宋体" w:hAnsi="宋体"/>
                <w:color w:val="000000" w:themeColor="text1"/>
                <w:sz w:val="18"/>
                <w:szCs w:val="18"/>
              </w:rPr>
              <w:t>软件</w:t>
            </w:r>
          </w:p>
        </w:tc>
        <w:tc>
          <w:tcPr>
            <w:tcW w:w="2348" w:type="dxa"/>
          </w:tcPr>
          <w:p>
            <w:pPr>
              <w:spacing w:beforeLines="30" w:after="60"/>
              <w:rPr>
                <w:rFonts w:ascii="宋体" w:hAnsi="宋体"/>
                <w:color w:val="000000" w:themeColor="text1"/>
                <w:szCs w:val="24"/>
              </w:rPr>
            </w:pPr>
            <w:r>
              <w:rPr>
                <w:rFonts w:ascii="宋体" w:hAnsi="宋体"/>
                <w:color w:val="000000" w:themeColor="text1"/>
              </w:rPr>
              <w:t>NI LabVIEW</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实验连接线</w:t>
            </w:r>
          </w:p>
        </w:tc>
        <w:tc>
          <w:tcPr>
            <w:tcW w:w="2348" w:type="dxa"/>
          </w:tcPr>
          <w:p>
            <w:pPr>
              <w:spacing w:beforeLines="30" w:after="60"/>
              <w:rPr>
                <w:rFonts w:ascii="宋体" w:hAnsi="宋体"/>
                <w:color w:val="000000" w:themeColor="text1"/>
                <w:sz w:val="18"/>
                <w:szCs w:val="18"/>
              </w:rPr>
            </w:pP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vAlign w:val="center"/>
          </w:tcPr>
          <w:p>
            <w:pPr>
              <w:numPr>
                <w:ilvl w:val="0"/>
                <w:numId w:val="2"/>
              </w:numPr>
              <w:spacing w:beforeLines="30" w:after="60"/>
              <w:jc w:val="center"/>
              <w:rPr>
                <w:rFonts w:ascii="宋体" w:hAnsi="宋体"/>
                <w:color w:val="000000" w:themeColor="text1"/>
                <w:sz w:val="18"/>
                <w:szCs w:val="18"/>
              </w:rPr>
            </w:pPr>
          </w:p>
        </w:tc>
        <w:tc>
          <w:tcPr>
            <w:tcW w:w="2223"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T5一体化电子支架</w:t>
            </w:r>
          </w:p>
        </w:tc>
        <w:tc>
          <w:tcPr>
            <w:tcW w:w="2348" w:type="dxa"/>
          </w:tcPr>
          <w:p>
            <w:pPr>
              <w:spacing w:beforeLines="30" w:after="60"/>
              <w:rPr>
                <w:rFonts w:ascii="宋体" w:hAnsi="宋体"/>
                <w:color w:val="000000" w:themeColor="text1"/>
                <w:sz w:val="18"/>
                <w:szCs w:val="18"/>
              </w:rPr>
            </w:pPr>
            <w:r>
              <w:rPr>
                <w:rFonts w:ascii="宋体" w:hAnsi="宋体"/>
                <w:color w:val="000000" w:themeColor="text1"/>
                <w:sz w:val="18"/>
                <w:szCs w:val="18"/>
              </w:rPr>
              <w:t>MW9A-Y21</w:t>
            </w:r>
          </w:p>
        </w:tc>
        <w:tc>
          <w:tcPr>
            <w:tcW w:w="580" w:type="dxa"/>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套</w:t>
            </w:r>
          </w:p>
        </w:tc>
        <w:tc>
          <w:tcPr>
            <w:tcW w:w="1322" w:type="dxa"/>
          </w:tcPr>
          <w:p>
            <w:pPr>
              <w:spacing w:beforeLines="30" w:after="60"/>
              <w:rPr>
                <w:rFonts w:ascii="宋体" w:hAnsi="宋体"/>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82"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beforeLines="30" w:after="60"/>
              <w:jc w:val="center"/>
              <w:rPr>
                <w:rFonts w:ascii="宋体" w:hAnsi="宋体"/>
                <w:color w:val="000000" w:themeColor="text1"/>
                <w:sz w:val="18"/>
                <w:szCs w:val="18"/>
              </w:rPr>
            </w:pPr>
          </w:p>
        </w:tc>
        <w:tc>
          <w:tcPr>
            <w:tcW w:w="2223" w:type="dxa"/>
            <w:tcBorders>
              <w:top w:val="single" w:color="auto" w:sz="4" w:space="0"/>
              <w:left w:val="single" w:color="auto" w:sz="4" w:space="0"/>
              <w:bottom w:val="single" w:color="auto" w:sz="4" w:space="0"/>
              <w:right w:val="single" w:color="auto" w:sz="4" w:space="0"/>
            </w:tcBorders>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电脑推车</w:t>
            </w:r>
          </w:p>
        </w:tc>
        <w:tc>
          <w:tcPr>
            <w:tcW w:w="2348" w:type="dxa"/>
            <w:tcBorders>
              <w:top w:val="single" w:color="auto" w:sz="4" w:space="0"/>
              <w:left w:val="single" w:color="auto" w:sz="4" w:space="0"/>
              <w:bottom w:val="single" w:color="auto" w:sz="4" w:space="0"/>
              <w:right w:val="single" w:color="auto" w:sz="4" w:space="0"/>
            </w:tcBorders>
          </w:tcPr>
          <w:p>
            <w:pPr>
              <w:spacing w:beforeLines="30" w:after="60"/>
              <w:rPr>
                <w:rFonts w:ascii="宋体" w:hAnsi="宋体"/>
                <w:color w:val="000000" w:themeColor="text1"/>
                <w:sz w:val="18"/>
                <w:szCs w:val="18"/>
              </w:rPr>
            </w:pPr>
            <w:r>
              <w:rPr>
                <w:rFonts w:hint="eastAsia" w:ascii="宋体" w:hAnsi="宋体"/>
                <w:color w:val="000000" w:themeColor="text1"/>
                <w:sz w:val="18"/>
                <w:szCs w:val="18"/>
              </w:rPr>
              <w:t>尺寸：580*450*960mm。</w:t>
            </w:r>
          </w:p>
        </w:tc>
        <w:tc>
          <w:tcPr>
            <w:tcW w:w="580" w:type="dxa"/>
            <w:tcBorders>
              <w:top w:val="single" w:color="auto" w:sz="4" w:space="0"/>
              <w:left w:val="single" w:color="auto" w:sz="4" w:space="0"/>
              <w:bottom w:val="single" w:color="auto" w:sz="4" w:space="0"/>
              <w:right w:val="single" w:color="auto" w:sz="4" w:space="0"/>
            </w:tcBorders>
            <w:vAlign w:val="center"/>
          </w:tcPr>
          <w:p>
            <w:pPr>
              <w:spacing w:beforeLines="30" w:after="60"/>
              <w:jc w:val="center"/>
              <w:rPr>
                <w:rFonts w:ascii="宋体" w:hAnsi="宋体"/>
                <w:color w:val="000000" w:themeColor="text1"/>
                <w:sz w:val="18"/>
                <w:szCs w:val="18"/>
              </w:rPr>
            </w:pPr>
            <w:r>
              <w:rPr>
                <w:rFonts w:ascii="宋体" w:hAnsi="宋体"/>
                <w:color w:val="000000" w:themeColor="text1"/>
                <w:sz w:val="18"/>
                <w:szCs w:val="18"/>
              </w:rPr>
              <w:t>1</w:t>
            </w:r>
          </w:p>
        </w:tc>
        <w:tc>
          <w:tcPr>
            <w:tcW w:w="615" w:type="dxa"/>
            <w:tcBorders>
              <w:top w:val="single" w:color="auto" w:sz="4" w:space="0"/>
              <w:left w:val="single" w:color="auto" w:sz="4" w:space="0"/>
              <w:bottom w:val="single" w:color="auto" w:sz="4" w:space="0"/>
              <w:right w:val="single" w:color="auto" w:sz="4" w:space="0"/>
            </w:tcBorders>
            <w:vAlign w:val="center"/>
          </w:tcPr>
          <w:p>
            <w:pPr>
              <w:spacing w:beforeLines="30" w:after="60"/>
              <w:rPr>
                <w:rFonts w:ascii="宋体" w:hAnsi="宋体"/>
                <w:color w:val="000000" w:themeColor="text1"/>
                <w:sz w:val="18"/>
                <w:szCs w:val="18"/>
              </w:rPr>
            </w:pPr>
            <w:r>
              <w:rPr>
                <w:rFonts w:ascii="宋体" w:hAnsi="宋体"/>
                <w:color w:val="000000" w:themeColor="text1"/>
                <w:sz w:val="18"/>
                <w:szCs w:val="18"/>
              </w:rPr>
              <w:t>台</w:t>
            </w:r>
          </w:p>
        </w:tc>
        <w:tc>
          <w:tcPr>
            <w:tcW w:w="1322" w:type="dxa"/>
            <w:tcBorders>
              <w:top w:val="single" w:color="auto" w:sz="4" w:space="0"/>
              <w:left w:val="single" w:color="auto" w:sz="4" w:space="0"/>
              <w:bottom w:val="single" w:color="auto" w:sz="4" w:space="0"/>
              <w:right w:val="single" w:color="auto" w:sz="4" w:space="0"/>
            </w:tcBorders>
          </w:tcPr>
          <w:p>
            <w:pPr>
              <w:spacing w:beforeLines="30" w:after="60"/>
              <w:rPr>
                <w:rFonts w:ascii="宋体" w:hAnsi="宋体"/>
                <w:color w:val="000000" w:themeColor="text1"/>
                <w:sz w:val="18"/>
                <w:szCs w:val="18"/>
              </w:rPr>
            </w:pPr>
            <w:r>
              <w:rPr>
                <w:rFonts w:hint="eastAsia" w:ascii="宋体" w:hAnsi="宋体"/>
                <w:color w:val="000000" w:themeColor="text1"/>
                <w:sz w:val="18"/>
                <w:szCs w:val="18"/>
              </w:rPr>
              <w:tab/>
            </w:r>
          </w:p>
        </w:tc>
      </w:tr>
    </w:tbl>
    <w:p>
      <w:pPr>
        <w:pStyle w:val="14"/>
        <w:tabs>
          <w:tab w:val="left" w:pos="420"/>
        </w:tabs>
        <w:spacing w:before="156" w:after="156"/>
        <w:ind w:left="0" w:firstLine="0"/>
        <w:rPr>
          <w:color w:val="000000" w:themeColor="text1"/>
        </w:rPr>
      </w:pPr>
      <w:r>
        <w:rPr>
          <w:rFonts w:hint="eastAsia"/>
          <w:color w:val="000000" w:themeColor="text1"/>
        </w:rPr>
        <w:t>1.292型单元电路模块</w:t>
      </w:r>
      <w:r>
        <w:rPr>
          <w:color w:val="000000" w:themeColor="text1"/>
        </w:rPr>
        <w:t>清单</w:t>
      </w:r>
    </w:p>
    <w:tbl>
      <w:tblPr>
        <w:tblStyle w:val="8"/>
        <w:tblW w:w="7670" w:type="dxa"/>
        <w:jc w:val="center"/>
        <w:tblInd w:w="0" w:type="dxa"/>
        <w:tblLayout w:type="fixed"/>
        <w:tblCellMar>
          <w:top w:w="0" w:type="dxa"/>
          <w:left w:w="108" w:type="dxa"/>
          <w:bottom w:w="0" w:type="dxa"/>
          <w:right w:w="108" w:type="dxa"/>
        </w:tblCellMar>
      </w:tblPr>
      <w:tblGrid>
        <w:gridCol w:w="724"/>
        <w:gridCol w:w="3584"/>
        <w:gridCol w:w="1803"/>
        <w:gridCol w:w="850"/>
        <w:gridCol w:w="709"/>
      </w:tblGrid>
      <w:tr>
        <w:tblPrEx>
          <w:tblLayout w:type="fixed"/>
          <w:tblCellMar>
            <w:top w:w="0" w:type="dxa"/>
            <w:left w:w="108" w:type="dxa"/>
            <w:bottom w:w="0" w:type="dxa"/>
            <w:right w:w="108" w:type="dxa"/>
          </w:tblCellMar>
        </w:tblPrEx>
        <w:trPr>
          <w:trHeight w:val="23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序号</w:t>
            </w:r>
          </w:p>
        </w:tc>
        <w:tc>
          <w:tcPr>
            <w:tcW w:w="35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名称</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型号</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数量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单位</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MCS51主机实训模块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EDM001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AVR主机实训模块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EDM002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声光控制实训模块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温度传感器LM35实训模块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温度传感器18B20实训模块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称重传感器实训模块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空气质量传感器实训模块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烟雾传感器实训模块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热释电红外传感器实训模块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酒精传感器实训模块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PT100传感器实训模块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EDM109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红外测温实训模块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超声波发射接收实训模块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红外反射实训模块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触摸按键实训模块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音频功放实训模块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ICL7135模数转换实训模块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反相器实训模块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倒车音乐实训模块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四种音乐实训模块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三位计数器实训模块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FM接收实训模块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单稳态电路实训模块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双稳态电路实训模块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脉冲及信号产生实训模块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无线接收实训模块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无线发射实训模块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EDM309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多段语音录放实训模块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红外发射实训模块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红外接收实训模块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AK040语音实训模块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直流电机驱动实训模块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直流继电器实训模块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8位独立按键实训模块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NPN三极管驱动实训模块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PNP三极管驱动实训模块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4*4键盘实训模块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直流风机实训模块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39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直流电机实训模块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扬声器实训模块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蜂鸣器实训模块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步进电机实训模块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加热模块实训模块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半导体制冷片实训模块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EDM507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64*32点阵实训模块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交通灯显示实训模块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十进制计数器实训模块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灯泡实训模块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49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四位数码管显示实训模块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12864点阵液晶实训模块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综合显示实训模块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STM32主机实训模块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EDM003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电磁继电器实训模块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语音放大实训模块EDM113</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光照传感器实训模块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金属检测实训模块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湿度传感器实训模块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颜色传感器实训模块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59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震动传感器实训模块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火焰传感器实训模块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EDM119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PN结测温实训模块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热敏电阻实训模块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雨滴传感器实训模块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光电传感器实训模块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倾角传感器实训模块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数字摄像头实训模块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指纹识别实训模块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EDM126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串行AD转换实训模块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69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并行AD转换实训模块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串行DA转换实训模块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并行DA转换实训模块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光耦隔离实训模块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EDM209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VI变换实训模块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低通滤波器实训模块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高通滤波器实训模块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电压比较器实训模块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精密整流实训模块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模拟开关实训模块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79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串并转换实训模块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并串转换实训模块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FV变换实训模块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VF变换实训模块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EDM219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运放实训模块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EDM220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U盘、SD卡实训模块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EDM221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3-5V电平转换实训模块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EDM222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比例放大实训模块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EDM223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单次脉冲实训模块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固定直流稳压电源实训模块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98"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89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0-24V可调直流稳压电源实训模块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90</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多谐振荡器实训模块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olor w:val="000000" w:themeColor="text1"/>
                <w:szCs w:val="21"/>
              </w:rPr>
              <w:t>转接板</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EDM318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91</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双向可控硅实训模块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EDM407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92</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1602字符液晶实训模块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EDM608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93</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TFT触摸屏实训模块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EDM610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94</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RFID实训模块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95</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CAN总线实训模块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96</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RS485实训模块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97</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ZigBee实训模块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98</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RF24L01实训模块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99</w:t>
            </w:r>
          </w:p>
        </w:tc>
        <w:tc>
          <w:tcPr>
            <w:tcW w:w="35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GPS实训模块</w:t>
            </w:r>
          </w:p>
        </w:tc>
        <w:tc>
          <w:tcPr>
            <w:tcW w:w="18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EDM706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18"/>
                <w:szCs w:val="18"/>
              </w:rPr>
            </w:pPr>
            <w:r>
              <w:rPr>
                <w:rFonts w:hint="eastAsia" w:ascii="宋体" w:hAnsi="宋体" w:cs="宋体"/>
                <w:color w:val="000000" w:themeColor="text1"/>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18"/>
                <w:szCs w:val="18"/>
              </w:rPr>
            </w:pPr>
            <w:r>
              <w:rPr>
                <w:rFonts w:hint="eastAsia" w:ascii="宋体" w:hAnsi="宋体" w:cs="宋体"/>
                <w:color w:val="000000" w:themeColor="text1"/>
                <w:kern w:val="0"/>
                <w:sz w:val="18"/>
                <w:szCs w:val="18"/>
              </w:rPr>
              <w:t>块</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100</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音频线</w:t>
            </w:r>
          </w:p>
        </w:tc>
        <w:tc>
          <w:tcPr>
            <w:tcW w:w="1803"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themeColor="text1"/>
                <w:sz w:val="18"/>
                <w:szCs w:val="18"/>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kern w:val="0"/>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101</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彩色排线</w:t>
            </w:r>
          </w:p>
        </w:tc>
        <w:tc>
          <w:tcPr>
            <w:tcW w:w="1803"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themeColor="text1"/>
                <w:sz w:val="18"/>
                <w:szCs w:val="18"/>
              </w:rPr>
            </w:pPr>
            <w:r>
              <w:rPr>
                <w:rFonts w:hint="eastAsia"/>
                <w:color w:val="000000" w:themeColor="text1"/>
                <w:sz w:val="18"/>
                <w:szCs w:val="18"/>
              </w:rPr>
              <w:t>8T 40CM</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kern w:val="0"/>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102</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彩色排线</w:t>
            </w:r>
          </w:p>
        </w:tc>
        <w:tc>
          <w:tcPr>
            <w:tcW w:w="1803"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themeColor="text1"/>
                <w:sz w:val="18"/>
                <w:szCs w:val="18"/>
              </w:rPr>
            </w:pPr>
            <w:r>
              <w:rPr>
                <w:rFonts w:hint="eastAsia"/>
                <w:color w:val="000000" w:themeColor="text1"/>
                <w:sz w:val="18"/>
                <w:szCs w:val="18"/>
              </w:rPr>
              <w:t>8T 20CM</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kern w:val="0"/>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103</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USB延长线</w:t>
            </w:r>
          </w:p>
        </w:tc>
        <w:tc>
          <w:tcPr>
            <w:tcW w:w="1803"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themeColor="text1"/>
                <w:sz w:val="18"/>
                <w:szCs w:val="18"/>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kern w:val="0"/>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104</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IC钱币卡</w:t>
            </w:r>
          </w:p>
        </w:tc>
        <w:tc>
          <w:tcPr>
            <w:tcW w:w="1803"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themeColor="text1"/>
                <w:sz w:val="18"/>
                <w:szCs w:val="18"/>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个　</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105</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内存卡（SD卡）</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4G</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个</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106</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热敏电阻10K</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只</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107</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二极管</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IN4148</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只</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108</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香蕉插头</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大</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只</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109</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实验用导线</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一头大灯笼插，一头小灯笼插</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110</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实验用导线</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一头大灯笼插，一头小灯笼插</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条</w:t>
            </w:r>
          </w:p>
        </w:tc>
      </w:tr>
      <w:tr>
        <w:tblPrEx>
          <w:tblLayout w:type="fixed"/>
          <w:tblCellMar>
            <w:top w:w="0" w:type="dxa"/>
            <w:left w:w="108" w:type="dxa"/>
            <w:bottom w:w="0" w:type="dxa"/>
            <w:right w:w="108" w:type="dxa"/>
          </w:tblCellMar>
        </w:tblPrEx>
        <w:trPr>
          <w:trHeight w:val="23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ascii="宋体" w:hAnsi="宋体" w:cs="宋体"/>
                <w:color w:val="000000" w:themeColor="text1"/>
                <w:sz w:val="18"/>
                <w:szCs w:val="18"/>
              </w:rPr>
              <w:t>111</w:t>
            </w:r>
          </w:p>
        </w:tc>
        <w:tc>
          <w:tcPr>
            <w:tcW w:w="3584"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电子连线（2号）</w:t>
            </w:r>
          </w:p>
        </w:tc>
        <w:tc>
          <w:tcPr>
            <w:tcW w:w="1803"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color w:val="000000" w:themeColor="text1"/>
                <w:sz w:val="18"/>
                <w:szCs w:val="18"/>
              </w:rPr>
              <w:t>60cm红黑各5条 （40cm、20cm）五色各6条</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sz w:val="18"/>
                <w:szCs w:val="18"/>
              </w:rPr>
            </w:pPr>
            <w:r>
              <w:rPr>
                <w:rFonts w:hint="eastAsia"/>
                <w:color w:val="000000" w:themeColor="text1"/>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themeColor="text1"/>
                <w:sz w:val="18"/>
                <w:szCs w:val="18"/>
              </w:rPr>
            </w:pPr>
            <w:r>
              <w:rPr>
                <w:rFonts w:hint="eastAsia" w:ascii="宋体" w:hAnsi="宋体" w:cs="宋体"/>
                <w:color w:val="000000" w:themeColor="text1"/>
                <w:sz w:val="18"/>
                <w:szCs w:val="18"/>
              </w:rPr>
              <w:t>包</w:t>
            </w:r>
          </w:p>
        </w:tc>
      </w:tr>
    </w:tbl>
    <w:p>
      <w:pPr>
        <w:pStyle w:val="14"/>
        <w:tabs>
          <w:tab w:val="left" w:pos="420"/>
        </w:tabs>
        <w:spacing w:before="156" w:after="156"/>
        <w:ind w:left="0" w:firstLine="0"/>
        <w:rPr>
          <w:color w:val="000000" w:themeColor="text1"/>
        </w:rPr>
      </w:pPr>
      <w:r>
        <w:rPr>
          <w:rFonts w:hint="eastAsia"/>
          <w:color w:val="000000" w:themeColor="text1"/>
        </w:rPr>
        <w:t>2.YL-</w:t>
      </w:r>
      <w:r>
        <w:rPr>
          <w:color w:val="000000" w:themeColor="text1"/>
        </w:rPr>
        <w:t>1050</w:t>
      </w:r>
      <w:r>
        <w:rPr>
          <w:rFonts w:hint="eastAsia"/>
          <w:color w:val="000000" w:themeColor="text1"/>
        </w:rPr>
        <w:t>A电子电路焊接与智能检测系统学习套件</w:t>
      </w:r>
    </w:p>
    <w:tbl>
      <w:tblPr>
        <w:tblStyle w:val="9"/>
        <w:tblW w:w="8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868"/>
        <w:gridCol w:w="1305"/>
        <w:gridCol w:w="750"/>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序号</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名称</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型号</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数量</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高精度热敏电阻温度</w:t>
            </w:r>
            <w:r>
              <w:rPr>
                <w:rFonts w:eastAsiaTheme="minorEastAsia" w:cstheme="minorBidi"/>
                <w:color w:val="000000" w:themeColor="text1"/>
                <w:sz w:val="18"/>
                <w:szCs w:val="18"/>
              </w:rPr>
              <w:t>检测</w:t>
            </w:r>
            <w:r>
              <w:rPr>
                <w:rFonts w:hint="eastAsia" w:eastAsiaTheme="minorEastAsia" w:cstheme="minorBidi"/>
                <w:color w:val="000000" w:themeColor="text1"/>
                <w:sz w:val="18"/>
                <w:szCs w:val="18"/>
              </w:rPr>
              <w:t>电路的</w:t>
            </w:r>
            <w:r>
              <w:rPr>
                <w:rFonts w:eastAsiaTheme="minorEastAsia" w:cstheme="minorBidi"/>
                <w:color w:val="000000" w:themeColor="text1"/>
                <w:sz w:val="18"/>
                <w:szCs w:val="18"/>
              </w:rPr>
              <w:t>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-01</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2</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高灵敏度红外侦测</w:t>
            </w:r>
            <w:r>
              <w:rPr>
                <w:rFonts w:eastAsiaTheme="minorEastAsia" w:cstheme="minorBidi"/>
                <w:color w:val="000000" w:themeColor="text1"/>
                <w:sz w:val="18"/>
                <w:szCs w:val="18"/>
              </w:rPr>
              <w:t>电路的焊接与智能检测系统模块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-02</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3</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高精度湿度检测</w:t>
            </w:r>
            <w:r>
              <w:rPr>
                <w:rFonts w:eastAsiaTheme="minorEastAsia" w:cstheme="minorBidi"/>
                <w:color w:val="000000" w:themeColor="text1"/>
                <w:sz w:val="18"/>
                <w:szCs w:val="18"/>
              </w:rPr>
              <w:t>电路的焊接与智能检测系统模块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-03</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4</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高精度热电偶</w:t>
            </w:r>
            <w:r>
              <w:rPr>
                <w:rFonts w:eastAsiaTheme="minorEastAsia" w:cstheme="minorBidi"/>
                <w:color w:val="000000" w:themeColor="text1"/>
                <w:sz w:val="18"/>
                <w:szCs w:val="18"/>
              </w:rPr>
              <w:t>温度检测电路</w:t>
            </w:r>
            <w:r>
              <w:rPr>
                <w:rFonts w:hint="eastAsia" w:eastAsiaTheme="minorEastAsia" w:cstheme="minorBidi"/>
                <w:color w:val="000000" w:themeColor="text1"/>
                <w:sz w:val="18"/>
                <w:szCs w:val="18"/>
              </w:rPr>
              <w:t>的</w:t>
            </w:r>
            <w:r>
              <w:rPr>
                <w:rFonts w:eastAsiaTheme="minorEastAsia" w:cstheme="minorBidi"/>
                <w:color w:val="000000" w:themeColor="text1"/>
                <w:sz w:val="18"/>
                <w:szCs w:val="18"/>
              </w:rPr>
              <w:t>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-04</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5</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高精度铂电阻</w:t>
            </w:r>
            <w:r>
              <w:rPr>
                <w:rFonts w:eastAsiaTheme="minorEastAsia" w:cstheme="minorBidi"/>
                <w:color w:val="000000" w:themeColor="text1"/>
                <w:sz w:val="18"/>
                <w:szCs w:val="18"/>
              </w:rPr>
              <w:t>温度检测电路的焊接与智能检测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-05</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6</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高灵敏度火灾</w:t>
            </w:r>
            <w:r>
              <w:rPr>
                <w:rFonts w:eastAsiaTheme="minorEastAsia" w:cstheme="minorBidi"/>
                <w:color w:val="000000" w:themeColor="text1"/>
                <w:sz w:val="18"/>
                <w:szCs w:val="18"/>
              </w:rPr>
              <w:t>报警电路的焊接与智能检测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w:t>
            </w:r>
            <w:r>
              <w:rPr>
                <w:rFonts w:eastAsiaTheme="minorEastAsia" w:cstheme="minorBidi"/>
                <w:color w:val="000000" w:themeColor="text1"/>
                <w:sz w:val="18"/>
                <w:szCs w:val="18"/>
              </w:rPr>
              <w:t>1050</w:t>
            </w:r>
            <w:r>
              <w:rPr>
                <w:rFonts w:hint="eastAsia" w:eastAsiaTheme="minorEastAsia" w:cstheme="minorBidi"/>
                <w:color w:val="000000" w:themeColor="text1"/>
                <w:sz w:val="18"/>
                <w:szCs w:val="18"/>
              </w:rPr>
              <w:t>A</w:t>
            </w:r>
            <w:r>
              <w:rPr>
                <w:rFonts w:eastAsiaTheme="minorEastAsia" w:cstheme="minorBidi"/>
                <w:color w:val="000000" w:themeColor="text1"/>
                <w:sz w:val="18"/>
                <w:szCs w:val="18"/>
              </w:rPr>
              <w:t>-06</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7</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高精度大气压力</w:t>
            </w:r>
            <w:r>
              <w:rPr>
                <w:rFonts w:eastAsiaTheme="minorEastAsia" w:cstheme="minorBidi"/>
                <w:color w:val="000000" w:themeColor="text1"/>
                <w:sz w:val="18"/>
                <w:szCs w:val="18"/>
              </w:rPr>
              <w:t>检测电路的焊接与智能检测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-07</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8</w:t>
            </w:r>
          </w:p>
        </w:tc>
        <w:tc>
          <w:tcPr>
            <w:tcW w:w="4868" w:type="dxa"/>
            <w:vAlign w:val="center"/>
          </w:tcPr>
          <w:p>
            <w:pPr>
              <w:jc w:val="center"/>
              <w:rPr>
                <w:rFonts w:eastAsiaTheme="minorEastAsia" w:cstheme="minorBidi"/>
                <w:color w:val="000000" w:themeColor="text1"/>
                <w:sz w:val="18"/>
                <w:szCs w:val="18"/>
              </w:rPr>
            </w:pPr>
            <w:r>
              <w:rPr>
                <w:rFonts w:eastAsiaTheme="minorEastAsia" w:cstheme="minorBidi"/>
                <w:color w:val="000000" w:themeColor="text1"/>
                <w:sz w:val="18"/>
                <w:szCs w:val="18"/>
              </w:rPr>
              <w:t>0-15V</w:t>
            </w:r>
            <w:r>
              <w:rPr>
                <w:rFonts w:hint="eastAsia" w:eastAsiaTheme="minorEastAsia" w:cstheme="minorBidi"/>
                <w:color w:val="000000" w:themeColor="text1"/>
                <w:sz w:val="18"/>
                <w:szCs w:val="18"/>
              </w:rPr>
              <w:t>自动</w:t>
            </w:r>
            <w:r>
              <w:rPr>
                <w:rFonts w:eastAsiaTheme="minorEastAsia" w:cstheme="minorBidi"/>
                <w:color w:val="000000" w:themeColor="text1"/>
                <w:sz w:val="18"/>
                <w:szCs w:val="18"/>
              </w:rPr>
              <w:t>换挡电压源电路的焊接与智能检测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-08</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9</w:t>
            </w:r>
          </w:p>
        </w:tc>
        <w:tc>
          <w:tcPr>
            <w:tcW w:w="4868" w:type="dxa"/>
            <w:vAlign w:val="center"/>
          </w:tcPr>
          <w:p>
            <w:pPr>
              <w:jc w:val="center"/>
              <w:rPr>
                <w:rFonts w:eastAsiaTheme="minorEastAsia" w:cstheme="minorBidi"/>
                <w:color w:val="000000" w:themeColor="text1"/>
                <w:sz w:val="18"/>
                <w:szCs w:val="18"/>
              </w:rPr>
            </w:pPr>
            <w:r>
              <w:rPr>
                <w:rFonts w:eastAsiaTheme="minorEastAsia" w:cstheme="minorBidi"/>
                <w:color w:val="000000" w:themeColor="text1"/>
                <w:sz w:val="18"/>
                <w:szCs w:val="18"/>
              </w:rPr>
              <w:t>0-500mA</w:t>
            </w:r>
            <w:r>
              <w:rPr>
                <w:rFonts w:hint="eastAsia" w:eastAsiaTheme="minorEastAsia" w:cstheme="minorBidi"/>
                <w:color w:val="000000" w:themeColor="text1"/>
                <w:sz w:val="18"/>
                <w:szCs w:val="18"/>
              </w:rPr>
              <w:t>电流源</w:t>
            </w:r>
            <w:r>
              <w:rPr>
                <w:rFonts w:eastAsiaTheme="minorEastAsia" w:cstheme="minorBidi"/>
                <w:color w:val="000000" w:themeColor="text1"/>
                <w:sz w:val="18"/>
                <w:szCs w:val="18"/>
              </w:rPr>
              <w:t>电路的焊接与智能检测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-09</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10</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篮球</w:t>
            </w:r>
            <w:r>
              <w:rPr>
                <w:rFonts w:eastAsiaTheme="minorEastAsia" w:cstheme="minorBidi"/>
                <w:color w:val="000000" w:themeColor="text1"/>
                <w:sz w:val="18"/>
                <w:szCs w:val="18"/>
              </w:rPr>
              <w:t>积分数字电路系统的焊接与智能检测</w:t>
            </w:r>
            <w:r>
              <w:rPr>
                <w:rFonts w:hint="eastAsia" w:eastAsiaTheme="minorEastAsia" w:cstheme="minorBidi"/>
                <w:color w:val="000000" w:themeColor="text1"/>
                <w:sz w:val="18"/>
                <w:szCs w:val="18"/>
              </w:rPr>
              <w:t>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-10</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11</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高精度</w:t>
            </w:r>
            <w:r>
              <w:rPr>
                <w:rFonts w:eastAsiaTheme="minorEastAsia" w:cstheme="minorBidi"/>
                <w:color w:val="000000" w:themeColor="text1"/>
                <w:sz w:val="18"/>
                <w:szCs w:val="18"/>
              </w:rPr>
              <w:t>AD592</w:t>
            </w:r>
            <w:r>
              <w:rPr>
                <w:rFonts w:hint="eastAsia" w:eastAsiaTheme="minorEastAsia" w:cstheme="minorBidi"/>
                <w:color w:val="000000" w:themeColor="text1"/>
                <w:sz w:val="18"/>
                <w:szCs w:val="18"/>
              </w:rPr>
              <w:t>温度</w:t>
            </w:r>
            <w:r>
              <w:rPr>
                <w:rFonts w:eastAsiaTheme="minorEastAsia" w:cstheme="minorBidi"/>
                <w:color w:val="000000" w:themeColor="text1"/>
                <w:sz w:val="18"/>
                <w:szCs w:val="18"/>
              </w:rPr>
              <w:t>检测电路的焊接与智能检测系统模块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-11</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eastAsiaTheme="minorEastAsia" w:cstheme="minorBidi"/>
                <w:color w:val="000000" w:themeColor="text1"/>
                <w:sz w:val="18"/>
                <w:szCs w:val="18"/>
              </w:rPr>
              <w:t>12</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高品质</w:t>
            </w:r>
            <w:r>
              <w:rPr>
                <w:rFonts w:eastAsiaTheme="minorEastAsia" w:cstheme="minorBidi"/>
                <w:color w:val="000000" w:themeColor="text1"/>
                <w:sz w:val="18"/>
                <w:szCs w:val="18"/>
              </w:rPr>
              <w:t>音频功放</w:t>
            </w:r>
            <w:r>
              <w:rPr>
                <w:rFonts w:hint="eastAsia" w:eastAsiaTheme="minorEastAsia" w:cstheme="minorBidi"/>
                <w:color w:val="000000" w:themeColor="text1"/>
                <w:sz w:val="18"/>
                <w:szCs w:val="18"/>
              </w:rPr>
              <w:t>分立</w:t>
            </w:r>
            <w:r>
              <w:rPr>
                <w:rFonts w:eastAsiaTheme="minorEastAsia" w:cstheme="minorBidi"/>
                <w:color w:val="000000" w:themeColor="text1"/>
                <w:sz w:val="18"/>
                <w:szCs w:val="18"/>
              </w:rPr>
              <w:t>元件</w:t>
            </w:r>
            <w:r>
              <w:rPr>
                <w:rFonts w:hint="eastAsia" w:eastAsiaTheme="minorEastAsia" w:cstheme="minorBidi"/>
                <w:color w:val="000000" w:themeColor="text1"/>
                <w:sz w:val="18"/>
                <w:szCs w:val="18"/>
              </w:rPr>
              <w:t>电路</w:t>
            </w:r>
            <w:r>
              <w:rPr>
                <w:rFonts w:eastAsiaTheme="minorEastAsia" w:cstheme="minorBidi"/>
                <w:color w:val="000000" w:themeColor="text1"/>
                <w:sz w:val="18"/>
                <w:szCs w:val="18"/>
              </w:rPr>
              <w:t>的焊接与智能检测系统模块</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YL-1050A</w:t>
            </w:r>
            <w:r>
              <w:rPr>
                <w:rFonts w:eastAsiaTheme="minorEastAsia" w:cstheme="minorBidi"/>
                <w:color w:val="000000" w:themeColor="text1"/>
                <w:sz w:val="18"/>
                <w:szCs w:val="18"/>
              </w:rPr>
              <w:t>-12</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2"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13</w:t>
            </w:r>
          </w:p>
        </w:tc>
        <w:tc>
          <w:tcPr>
            <w:tcW w:w="4868"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数据采集器:2个</w:t>
            </w:r>
            <w:r>
              <w:rPr>
                <w:rFonts w:eastAsiaTheme="minorEastAsia" w:cstheme="minorBidi"/>
                <w:color w:val="000000" w:themeColor="text1"/>
                <w:sz w:val="18"/>
                <w:szCs w:val="18"/>
              </w:rPr>
              <w:t>模拟输入通道， 2 个模拟输出通道， 8 个 DIO 数字通道。</w:t>
            </w:r>
            <w:r>
              <w:rPr>
                <w:rFonts w:hint="eastAsia" w:eastAsiaTheme="minorEastAsia" w:cstheme="minorBidi"/>
                <w:color w:val="000000" w:themeColor="text1"/>
                <w:sz w:val="18"/>
                <w:szCs w:val="18"/>
              </w:rPr>
              <w:t>提供</w:t>
            </w:r>
            <w:r>
              <w:rPr>
                <w:rFonts w:eastAsiaTheme="minorEastAsia" w:cstheme="minorBidi"/>
                <w:color w:val="000000" w:themeColor="text1"/>
                <w:sz w:val="18"/>
                <w:szCs w:val="18"/>
              </w:rPr>
              <w:t>+15 V 和 -15 V， +5 V 电源</w:t>
            </w:r>
          </w:p>
        </w:tc>
        <w:tc>
          <w:tcPr>
            <w:tcW w:w="1305"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myDAQ</w:t>
            </w:r>
          </w:p>
        </w:tc>
        <w:tc>
          <w:tcPr>
            <w:tcW w:w="750"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1</w:t>
            </w:r>
          </w:p>
        </w:tc>
        <w:tc>
          <w:tcPr>
            <w:tcW w:w="619" w:type="dxa"/>
            <w:vAlign w:val="center"/>
          </w:tcPr>
          <w:p>
            <w:pPr>
              <w:jc w:val="center"/>
              <w:rPr>
                <w:rFonts w:eastAsiaTheme="minorEastAsia" w:cstheme="minorBidi"/>
                <w:color w:val="000000" w:themeColor="text1"/>
                <w:sz w:val="18"/>
                <w:szCs w:val="18"/>
              </w:rPr>
            </w:pPr>
            <w:r>
              <w:rPr>
                <w:rFonts w:hint="eastAsia" w:eastAsiaTheme="minorEastAsia" w:cstheme="minorBidi"/>
                <w:color w:val="000000" w:themeColor="text1"/>
                <w:sz w:val="18"/>
                <w:szCs w:val="18"/>
              </w:rPr>
              <w:t>套</w:t>
            </w:r>
          </w:p>
        </w:tc>
      </w:tr>
    </w:tbl>
    <w:p>
      <w:pPr>
        <w:snapToGrid w:val="0"/>
        <w:spacing w:line="560" w:lineRule="exact"/>
        <w:outlineLvl w:val="1"/>
        <w:rPr>
          <w:rFonts w:ascii="宋体" w:hAnsi="宋体" w:cs="宋体"/>
          <w:color w:val="000000" w:themeColor="text1"/>
          <w:sz w:val="24"/>
          <w:szCs w:val="24"/>
          <w:highlight w:val="yellow"/>
        </w:rPr>
      </w:pPr>
      <w:r>
        <w:rPr>
          <w:rFonts w:hint="eastAsia" w:ascii="宋体" w:hAnsi="宋体" w:cs="宋体"/>
          <w:b/>
          <w:bCs/>
          <w:color w:val="000000" w:themeColor="text1"/>
          <w:sz w:val="24"/>
          <w:szCs w:val="24"/>
        </w:rPr>
        <w:t>（二）</w:t>
      </w:r>
      <w:r>
        <w:rPr>
          <w:rFonts w:hint="eastAsia" w:ascii="宋体" w:hAnsi="宋体" w:cs="宋体"/>
          <w:color w:val="000000" w:themeColor="text1"/>
          <w:sz w:val="24"/>
          <w:szCs w:val="24"/>
        </w:rPr>
        <w:t>选手自带工具：参考（附表或者清单）</w:t>
      </w:r>
    </w:p>
    <w:tbl>
      <w:tblPr>
        <w:tblStyle w:val="8"/>
        <w:tblW w:w="7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1781"/>
        <w:gridCol w:w="2525"/>
        <w:gridCol w:w="660"/>
        <w:gridCol w:w="65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9" w:type="dxa"/>
          </w:tcPr>
          <w:p>
            <w:pPr>
              <w:autoSpaceDE w:val="0"/>
              <w:autoSpaceDN w:val="0"/>
              <w:spacing w:before="26" w:line="237" w:lineRule="exact"/>
              <w:ind w:left="6"/>
              <w:jc w:val="center"/>
              <w:rPr>
                <w:rFonts w:ascii="仿宋" w:hAnsi="宋体" w:cs="宋体"/>
                <w:color w:val="000000" w:themeColor="text1"/>
                <w:kern w:val="0"/>
                <w:sz w:val="20"/>
                <w:lang w:val="zh-CN"/>
              </w:rPr>
            </w:pPr>
            <w:r>
              <w:rPr>
                <w:rFonts w:hint="eastAsia" w:ascii="仿宋" w:hAnsi="宋体" w:cs="宋体"/>
                <w:color w:val="000000" w:themeColor="text1"/>
                <w:kern w:val="0"/>
                <w:sz w:val="20"/>
                <w:lang w:val="zh-CN"/>
              </w:rPr>
              <w:t>序号</w:t>
            </w:r>
          </w:p>
        </w:tc>
        <w:tc>
          <w:tcPr>
            <w:tcW w:w="1781" w:type="dxa"/>
          </w:tcPr>
          <w:p>
            <w:pPr>
              <w:autoSpaceDE w:val="0"/>
              <w:autoSpaceDN w:val="0"/>
              <w:spacing w:before="19" w:line="245" w:lineRule="exact"/>
              <w:ind w:left="378"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名称</w:t>
            </w:r>
          </w:p>
        </w:tc>
        <w:tc>
          <w:tcPr>
            <w:tcW w:w="2525" w:type="dxa"/>
          </w:tcPr>
          <w:p>
            <w:pPr>
              <w:autoSpaceDE w:val="0"/>
              <w:autoSpaceDN w:val="0"/>
              <w:spacing w:before="19" w:line="245" w:lineRule="exact"/>
              <w:ind w:left="895" w:right="890"/>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参数</w:t>
            </w:r>
          </w:p>
        </w:tc>
        <w:tc>
          <w:tcPr>
            <w:tcW w:w="660" w:type="dxa"/>
          </w:tcPr>
          <w:p>
            <w:pPr>
              <w:autoSpaceDE w:val="0"/>
              <w:autoSpaceDN w:val="0"/>
              <w:spacing w:before="19" w:line="245" w:lineRule="exact"/>
              <w:ind w:left="3"/>
              <w:jc w:val="center"/>
              <w:rPr>
                <w:rFonts w:ascii="仿宋" w:hAnsi="宋体" w:cs="宋体"/>
                <w:color w:val="000000" w:themeColor="text1"/>
                <w:kern w:val="0"/>
                <w:sz w:val="20"/>
                <w:lang w:val="zh-CN"/>
              </w:rPr>
            </w:pPr>
            <w:r>
              <w:rPr>
                <w:rFonts w:hint="eastAsia" w:ascii="仿宋" w:hAnsi="宋体" w:cs="宋体"/>
                <w:color w:val="000000" w:themeColor="text1"/>
                <w:kern w:val="0"/>
                <w:sz w:val="20"/>
                <w:lang w:val="zh-CN"/>
              </w:rPr>
              <w:t>数量</w:t>
            </w:r>
          </w:p>
        </w:tc>
        <w:tc>
          <w:tcPr>
            <w:tcW w:w="658" w:type="dxa"/>
          </w:tcPr>
          <w:p>
            <w:pPr>
              <w:autoSpaceDE w:val="0"/>
              <w:autoSpaceDN w:val="0"/>
              <w:spacing w:before="19"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单位</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 w:hRule="atLeast"/>
          <w:jc w:val="center"/>
        </w:trPr>
        <w:tc>
          <w:tcPr>
            <w:tcW w:w="649" w:type="dxa"/>
          </w:tcPr>
          <w:p>
            <w:pPr>
              <w:autoSpaceDE w:val="0"/>
              <w:autoSpaceDN w:val="0"/>
              <w:spacing w:before="26" w:line="237"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1781" w:type="dxa"/>
          </w:tcPr>
          <w:p>
            <w:pPr>
              <w:autoSpaceDE w:val="0"/>
              <w:autoSpaceDN w:val="0"/>
              <w:spacing w:before="19" w:line="245" w:lineRule="exact"/>
              <w:ind w:left="378"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恒温烙铁或焊台</w:t>
            </w:r>
          </w:p>
        </w:tc>
        <w:tc>
          <w:tcPr>
            <w:tcW w:w="2525" w:type="dxa"/>
          </w:tcPr>
          <w:p>
            <w:pPr>
              <w:autoSpaceDE w:val="0"/>
              <w:autoSpaceDN w:val="0"/>
              <w:spacing w:before="19" w:line="245" w:lineRule="exact"/>
              <w:ind w:left="895" w:right="890"/>
              <w:jc w:val="center"/>
              <w:rPr>
                <w:rFonts w:ascii="宋体" w:hAnsi="宋体" w:cs="宋体"/>
                <w:color w:val="000000" w:themeColor="text1"/>
                <w:kern w:val="0"/>
                <w:sz w:val="20"/>
                <w:lang w:val="zh-CN"/>
              </w:rPr>
            </w:pPr>
            <w:r>
              <w:rPr>
                <w:rFonts w:ascii="仿宋" w:hAnsi="宋体" w:eastAsia="仿宋" w:cs="宋体"/>
                <w:color w:val="000000" w:themeColor="text1"/>
                <w:kern w:val="0"/>
                <w:sz w:val="20"/>
                <w:lang w:val="zh-CN"/>
              </w:rPr>
              <w:t xml:space="preserve">30-60W </w:t>
            </w:r>
          </w:p>
        </w:tc>
        <w:tc>
          <w:tcPr>
            <w:tcW w:w="660" w:type="dxa"/>
          </w:tcPr>
          <w:p>
            <w:pPr>
              <w:autoSpaceDE w:val="0"/>
              <w:autoSpaceDN w:val="0"/>
              <w:spacing w:before="19" w:line="245"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19"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个</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649" w:type="dxa"/>
          </w:tcPr>
          <w:p>
            <w:pPr>
              <w:autoSpaceDE w:val="0"/>
              <w:autoSpaceDN w:val="0"/>
              <w:spacing w:before="15" w:line="240"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2</w:t>
            </w:r>
          </w:p>
        </w:tc>
        <w:tc>
          <w:tcPr>
            <w:tcW w:w="1781" w:type="dxa"/>
          </w:tcPr>
          <w:p>
            <w:pPr>
              <w:autoSpaceDE w:val="0"/>
              <w:autoSpaceDN w:val="0"/>
              <w:spacing w:before="8" w:line="247"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热风抢</w:t>
            </w:r>
          </w:p>
        </w:tc>
        <w:tc>
          <w:tcPr>
            <w:tcW w:w="2525" w:type="dxa"/>
          </w:tcPr>
          <w:p>
            <w:pPr>
              <w:autoSpaceDE w:val="0"/>
              <w:autoSpaceDN w:val="0"/>
              <w:spacing w:before="8" w:line="247" w:lineRule="exact"/>
              <w:ind w:left="892" w:right="890"/>
              <w:jc w:val="center"/>
              <w:rPr>
                <w:rFonts w:ascii="宋体" w:hAnsi="宋体" w:cs="宋体"/>
                <w:color w:val="000000" w:themeColor="text1"/>
                <w:kern w:val="0"/>
                <w:sz w:val="20"/>
                <w:lang w:val="zh-CN"/>
              </w:rPr>
            </w:pPr>
            <w:r>
              <w:rPr>
                <w:rFonts w:ascii="仿宋" w:hAnsi="宋体" w:eastAsia="仿宋" w:cs="宋体"/>
                <w:color w:val="000000" w:themeColor="text1"/>
                <w:kern w:val="0"/>
                <w:sz w:val="20"/>
                <w:lang w:val="zh-CN"/>
              </w:rPr>
              <w:t xml:space="preserve">550W </w:t>
            </w:r>
            <w:r>
              <w:rPr>
                <w:rFonts w:hint="eastAsia" w:ascii="宋体" w:hAnsi="宋体" w:cs="宋体"/>
                <w:color w:val="000000" w:themeColor="text1"/>
                <w:kern w:val="0"/>
                <w:sz w:val="20"/>
                <w:lang w:val="zh-CN"/>
              </w:rPr>
              <w:t>防静电</w:t>
            </w:r>
          </w:p>
        </w:tc>
        <w:tc>
          <w:tcPr>
            <w:tcW w:w="660" w:type="dxa"/>
          </w:tcPr>
          <w:p>
            <w:pPr>
              <w:autoSpaceDE w:val="0"/>
              <w:autoSpaceDN w:val="0"/>
              <w:spacing w:before="8" w:line="247"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7"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套</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649" w:type="dxa"/>
          </w:tcPr>
          <w:p>
            <w:pPr>
              <w:autoSpaceDE w:val="0"/>
              <w:autoSpaceDN w:val="0"/>
              <w:spacing w:before="15" w:line="237"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3</w:t>
            </w:r>
          </w:p>
        </w:tc>
        <w:tc>
          <w:tcPr>
            <w:tcW w:w="1781" w:type="dxa"/>
          </w:tcPr>
          <w:p>
            <w:pPr>
              <w:autoSpaceDE w:val="0"/>
              <w:autoSpaceDN w:val="0"/>
              <w:spacing w:before="8" w:line="245"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尖嘴钳</w:t>
            </w:r>
          </w:p>
        </w:tc>
        <w:tc>
          <w:tcPr>
            <w:tcW w:w="2525" w:type="dxa"/>
          </w:tcPr>
          <w:p>
            <w:pPr>
              <w:autoSpaceDE w:val="0"/>
              <w:autoSpaceDN w:val="0"/>
              <w:jc w:val="left"/>
              <w:rPr>
                <w:rFonts w:ascii="Times New Roman" w:hAnsi="宋体" w:cs="宋体"/>
                <w:color w:val="000000" w:themeColor="text1"/>
                <w:kern w:val="0"/>
                <w:sz w:val="20"/>
                <w:lang w:val="zh-CN"/>
              </w:rPr>
            </w:pPr>
          </w:p>
        </w:tc>
        <w:tc>
          <w:tcPr>
            <w:tcW w:w="660" w:type="dxa"/>
          </w:tcPr>
          <w:p>
            <w:pPr>
              <w:autoSpaceDE w:val="0"/>
              <w:autoSpaceDN w:val="0"/>
              <w:spacing w:before="8" w:line="245"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649" w:type="dxa"/>
          </w:tcPr>
          <w:p>
            <w:pPr>
              <w:autoSpaceDE w:val="0"/>
              <w:autoSpaceDN w:val="0"/>
              <w:spacing w:before="15" w:line="237"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4</w:t>
            </w:r>
          </w:p>
        </w:tc>
        <w:tc>
          <w:tcPr>
            <w:tcW w:w="1781" w:type="dxa"/>
          </w:tcPr>
          <w:p>
            <w:pPr>
              <w:autoSpaceDE w:val="0"/>
              <w:autoSpaceDN w:val="0"/>
              <w:spacing w:before="8" w:line="245"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剥线钳</w:t>
            </w:r>
          </w:p>
        </w:tc>
        <w:tc>
          <w:tcPr>
            <w:tcW w:w="2525" w:type="dxa"/>
          </w:tcPr>
          <w:p>
            <w:pPr>
              <w:autoSpaceDE w:val="0"/>
              <w:autoSpaceDN w:val="0"/>
              <w:jc w:val="left"/>
              <w:rPr>
                <w:rFonts w:ascii="Times New Roman" w:hAnsi="宋体" w:cs="宋体"/>
                <w:color w:val="000000" w:themeColor="text1"/>
                <w:kern w:val="0"/>
                <w:sz w:val="20"/>
                <w:lang w:val="zh-CN"/>
              </w:rPr>
            </w:pPr>
          </w:p>
        </w:tc>
        <w:tc>
          <w:tcPr>
            <w:tcW w:w="660" w:type="dxa"/>
          </w:tcPr>
          <w:p>
            <w:pPr>
              <w:autoSpaceDE w:val="0"/>
              <w:autoSpaceDN w:val="0"/>
              <w:spacing w:before="8" w:line="245"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649" w:type="dxa"/>
          </w:tcPr>
          <w:p>
            <w:pPr>
              <w:autoSpaceDE w:val="0"/>
              <w:autoSpaceDN w:val="0"/>
              <w:spacing w:before="15" w:line="240"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5</w:t>
            </w:r>
          </w:p>
        </w:tc>
        <w:tc>
          <w:tcPr>
            <w:tcW w:w="1781" w:type="dxa"/>
          </w:tcPr>
          <w:p>
            <w:pPr>
              <w:autoSpaceDE w:val="0"/>
              <w:autoSpaceDN w:val="0"/>
              <w:spacing w:before="8" w:line="247"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压线钳</w:t>
            </w:r>
          </w:p>
        </w:tc>
        <w:tc>
          <w:tcPr>
            <w:tcW w:w="2525" w:type="dxa"/>
          </w:tcPr>
          <w:p>
            <w:pPr>
              <w:autoSpaceDE w:val="0"/>
              <w:autoSpaceDN w:val="0"/>
              <w:jc w:val="left"/>
              <w:rPr>
                <w:rFonts w:ascii="Times New Roman" w:hAnsi="宋体" w:cs="宋体"/>
                <w:color w:val="000000" w:themeColor="text1"/>
                <w:kern w:val="0"/>
                <w:sz w:val="20"/>
                <w:lang w:val="zh-CN"/>
              </w:rPr>
            </w:pPr>
          </w:p>
        </w:tc>
        <w:tc>
          <w:tcPr>
            <w:tcW w:w="660" w:type="dxa"/>
          </w:tcPr>
          <w:p>
            <w:pPr>
              <w:autoSpaceDE w:val="0"/>
              <w:autoSpaceDN w:val="0"/>
              <w:spacing w:before="8" w:line="247"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7"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649" w:type="dxa"/>
          </w:tcPr>
          <w:p>
            <w:pPr>
              <w:autoSpaceDE w:val="0"/>
              <w:autoSpaceDN w:val="0"/>
              <w:spacing w:before="15" w:line="237"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6</w:t>
            </w:r>
          </w:p>
        </w:tc>
        <w:tc>
          <w:tcPr>
            <w:tcW w:w="1781" w:type="dxa"/>
          </w:tcPr>
          <w:p>
            <w:pPr>
              <w:autoSpaceDE w:val="0"/>
              <w:autoSpaceDN w:val="0"/>
              <w:spacing w:before="8" w:line="245"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斜口钳</w:t>
            </w:r>
          </w:p>
        </w:tc>
        <w:tc>
          <w:tcPr>
            <w:tcW w:w="2525" w:type="dxa"/>
          </w:tcPr>
          <w:p>
            <w:pPr>
              <w:autoSpaceDE w:val="0"/>
              <w:autoSpaceDN w:val="0"/>
              <w:jc w:val="left"/>
              <w:rPr>
                <w:rFonts w:ascii="Times New Roman" w:hAnsi="宋体" w:cs="宋体"/>
                <w:color w:val="000000" w:themeColor="text1"/>
                <w:kern w:val="0"/>
                <w:sz w:val="20"/>
                <w:lang w:val="zh-CN"/>
              </w:rPr>
            </w:pPr>
          </w:p>
        </w:tc>
        <w:tc>
          <w:tcPr>
            <w:tcW w:w="660" w:type="dxa"/>
          </w:tcPr>
          <w:p>
            <w:pPr>
              <w:autoSpaceDE w:val="0"/>
              <w:autoSpaceDN w:val="0"/>
              <w:spacing w:before="8" w:line="245"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649" w:type="dxa"/>
          </w:tcPr>
          <w:p>
            <w:pPr>
              <w:autoSpaceDE w:val="0"/>
              <w:autoSpaceDN w:val="0"/>
              <w:spacing w:before="15" w:line="237"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7</w:t>
            </w:r>
          </w:p>
        </w:tc>
        <w:tc>
          <w:tcPr>
            <w:tcW w:w="1781" w:type="dxa"/>
          </w:tcPr>
          <w:p>
            <w:pPr>
              <w:autoSpaceDE w:val="0"/>
              <w:autoSpaceDN w:val="0"/>
              <w:spacing w:before="8" w:line="245"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镊子</w:t>
            </w:r>
          </w:p>
        </w:tc>
        <w:tc>
          <w:tcPr>
            <w:tcW w:w="2525" w:type="dxa"/>
          </w:tcPr>
          <w:p>
            <w:pPr>
              <w:autoSpaceDE w:val="0"/>
              <w:autoSpaceDN w:val="0"/>
              <w:jc w:val="left"/>
              <w:rPr>
                <w:rFonts w:ascii="Times New Roman" w:hAnsi="宋体" w:cs="宋体"/>
                <w:color w:val="000000" w:themeColor="text1"/>
                <w:kern w:val="0"/>
                <w:sz w:val="20"/>
                <w:lang w:val="zh-CN"/>
              </w:rPr>
            </w:pPr>
          </w:p>
        </w:tc>
        <w:tc>
          <w:tcPr>
            <w:tcW w:w="660" w:type="dxa"/>
          </w:tcPr>
          <w:p>
            <w:pPr>
              <w:autoSpaceDE w:val="0"/>
              <w:autoSpaceDN w:val="0"/>
              <w:spacing w:before="8" w:line="245" w:lineRule="exact"/>
              <w:ind w:left="3"/>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1</w:t>
            </w:r>
          </w:p>
        </w:tc>
        <w:tc>
          <w:tcPr>
            <w:tcW w:w="658" w:type="dxa"/>
          </w:tcPr>
          <w:p>
            <w:pPr>
              <w:autoSpaceDE w:val="0"/>
              <w:autoSpaceDN w:val="0"/>
              <w:spacing w:before="8" w:line="245" w:lineRule="exact"/>
              <w:ind w:right="1"/>
              <w:jc w:val="center"/>
              <w:rPr>
                <w:rFonts w:ascii="宋体" w:hAnsi="宋体" w:cs="宋体"/>
                <w:color w:val="000000" w:themeColor="text1"/>
                <w:w w:val="99"/>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jc w:val="center"/>
        </w:trPr>
        <w:tc>
          <w:tcPr>
            <w:tcW w:w="649" w:type="dxa"/>
          </w:tcPr>
          <w:p>
            <w:pPr>
              <w:autoSpaceDE w:val="0"/>
              <w:autoSpaceDN w:val="0"/>
              <w:spacing w:before="16" w:line="240" w:lineRule="exact"/>
              <w:ind w:left="6"/>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8</w:t>
            </w:r>
          </w:p>
        </w:tc>
        <w:tc>
          <w:tcPr>
            <w:tcW w:w="1781" w:type="dxa"/>
          </w:tcPr>
          <w:p>
            <w:pPr>
              <w:autoSpaceDE w:val="0"/>
              <w:autoSpaceDN w:val="0"/>
              <w:spacing w:before="8" w:line="245"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十字螺丝刀</w:t>
            </w:r>
          </w:p>
        </w:tc>
        <w:tc>
          <w:tcPr>
            <w:tcW w:w="2525" w:type="dxa"/>
          </w:tcPr>
          <w:p>
            <w:pPr>
              <w:autoSpaceDE w:val="0"/>
              <w:autoSpaceDN w:val="0"/>
              <w:spacing w:before="8" w:line="245" w:lineRule="exact"/>
              <w:ind w:left="895" w:right="890"/>
              <w:jc w:val="center"/>
              <w:rPr>
                <w:rFonts w:ascii="仿宋" w:hAnsi="宋体" w:eastAsia="仿宋" w:cs="宋体"/>
                <w:color w:val="000000" w:themeColor="text1"/>
                <w:kern w:val="0"/>
                <w:sz w:val="20"/>
                <w:lang w:val="zh-CN"/>
              </w:rPr>
            </w:pPr>
            <w:r>
              <w:rPr>
                <w:rFonts w:ascii="仿宋" w:hAnsi="仿宋" w:cs="宋体"/>
                <w:color w:val="000000" w:themeColor="text1"/>
                <w:kern w:val="0"/>
                <w:sz w:val="20"/>
                <w:lang w:val="zh-CN"/>
              </w:rPr>
              <w:t>3</w:t>
            </w:r>
            <w:r>
              <w:rPr>
                <w:rFonts w:ascii="宋体" w:hAnsi="宋体" w:cs="宋体"/>
                <w:color w:val="000000" w:themeColor="text1"/>
                <w:kern w:val="0"/>
                <w:sz w:val="20"/>
                <w:lang w:val="zh-CN"/>
              </w:rPr>
              <w:t>×</w:t>
            </w:r>
            <w:r>
              <w:rPr>
                <w:rFonts w:ascii="仿宋" w:hAnsi="仿宋" w:cs="宋体"/>
                <w:color w:val="000000" w:themeColor="text1"/>
                <w:kern w:val="0"/>
                <w:sz w:val="20"/>
                <w:lang w:val="zh-CN"/>
              </w:rPr>
              <w:t>75mm</w:t>
            </w:r>
          </w:p>
        </w:tc>
        <w:tc>
          <w:tcPr>
            <w:tcW w:w="660" w:type="dxa"/>
          </w:tcPr>
          <w:p>
            <w:pPr>
              <w:autoSpaceDE w:val="0"/>
              <w:autoSpaceDN w:val="0"/>
              <w:spacing w:before="8" w:line="245"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5"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649" w:type="dxa"/>
          </w:tcPr>
          <w:p>
            <w:pPr>
              <w:autoSpaceDE w:val="0"/>
              <w:autoSpaceDN w:val="0"/>
              <w:spacing w:before="16" w:line="240" w:lineRule="exact"/>
              <w:ind w:left="6"/>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9</w:t>
            </w:r>
          </w:p>
        </w:tc>
        <w:tc>
          <w:tcPr>
            <w:tcW w:w="1781" w:type="dxa"/>
          </w:tcPr>
          <w:p>
            <w:pPr>
              <w:autoSpaceDE w:val="0"/>
              <w:autoSpaceDN w:val="0"/>
              <w:spacing w:before="8" w:line="247"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一字螺丝刀</w:t>
            </w:r>
          </w:p>
        </w:tc>
        <w:tc>
          <w:tcPr>
            <w:tcW w:w="2525" w:type="dxa"/>
          </w:tcPr>
          <w:p>
            <w:pPr>
              <w:autoSpaceDE w:val="0"/>
              <w:autoSpaceDN w:val="0"/>
              <w:spacing w:before="8" w:line="247" w:lineRule="exact"/>
              <w:ind w:left="895" w:right="890"/>
              <w:jc w:val="center"/>
              <w:rPr>
                <w:rFonts w:ascii="仿宋" w:hAnsi="宋体" w:eastAsia="仿宋" w:cs="宋体"/>
                <w:color w:val="000000" w:themeColor="text1"/>
                <w:kern w:val="0"/>
                <w:sz w:val="20"/>
                <w:lang w:val="zh-CN"/>
              </w:rPr>
            </w:pPr>
            <w:r>
              <w:rPr>
                <w:rFonts w:ascii="仿宋" w:hAnsi="仿宋" w:cs="宋体"/>
                <w:color w:val="000000" w:themeColor="text1"/>
                <w:kern w:val="0"/>
                <w:sz w:val="20"/>
                <w:lang w:val="zh-CN"/>
              </w:rPr>
              <w:t>3</w:t>
            </w:r>
            <w:r>
              <w:rPr>
                <w:rFonts w:ascii="宋体" w:hAnsi="宋体" w:cs="宋体"/>
                <w:color w:val="000000" w:themeColor="text1"/>
                <w:kern w:val="0"/>
                <w:sz w:val="20"/>
                <w:lang w:val="zh-CN"/>
              </w:rPr>
              <w:t>×</w:t>
            </w:r>
            <w:r>
              <w:rPr>
                <w:rFonts w:ascii="仿宋" w:hAnsi="仿宋" w:cs="宋体"/>
                <w:color w:val="000000" w:themeColor="text1"/>
                <w:kern w:val="0"/>
                <w:sz w:val="20"/>
                <w:lang w:val="zh-CN"/>
              </w:rPr>
              <w:t>75mm</w:t>
            </w:r>
          </w:p>
        </w:tc>
        <w:tc>
          <w:tcPr>
            <w:tcW w:w="660" w:type="dxa"/>
          </w:tcPr>
          <w:p>
            <w:pPr>
              <w:autoSpaceDE w:val="0"/>
              <w:autoSpaceDN w:val="0"/>
              <w:spacing w:before="8" w:line="247" w:lineRule="exact"/>
              <w:ind w:left="3"/>
              <w:jc w:val="center"/>
              <w:rPr>
                <w:rFonts w:ascii="仿宋" w:hAnsi="宋体" w:cs="宋体"/>
                <w:color w:val="000000" w:themeColor="text1"/>
                <w:kern w:val="0"/>
                <w:sz w:val="20"/>
                <w:lang w:val="zh-CN"/>
              </w:rPr>
            </w:pPr>
            <w:r>
              <w:rPr>
                <w:rFonts w:ascii="仿宋" w:hAnsi="宋体" w:cs="宋体"/>
                <w:color w:val="000000" w:themeColor="text1"/>
                <w:w w:val="99"/>
                <w:kern w:val="0"/>
                <w:sz w:val="20"/>
                <w:lang w:val="zh-CN"/>
              </w:rPr>
              <w:t>1</w:t>
            </w:r>
          </w:p>
        </w:tc>
        <w:tc>
          <w:tcPr>
            <w:tcW w:w="658" w:type="dxa"/>
          </w:tcPr>
          <w:p>
            <w:pPr>
              <w:autoSpaceDE w:val="0"/>
              <w:autoSpaceDN w:val="0"/>
              <w:spacing w:before="8" w:line="247" w:lineRule="exact"/>
              <w:ind w:right="1"/>
              <w:jc w:val="center"/>
              <w:rPr>
                <w:rFonts w:ascii="宋体" w:hAnsi="宋体" w:cs="宋体"/>
                <w:color w:val="000000" w:themeColor="text1"/>
                <w:kern w:val="0"/>
                <w:sz w:val="20"/>
                <w:lang w:val="zh-CN"/>
              </w:rPr>
            </w:pPr>
            <w:r>
              <w:rPr>
                <w:rFonts w:hint="eastAsia" w:ascii="宋体" w:hAnsi="宋体" w:cs="宋体"/>
                <w:color w:val="000000" w:themeColor="text1"/>
                <w:w w:val="99"/>
                <w:kern w:val="0"/>
                <w:sz w:val="20"/>
                <w:lang w:val="zh-CN"/>
              </w:rPr>
              <w:t>把</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649" w:type="dxa"/>
          </w:tcPr>
          <w:p>
            <w:pPr>
              <w:autoSpaceDE w:val="0"/>
              <w:autoSpaceDN w:val="0"/>
              <w:spacing w:before="16" w:line="240" w:lineRule="exact"/>
              <w:ind w:left="6"/>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10</w:t>
            </w:r>
          </w:p>
        </w:tc>
        <w:tc>
          <w:tcPr>
            <w:tcW w:w="1781" w:type="dxa"/>
          </w:tcPr>
          <w:p>
            <w:pPr>
              <w:autoSpaceDE w:val="0"/>
              <w:autoSpaceDN w:val="0"/>
              <w:spacing w:before="8" w:line="247"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焊锡丝</w:t>
            </w:r>
          </w:p>
        </w:tc>
        <w:tc>
          <w:tcPr>
            <w:tcW w:w="2525" w:type="dxa"/>
          </w:tcPr>
          <w:p>
            <w:pPr>
              <w:autoSpaceDE w:val="0"/>
              <w:autoSpaceDN w:val="0"/>
              <w:spacing w:before="8" w:line="247" w:lineRule="exact"/>
              <w:ind w:left="895" w:right="890"/>
              <w:jc w:val="center"/>
              <w:rPr>
                <w:rFonts w:ascii="仿宋" w:hAnsi="仿宋" w:cs="宋体"/>
                <w:color w:val="000000" w:themeColor="text1"/>
                <w:kern w:val="0"/>
                <w:sz w:val="20"/>
                <w:lang w:val="zh-CN"/>
              </w:rPr>
            </w:pPr>
          </w:p>
        </w:tc>
        <w:tc>
          <w:tcPr>
            <w:tcW w:w="660" w:type="dxa"/>
          </w:tcPr>
          <w:p>
            <w:pPr>
              <w:autoSpaceDE w:val="0"/>
              <w:autoSpaceDN w:val="0"/>
              <w:spacing w:before="8" w:line="247" w:lineRule="exact"/>
              <w:ind w:left="3"/>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1</w:t>
            </w:r>
          </w:p>
        </w:tc>
        <w:tc>
          <w:tcPr>
            <w:tcW w:w="658" w:type="dxa"/>
          </w:tcPr>
          <w:p>
            <w:pPr>
              <w:autoSpaceDE w:val="0"/>
              <w:autoSpaceDN w:val="0"/>
              <w:spacing w:before="8" w:line="247" w:lineRule="exact"/>
              <w:ind w:right="1"/>
              <w:jc w:val="center"/>
              <w:rPr>
                <w:rFonts w:ascii="宋体" w:hAnsi="宋体" w:cs="宋体"/>
                <w:color w:val="000000" w:themeColor="text1"/>
                <w:w w:val="99"/>
                <w:kern w:val="0"/>
                <w:sz w:val="20"/>
                <w:lang w:val="zh-CN"/>
              </w:rPr>
            </w:pPr>
            <w:r>
              <w:rPr>
                <w:rFonts w:hint="eastAsia" w:ascii="宋体" w:hAnsi="宋体" w:cs="宋体"/>
                <w:color w:val="000000" w:themeColor="text1"/>
                <w:w w:val="99"/>
                <w:kern w:val="0"/>
                <w:sz w:val="20"/>
                <w:lang w:val="zh-CN"/>
              </w:rPr>
              <w:t>卷</w:t>
            </w:r>
          </w:p>
        </w:tc>
        <w:tc>
          <w:tcPr>
            <w:tcW w:w="1211" w:type="dxa"/>
          </w:tcPr>
          <w:p>
            <w:pPr>
              <w:autoSpaceDE w:val="0"/>
              <w:autoSpaceDN w:val="0"/>
              <w:jc w:val="left"/>
              <w:rPr>
                <w:rFonts w:ascii="Times New Roman" w:hAnsi="宋体" w:cs="宋体"/>
                <w:color w:val="000000" w:themeColor="text1"/>
                <w:kern w:val="0"/>
                <w:sz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jc w:val="center"/>
        </w:trPr>
        <w:tc>
          <w:tcPr>
            <w:tcW w:w="649" w:type="dxa"/>
          </w:tcPr>
          <w:p>
            <w:pPr>
              <w:autoSpaceDE w:val="0"/>
              <w:autoSpaceDN w:val="0"/>
              <w:spacing w:before="16" w:line="240" w:lineRule="exact"/>
              <w:ind w:left="6"/>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11</w:t>
            </w:r>
          </w:p>
        </w:tc>
        <w:tc>
          <w:tcPr>
            <w:tcW w:w="1781" w:type="dxa"/>
          </w:tcPr>
          <w:p>
            <w:pPr>
              <w:autoSpaceDE w:val="0"/>
              <w:autoSpaceDN w:val="0"/>
              <w:spacing w:before="8" w:line="247" w:lineRule="exact"/>
              <w:ind w:left="379" w:right="379"/>
              <w:jc w:val="center"/>
              <w:rPr>
                <w:rFonts w:ascii="宋体" w:hAnsi="宋体" w:cs="宋体"/>
                <w:color w:val="000000" w:themeColor="text1"/>
                <w:kern w:val="0"/>
                <w:sz w:val="20"/>
                <w:lang w:val="zh-CN"/>
              </w:rPr>
            </w:pPr>
            <w:r>
              <w:rPr>
                <w:rFonts w:hint="eastAsia" w:ascii="宋体" w:hAnsi="宋体" w:cs="宋体"/>
                <w:color w:val="000000" w:themeColor="text1"/>
                <w:kern w:val="0"/>
                <w:sz w:val="20"/>
                <w:lang w:val="zh-CN"/>
              </w:rPr>
              <w:t>静电手环</w:t>
            </w:r>
          </w:p>
        </w:tc>
        <w:tc>
          <w:tcPr>
            <w:tcW w:w="2525" w:type="dxa"/>
          </w:tcPr>
          <w:p>
            <w:pPr>
              <w:autoSpaceDE w:val="0"/>
              <w:autoSpaceDN w:val="0"/>
              <w:spacing w:before="8" w:line="247" w:lineRule="exact"/>
              <w:ind w:left="895" w:right="890"/>
              <w:jc w:val="center"/>
              <w:rPr>
                <w:rFonts w:ascii="仿宋" w:hAnsi="仿宋" w:cs="宋体"/>
                <w:color w:val="000000" w:themeColor="text1"/>
                <w:kern w:val="0"/>
                <w:sz w:val="20"/>
                <w:lang w:val="zh-CN"/>
              </w:rPr>
            </w:pPr>
          </w:p>
        </w:tc>
        <w:tc>
          <w:tcPr>
            <w:tcW w:w="660" w:type="dxa"/>
          </w:tcPr>
          <w:p>
            <w:pPr>
              <w:autoSpaceDE w:val="0"/>
              <w:autoSpaceDN w:val="0"/>
              <w:spacing w:before="8" w:line="247" w:lineRule="exact"/>
              <w:ind w:left="3"/>
              <w:jc w:val="center"/>
              <w:rPr>
                <w:rFonts w:ascii="仿宋" w:hAnsi="宋体" w:cs="宋体"/>
                <w:color w:val="000000" w:themeColor="text1"/>
                <w:w w:val="99"/>
                <w:kern w:val="0"/>
                <w:sz w:val="20"/>
                <w:lang w:val="zh-CN"/>
              </w:rPr>
            </w:pPr>
            <w:r>
              <w:rPr>
                <w:rFonts w:hint="eastAsia" w:ascii="仿宋" w:hAnsi="宋体" w:cs="宋体"/>
                <w:color w:val="000000" w:themeColor="text1"/>
                <w:w w:val="99"/>
                <w:kern w:val="0"/>
                <w:sz w:val="20"/>
                <w:lang w:val="zh-CN"/>
              </w:rPr>
              <w:t>1</w:t>
            </w:r>
          </w:p>
        </w:tc>
        <w:tc>
          <w:tcPr>
            <w:tcW w:w="658" w:type="dxa"/>
          </w:tcPr>
          <w:p>
            <w:pPr>
              <w:autoSpaceDE w:val="0"/>
              <w:autoSpaceDN w:val="0"/>
              <w:spacing w:before="8" w:line="247" w:lineRule="exact"/>
              <w:ind w:right="1"/>
              <w:jc w:val="center"/>
              <w:rPr>
                <w:rFonts w:ascii="宋体" w:hAnsi="宋体" w:cs="宋体"/>
                <w:color w:val="000000" w:themeColor="text1"/>
                <w:w w:val="99"/>
                <w:kern w:val="0"/>
                <w:sz w:val="20"/>
                <w:lang w:val="zh-CN"/>
              </w:rPr>
            </w:pPr>
            <w:r>
              <w:rPr>
                <w:rFonts w:hint="eastAsia" w:ascii="宋体" w:hAnsi="宋体" w:cs="宋体"/>
                <w:color w:val="000000" w:themeColor="text1"/>
                <w:w w:val="99"/>
                <w:kern w:val="0"/>
                <w:sz w:val="20"/>
                <w:lang w:val="zh-CN"/>
              </w:rPr>
              <w:t>只</w:t>
            </w:r>
          </w:p>
        </w:tc>
        <w:tc>
          <w:tcPr>
            <w:tcW w:w="1211" w:type="dxa"/>
          </w:tcPr>
          <w:p>
            <w:pPr>
              <w:autoSpaceDE w:val="0"/>
              <w:autoSpaceDN w:val="0"/>
              <w:jc w:val="left"/>
              <w:rPr>
                <w:rFonts w:ascii="Times New Roman" w:hAnsi="宋体" w:cs="宋体"/>
                <w:color w:val="000000" w:themeColor="text1"/>
                <w:kern w:val="0"/>
                <w:sz w:val="20"/>
                <w:lang w:val="zh-CN"/>
              </w:rPr>
            </w:pPr>
          </w:p>
        </w:tc>
      </w:tr>
    </w:tbl>
    <w:p>
      <w:pPr>
        <w:snapToGrid w:val="0"/>
        <w:spacing w:beforeLines="50" w:afterLines="50" w:line="560" w:lineRule="exact"/>
        <w:ind w:firstLine="602" w:firstLineChars="200"/>
        <w:contextualSpacing/>
        <w:outlineLvl w:val="0"/>
        <w:rPr>
          <w:rFonts w:ascii="宋体" w:hAnsi="宋体" w:cs="宋体"/>
          <w:color w:val="000000" w:themeColor="text1"/>
          <w:sz w:val="24"/>
          <w:szCs w:val="24"/>
        </w:rPr>
      </w:pPr>
      <w:r>
        <w:rPr>
          <w:rFonts w:hint="eastAsia" w:ascii="宋体" w:hAnsi="宋体" w:cs="仿宋"/>
          <w:b/>
          <w:color w:val="000000" w:themeColor="text1"/>
          <w:sz w:val="30"/>
          <w:szCs w:val="30"/>
        </w:rPr>
        <w:t>三、参赛形式</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1.参赛对象为河北省中等职业学校在籍中职类学生。</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2.本赛项为个人赛，每所学校选派1--2支参赛队参赛，每支参赛队由1</w:t>
      </w:r>
      <w:r>
        <w:rPr>
          <w:rFonts w:ascii="宋体" w:hAnsi="宋体" w:cs="宋体"/>
          <w:color w:val="000000" w:themeColor="text1"/>
          <w:sz w:val="24"/>
          <w:szCs w:val="24"/>
        </w:rPr>
        <w:t>名选手（</w:t>
      </w:r>
      <w:r>
        <w:rPr>
          <w:rFonts w:hint="eastAsia" w:ascii="宋体" w:hAnsi="宋体" w:cs="宋体"/>
          <w:color w:val="000000" w:themeColor="text1"/>
          <w:sz w:val="24"/>
          <w:szCs w:val="24"/>
        </w:rPr>
        <w:t>学生</w:t>
      </w:r>
      <w:r>
        <w:rPr>
          <w:rFonts w:ascii="宋体" w:hAnsi="宋体" w:cs="宋体"/>
          <w:color w:val="000000" w:themeColor="text1"/>
          <w:sz w:val="24"/>
          <w:szCs w:val="24"/>
        </w:rPr>
        <w:t>）和1名指导教师组成</w:t>
      </w:r>
      <w:r>
        <w:rPr>
          <w:rFonts w:hint="eastAsia" w:ascii="宋体" w:hAnsi="宋体" w:cs="宋体"/>
          <w:color w:val="000000" w:themeColor="text1"/>
          <w:sz w:val="24"/>
          <w:szCs w:val="24"/>
        </w:rPr>
        <w:t>,</w:t>
      </w:r>
      <w:r>
        <w:rPr>
          <w:rFonts w:ascii="宋体" w:hAnsi="宋体" w:cs="宋体"/>
          <w:color w:val="000000" w:themeColor="text1"/>
          <w:sz w:val="24"/>
          <w:szCs w:val="24"/>
        </w:rPr>
        <w:t>指导教师不得兼任领队</w:t>
      </w:r>
      <w:r>
        <w:rPr>
          <w:rFonts w:hint="eastAsia" w:ascii="宋体" w:hAnsi="宋体" w:cs="宋体"/>
          <w:color w:val="000000" w:themeColor="text1"/>
          <w:sz w:val="24"/>
          <w:szCs w:val="24"/>
        </w:rPr>
        <w:t>，每校设领队1人。</w:t>
      </w:r>
    </w:p>
    <w:p>
      <w:pPr>
        <w:snapToGrid w:val="0"/>
        <w:spacing w:beforeLines="50" w:afterLines="50" w:line="560" w:lineRule="exact"/>
        <w:ind w:firstLine="602" w:firstLineChars="200"/>
        <w:contextualSpacing/>
        <w:outlineLvl w:val="0"/>
        <w:rPr>
          <w:rFonts w:ascii="宋体" w:hAnsi="宋体" w:cs="宋体"/>
          <w:b/>
          <w:color w:val="000000" w:themeColor="text1"/>
          <w:kern w:val="0"/>
          <w:sz w:val="24"/>
          <w:szCs w:val="24"/>
        </w:rPr>
      </w:pPr>
      <w:r>
        <w:rPr>
          <w:rFonts w:hint="eastAsia" w:ascii="宋体" w:hAnsi="宋体" w:cs="仿宋"/>
          <w:b/>
          <w:color w:val="000000" w:themeColor="text1"/>
          <w:sz w:val="30"/>
          <w:szCs w:val="30"/>
        </w:rPr>
        <w:t>四、竞赛须知</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1.选手进入赛场后，必须听从裁判长的统一指挥。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2.裁判长宣布比赛开始，参赛选手才能进行完成工作任务的操作。</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3.比赛过程中，参赛选手必须严格遵守安全操作规程，确保人身和设备安全，并接受现场裁判和技术人员的监督和警示。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4.比赛过程中若有工作任务书字迹不清问题，可示意现场裁判，由现场裁判解决。若认为比赛设备或元器件有问题需更换，应在赛场记录表的相应栏目填写更换设备或元器件名称、规格与型号、更换原因、更换时间等并签赛位号确认后，由现场裁判和技术人员予以更换。更换后经现场裁判和技术人员检验并将结果记录在赛场记录表的相应栏目中并签名确认。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5. 经现场裁判和技术人员检验，确因故障或损坏而更换设备或元器件者，从报告现场裁判到完成更换之间的用时，为比赛补时时间。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6.比赛过程中，应对计算机处理的数据实时保存，避免突然停电等意外情况造成数据丢失。因意外情况而影响比赛，根据意外情况持续时间给予补时。如选手违规操作影响比赛，不给予补时。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7.比赛过程中选手不得随意离开赛位，不得与其他参赛选手交流。因故终止比赛或提前完成工作任务需要离场，应报告现场裁判，在赛场记录表的相应栏目填写离场时间、离场原因并由现场裁判签名和选手签赛位号确认，经裁判长允许，方能离场。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8.比赛过程中，严重违反赛场纪律影响他人比赛者，违反操作规程不听劝告者，有意损坏赛场设备或设施者，经现场裁判报告裁判长，经赛区执委会主任同意后，由裁判长宣布取消其比赛资格。</w:t>
      </w:r>
    </w:p>
    <w:p>
      <w:pPr>
        <w:snapToGrid w:val="0"/>
        <w:spacing w:line="560" w:lineRule="exact"/>
        <w:ind w:firstLine="482" w:firstLineChars="200"/>
        <w:contextualSpacing/>
        <w:outlineLvl w:val="0"/>
        <w:rPr>
          <w:rFonts w:ascii="宋体" w:hAnsi="宋体" w:cs="仿宋"/>
          <w:b/>
          <w:color w:val="000000" w:themeColor="text1"/>
          <w:sz w:val="24"/>
          <w:szCs w:val="24"/>
        </w:rPr>
      </w:pPr>
      <w:r>
        <w:rPr>
          <w:rFonts w:hint="eastAsia" w:ascii="宋体" w:hAnsi="宋体" w:cs="仿宋"/>
          <w:b/>
          <w:color w:val="000000" w:themeColor="text1"/>
          <w:sz w:val="24"/>
          <w:szCs w:val="24"/>
        </w:rPr>
        <w:t>五、评分规定</w:t>
      </w:r>
    </w:p>
    <w:p>
      <w:pPr>
        <w:widowControl/>
        <w:spacing w:line="560" w:lineRule="exact"/>
        <w:jc w:val="left"/>
        <w:rPr>
          <w:color w:val="000000" w:themeColor="text1"/>
        </w:rPr>
      </w:pPr>
      <w:r>
        <w:rPr>
          <w:rFonts w:hint="eastAsia" w:ascii="仿宋" w:hAnsi="仿宋" w:eastAsia="仿宋" w:cs="仿宋"/>
          <w:b/>
          <w:bCs/>
          <w:color w:val="000000" w:themeColor="text1"/>
          <w:kern w:val="0"/>
          <w:sz w:val="28"/>
          <w:szCs w:val="28"/>
        </w:rPr>
        <w:t>1.</w:t>
      </w:r>
      <w:r>
        <w:rPr>
          <w:rFonts w:ascii="仿宋" w:hAnsi="仿宋" w:eastAsia="仿宋" w:cs="仿宋"/>
          <w:b/>
          <w:bCs/>
          <w:color w:val="000000" w:themeColor="text1"/>
          <w:kern w:val="0"/>
          <w:sz w:val="28"/>
          <w:szCs w:val="28"/>
        </w:rPr>
        <w:t xml:space="preserve">专业知识及技能要求 </w:t>
      </w:r>
    </w:p>
    <w:p>
      <w:pPr>
        <w:snapToGrid w:val="0"/>
        <w:spacing w:line="560" w:lineRule="exact"/>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 xml:space="preserve">模块A：线路板焊接与装配、故障检测与维护、可视化编程控制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（1）线路板焊接与装配考查选手理解工程制图、接线图、原理图和工程说明书的能力； 焊接、安装电子元器件到线路板以实现功能的能力；对电路按实际进行调整和测试能力。评价选手焊接、装配的操作技能与工艺水平能力。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（2）故障检测与维护考查选手分析电路、故障检测和修复、电子仪器仪表使用能力和现场分析问题、解决问题的能力。评价选手检测、修复、调试电路的操作技能与工艺水平。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（3）可视化界面制作与编程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考查选手根据电路功能和相关接口的连接要求，在 PC 机上编写可视化控制程序，实现对电路功能调试、控制和相关的采集数据处理能力。 </w:t>
      </w:r>
    </w:p>
    <w:p>
      <w:pPr>
        <w:snapToGrid w:val="0"/>
        <w:spacing w:line="560" w:lineRule="exact"/>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 xml:space="preserve">模块 B：电路仿真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考查选手使用仿真软件在线选择电路参数，用行业的最佳规范标准对电路进行优化的能力，能将认知技能应用于任务中的能力，评价选手设计修改符合规格和实际用途电路功能的技能，以及使用软件绘制仿真电路和实现电路仿真的效果。</w:t>
      </w:r>
    </w:p>
    <w:p>
      <w:pPr>
        <w:snapToGrid w:val="0"/>
        <w:spacing w:line="560" w:lineRule="exact"/>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模块 C：电路搭建</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考查选手读懂并理解接线图、原理图和工程说明书的能力，评价选手选择合适的基础模块完成电路搭建和调整、测试技能与工艺水平。</w:t>
      </w:r>
    </w:p>
    <w:p>
      <w:pPr>
        <w:tabs>
          <w:tab w:val="left" w:pos="312"/>
        </w:tabs>
        <w:spacing w:line="560" w:lineRule="exact"/>
        <w:outlineLvl w:val="1"/>
        <w:rPr>
          <w:rFonts w:ascii="仿宋" w:hAnsi="仿宋" w:eastAsia="仿宋" w:cs="仿宋"/>
          <w:b/>
          <w:bCs/>
          <w:color w:val="000000" w:themeColor="text1"/>
          <w:kern w:val="0"/>
          <w:sz w:val="28"/>
          <w:szCs w:val="28"/>
        </w:rPr>
      </w:pPr>
      <w:r>
        <w:rPr>
          <w:rFonts w:hint="eastAsia" w:ascii="仿宋" w:hAnsi="仿宋" w:eastAsia="仿宋" w:cs="仿宋"/>
          <w:b/>
          <w:bCs/>
          <w:color w:val="000000" w:themeColor="text1"/>
          <w:kern w:val="0"/>
          <w:sz w:val="28"/>
          <w:szCs w:val="28"/>
        </w:rPr>
        <w:t xml:space="preserve">2.评分标准(列表)  </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按电子电路装调与应用赛项评分标准的二级评价项目，制定评分标。其配分一列所配分值根据具体的工作任务，命题专家可以做微调。</w:t>
      </w:r>
    </w:p>
    <w:p>
      <w:pPr>
        <w:pStyle w:val="17"/>
        <w:spacing w:line="560" w:lineRule="exact"/>
        <w:ind w:left="420" w:firstLine="0" w:firstLineChars="0"/>
        <w:jc w:val="center"/>
        <w:rPr>
          <w:rFonts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电子电路装调与应用评分标准</w:t>
      </w:r>
    </w:p>
    <w:tbl>
      <w:tblPr>
        <w:tblStyle w:val="8"/>
        <w:tblW w:w="76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7"/>
        <w:gridCol w:w="2041"/>
        <w:gridCol w:w="4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一级指标</w:t>
            </w:r>
          </w:p>
        </w:tc>
        <w:tc>
          <w:tcPr>
            <w:tcW w:w="2041" w:type="dxa"/>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二级指标</w:t>
            </w:r>
          </w:p>
        </w:tc>
        <w:tc>
          <w:tcPr>
            <w:tcW w:w="4582" w:type="dxa"/>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评分内容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职业素养10分</w:t>
            </w: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安全意识</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严格按照用电安全规范操作，做好防静电防护，本项不扣分。出现不符合安全操作规程的行为，扣除相应分数。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现场管理</w:t>
            </w:r>
          </w:p>
        </w:tc>
        <w:tc>
          <w:tcPr>
            <w:tcW w:w="4582" w:type="dxa"/>
            <w:vAlign w:val="center"/>
          </w:tcPr>
          <w:p>
            <w:pPr>
              <w:adjustRightInd w:val="0"/>
              <w:snapToGrid w:val="0"/>
              <w:rPr>
                <w:rFonts w:ascii="仿宋" w:hAnsi="仿宋" w:eastAsia="仿宋" w:cs="Arial"/>
                <w:color w:val="000000" w:themeColor="text1"/>
                <w:sz w:val="24"/>
              </w:rPr>
            </w:pPr>
            <w:r>
              <w:rPr>
                <w:rFonts w:hint="eastAsia" w:ascii="仿宋" w:hAnsi="仿宋" w:eastAsia="仿宋" w:cs="Arial"/>
                <w:color w:val="000000" w:themeColor="text1"/>
                <w:sz w:val="24"/>
              </w:rPr>
              <w:t>符合职业岗位的要求和企业生产“</w:t>
            </w:r>
            <w:r>
              <w:rPr>
                <w:rFonts w:ascii="仿宋" w:hAnsi="仿宋" w:eastAsia="仿宋" w:cs="Arial"/>
                <w:color w:val="000000" w:themeColor="text1"/>
                <w:sz w:val="24"/>
              </w:rPr>
              <w:t>5S</w:t>
            </w:r>
            <w:r>
              <w:rPr>
                <w:rFonts w:hint="eastAsia" w:ascii="仿宋" w:hAnsi="仿宋" w:eastAsia="仿宋" w:cs="Arial"/>
                <w:color w:val="000000" w:themeColor="text1"/>
                <w:sz w:val="24"/>
              </w:rPr>
              <w:t>”原则，</w:t>
            </w:r>
            <w:r>
              <w:rPr>
                <w:rFonts w:hint="eastAsia" w:ascii="仿宋" w:hAnsi="仿宋" w:eastAsia="仿宋" w:cs="仿宋"/>
                <w:color w:val="000000" w:themeColor="text1"/>
                <w:sz w:val="24"/>
              </w:rPr>
              <w:t>本项不扣分。出现未整理现场、仪器仪表及工具摆放杂乱、不遵守赛场纪律等现象，扣除相应分数。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操作规范</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正确操作，符合安全规范</w:t>
            </w:r>
            <w:r>
              <w:rPr>
                <w:rFonts w:hint="eastAsia" w:ascii="仿宋" w:hAnsi="仿宋" w:eastAsia="仿宋" w:cs="Arial"/>
                <w:color w:val="000000" w:themeColor="text1"/>
                <w:sz w:val="24"/>
              </w:rPr>
              <w:t>，</w:t>
            </w:r>
            <w:r>
              <w:rPr>
                <w:rFonts w:hint="eastAsia" w:ascii="仿宋" w:hAnsi="仿宋" w:eastAsia="仿宋" w:cs="仿宋"/>
                <w:color w:val="000000" w:themeColor="text1"/>
                <w:sz w:val="24"/>
              </w:rPr>
              <w:t>本项不扣分。出现违规操作、不爱惜赛场工具与设备的行为，扣除相应分数。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更换模块、元器件情况</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记录操作过程中的模块和元器件更换情况。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线路板的焊接与装配15分</w:t>
            </w: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焊接装配</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电路连接布线符合工艺、安全和技术要求，整齐、美观、可靠，在印刷电路板上所焊接元器件的焊点大小适中、光滑、圆润、干净，无毛刺；无漏、假、虚、连焊，所焊接元器件与封装对应。工艺符合要求。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电路调试与测量</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使用常用电子测量仪器、仪表对有关参数进行测试并记录；电子电路功能及技术指标符合要求</w:t>
            </w:r>
            <w:r>
              <w:rPr>
                <w:rFonts w:ascii="仿宋" w:hAnsi="仿宋" w:eastAsia="仿宋" w:cs="仿宋"/>
                <w:color w:val="000000" w:themeColor="text1"/>
                <w:sz w:val="24"/>
              </w:rPr>
              <w:t>,</w:t>
            </w:r>
            <w:r>
              <w:rPr>
                <w:rFonts w:hint="eastAsia" w:ascii="仿宋" w:hAnsi="仿宋" w:eastAsia="仿宋" w:cs="仿宋"/>
                <w:color w:val="000000" w:themeColor="text1"/>
                <w:sz w:val="24"/>
              </w:rPr>
              <w:t>电路参数正确。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ascii="仿宋" w:hAnsi="仿宋" w:eastAsia="仿宋" w:cs="仿宋"/>
                <w:color w:val="000000" w:themeColor="text1"/>
                <w:sz w:val="24"/>
              </w:rPr>
              <w:t>电路功能</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装配</w:t>
            </w:r>
            <w:r>
              <w:rPr>
                <w:rFonts w:ascii="仿宋" w:hAnsi="仿宋" w:eastAsia="仿宋" w:cs="仿宋"/>
                <w:color w:val="000000" w:themeColor="text1"/>
                <w:sz w:val="24"/>
              </w:rPr>
              <w:t>完成后</w:t>
            </w:r>
            <w:r>
              <w:rPr>
                <w:rFonts w:hint="eastAsia" w:ascii="仿宋" w:hAnsi="仿宋" w:eastAsia="仿宋" w:cs="仿宋"/>
                <w:color w:val="000000" w:themeColor="text1"/>
                <w:sz w:val="24"/>
              </w:rPr>
              <w:t>，按实际需要进行调整，</w:t>
            </w:r>
            <w:r>
              <w:rPr>
                <w:rFonts w:ascii="仿宋" w:hAnsi="仿宋" w:eastAsia="仿宋" w:cs="仿宋"/>
                <w:color w:val="000000" w:themeColor="text1"/>
                <w:sz w:val="24"/>
              </w:rPr>
              <w:t>能实现电路功能</w:t>
            </w:r>
            <w:r>
              <w:rPr>
                <w:rFonts w:hint="eastAsia" w:ascii="仿宋" w:hAnsi="仿宋" w:eastAsia="仿宋" w:cs="仿宋"/>
                <w:color w:val="000000" w:themeColor="text1"/>
                <w:sz w:val="24"/>
              </w:rPr>
              <w:t>。</w:t>
            </w:r>
            <w:r>
              <w:rPr>
                <w:rFonts w:ascii="仿宋" w:hAnsi="仿宋" w:eastAsia="仿宋" w:cs="仿宋"/>
                <w:color w:val="000000" w:themeColor="text1"/>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故障检测与维护15分</w:t>
            </w: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查找故障点</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根据电路功能说明，能把故障点查找出来。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修复故障</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根据故障进行修复和维护，实现电路功能。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测量</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使用常用电子测量仪器、仪表对有关参数进行测试、记录；电子电路功能及技术指标符合要求</w:t>
            </w:r>
            <w:r>
              <w:rPr>
                <w:rFonts w:ascii="仿宋" w:hAnsi="仿宋" w:eastAsia="仿宋" w:cs="仿宋"/>
                <w:color w:val="000000" w:themeColor="text1"/>
                <w:sz w:val="24"/>
              </w:rPr>
              <w:t>,</w:t>
            </w:r>
            <w:r>
              <w:rPr>
                <w:rFonts w:hint="eastAsia" w:ascii="仿宋" w:hAnsi="仿宋" w:eastAsia="仿宋" w:cs="仿宋"/>
                <w:color w:val="000000" w:themeColor="text1"/>
                <w:sz w:val="24"/>
              </w:rPr>
              <w:t>测量参数正确。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可视化界面制作与编程25分</w:t>
            </w:r>
          </w:p>
          <w:p>
            <w:pPr>
              <w:adjustRightInd w:val="0"/>
              <w:snapToGrid w:val="0"/>
              <w:jc w:val="center"/>
              <w:rPr>
                <w:rFonts w:ascii="仿宋" w:hAnsi="仿宋" w:eastAsia="仿宋" w:cs="仿宋"/>
                <w:color w:val="000000" w:themeColor="text1"/>
                <w:sz w:val="24"/>
              </w:rPr>
            </w:pPr>
          </w:p>
        </w:tc>
        <w:tc>
          <w:tcPr>
            <w:tcW w:w="2041" w:type="dxa"/>
          </w:tcPr>
          <w:p>
            <w:pPr>
              <w:adjustRightInd w:val="0"/>
              <w:snapToGrid w:val="0"/>
              <w:jc w:val="left"/>
              <w:rPr>
                <w:rFonts w:ascii="仿宋" w:hAnsi="仿宋" w:eastAsia="仿宋" w:cs="仿宋"/>
                <w:color w:val="000000" w:themeColor="text1"/>
                <w:sz w:val="24"/>
              </w:rPr>
            </w:pPr>
            <w:r>
              <w:rPr>
                <w:rFonts w:ascii="仿宋" w:hAnsi="仿宋" w:eastAsia="仿宋" w:cs="仿宋"/>
                <w:color w:val="000000" w:themeColor="text1"/>
                <w:sz w:val="24"/>
              </w:rPr>
              <w:t>可视化界面制作</w:t>
            </w:r>
          </w:p>
        </w:tc>
        <w:tc>
          <w:tcPr>
            <w:tcW w:w="4582" w:type="dxa"/>
          </w:tcPr>
          <w:p>
            <w:pPr>
              <w:adjustRightInd w:val="0"/>
              <w:snapToGrid w:val="0"/>
              <w:jc w:val="left"/>
              <w:rPr>
                <w:rFonts w:ascii="仿宋" w:hAnsi="仿宋" w:eastAsia="仿宋" w:cs="仿宋"/>
                <w:color w:val="000000" w:themeColor="text1"/>
                <w:sz w:val="24"/>
              </w:rPr>
            </w:pPr>
            <w:r>
              <w:rPr>
                <w:rFonts w:hint="eastAsia" w:ascii="仿宋" w:hAnsi="仿宋" w:eastAsia="仿宋" w:cs="仿宋"/>
                <w:color w:val="000000" w:themeColor="text1"/>
                <w:sz w:val="24"/>
              </w:rPr>
              <w:t>按照要求完成前面板的界面制作。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程序</w:t>
            </w:r>
            <w:r>
              <w:rPr>
                <w:rFonts w:ascii="仿宋" w:hAnsi="仿宋" w:eastAsia="仿宋" w:cs="仿宋"/>
                <w:color w:val="000000" w:themeColor="text1"/>
                <w:sz w:val="24"/>
              </w:rPr>
              <w:t>编写</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根据电路功能和相关接口的连接要求，在PC机上编写可视化控制程序，可实现功能控制和数据处理。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功能控制</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实现电路功能进行调试、控制或数据处理。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仿宋"/>
                <w:color w:val="000000" w:themeColor="text1"/>
                <w:sz w:val="24"/>
              </w:rPr>
            </w:pPr>
            <w:r>
              <w:rPr>
                <w:rFonts w:hint="eastAsia" w:ascii="仿宋" w:hAnsi="仿宋" w:eastAsia="仿宋" w:cs="仿宋"/>
                <w:color w:val="000000" w:themeColor="text1"/>
                <w:sz w:val="24"/>
              </w:rPr>
              <w:t>电路搭建20分</w:t>
            </w: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电路搭建</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根据电路原理图，选择合适的基础模块完成电路的搭建和调试，实现电路功能。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程序下载</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根据任务描述选择合适的程序下载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电路调试</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根据要求对电路进行调试，完成数据测量，实现电路功能。电路功能及技术指标符合要求</w:t>
            </w:r>
            <w:r>
              <w:rPr>
                <w:rFonts w:ascii="仿宋" w:hAnsi="仿宋" w:eastAsia="仿宋" w:cs="仿宋"/>
                <w:color w:val="000000" w:themeColor="text1"/>
                <w:sz w:val="24"/>
              </w:rPr>
              <w:t>,</w:t>
            </w:r>
            <w:r>
              <w:rPr>
                <w:rFonts w:hint="eastAsia" w:ascii="仿宋" w:hAnsi="仿宋" w:eastAsia="仿宋" w:cs="仿宋"/>
                <w:color w:val="000000" w:themeColor="text1"/>
                <w:sz w:val="24"/>
              </w:rPr>
              <w:t>测量参数正确。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restart"/>
            <w:vAlign w:val="center"/>
          </w:tcPr>
          <w:p>
            <w:pPr>
              <w:adjustRightInd w:val="0"/>
              <w:snapToGrid w:val="0"/>
              <w:jc w:val="center"/>
              <w:rPr>
                <w:rFonts w:ascii="仿宋" w:hAnsi="仿宋" w:eastAsia="仿宋" w:cs="Arial"/>
                <w:color w:val="000000" w:themeColor="text1"/>
                <w:sz w:val="24"/>
              </w:rPr>
            </w:pPr>
            <w:r>
              <w:rPr>
                <w:rFonts w:hint="eastAsia" w:ascii="仿宋" w:hAnsi="仿宋" w:eastAsia="仿宋" w:cs="仿宋"/>
                <w:color w:val="000000" w:themeColor="text1"/>
                <w:sz w:val="24"/>
              </w:rPr>
              <w:t>电路仿真15分</w:t>
            </w:r>
          </w:p>
        </w:tc>
        <w:tc>
          <w:tcPr>
            <w:tcW w:w="2041" w:type="dxa"/>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建立文件夹</w:t>
            </w:r>
          </w:p>
        </w:tc>
        <w:tc>
          <w:tcPr>
            <w:tcW w:w="4582" w:type="dxa"/>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建立对应的工程或程序文件。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仿真电路设计与绘制</w:t>
            </w:r>
          </w:p>
        </w:tc>
        <w:tc>
          <w:tcPr>
            <w:tcW w:w="4582"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按照要求设计部分电路，完成仿真电路的绘制。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参数调整及仿真</w:t>
            </w:r>
          </w:p>
        </w:tc>
        <w:tc>
          <w:tcPr>
            <w:tcW w:w="4582" w:type="dxa"/>
            <w:vAlign w:val="center"/>
          </w:tcPr>
          <w:p>
            <w:pPr>
              <w:rPr>
                <w:rFonts w:ascii="仿宋" w:hAnsi="仿宋" w:eastAsia="仿宋" w:cs="仿宋"/>
                <w:color w:val="000000" w:themeColor="text1"/>
                <w:sz w:val="24"/>
              </w:rPr>
            </w:pPr>
            <w:r>
              <w:rPr>
                <w:rFonts w:hint="eastAsia" w:ascii="仿宋" w:hAnsi="仿宋" w:eastAsia="仿宋" w:cs="仿宋"/>
                <w:color w:val="000000" w:themeColor="text1"/>
                <w:sz w:val="24"/>
              </w:rPr>
              <w:t>根据电路功能优化说明，完成电路参数的调整，调整后符合优化要求。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47" w:type="dxa"/>
            <w:vMerge w:val="continue"/>
            <w:vAlign w:val="center"/>
          </w:tcPr>
          <w:p>
            <w:pPr>
              <w:adjustRightInd w:val="0"/>
              <w:snapToGrid w:val="0"/>
              <w:jc w:val="center"/>
              <w:rPr>
                <w:rFonts w:ascii="仿宋" w:hAnsi="仿宋" w:eastAsia="仿宋" w:cs="仿宋"/>
                <w:color w:val="000000" w:themeColor="text1"/>
                <w:sz w:val="24"/>
              </w:rPr>
            </w:pPr>
          </w:p>
        </w:tc>
        <w:tc>
          <w:tcPr>
            <w:tcW w:w="2041" w:type="dxa"/>
            <w:vAlign w:val="center"/>
          </w:tcPr>
          <w:p>
            <w:pPr>
              <w:adjustRightInd w:val="0"/>
              <w:snapToGrid w:val="0"/>
              <w:rPr>
                <w:rFonts w:ascii="仿宋" w:hAnsi="仿宋" w:eastAsia="仿宋" w:cs="仿宋"/>
                <w:color w:val="000000" w:themeColor="text1"/>
                <w:sz w:val="24"/>
              </w:rPr>
            </w:pPr>
            <w:r>
              <w:rPr>
                <w:rFonts w:ascii="仿宋" w:hAnsi="仿宋" w:eastAsia="仿宋" w:cs="仿宋"/>
                <w:color w:val="000000" w:themeColor="text1"/>
                <w:sz w:val="24"/>
              </w:rPr>
              <w:t>数据测量</w:t>
            </w:r>
          </w:p>
        </w:tc>
        <w:tc>
          <w:tcPr>
            <w:tcW w:w="4582" w:type="dxa"/>
            <w:vAlign w:val="center"/>
          </w:tcPr>
          <w:p>
            <w:pPr>
              <w:adjustRightInd w:val="0"/>
              <w:snapToGrid w:val="0"/>
              <w:rPr>
                <w:rFonts w:ascii="仿宋" w:hAnsi="仿宋" w:eastAsia="仿宋" w:cs="仿宋"/>
                <w:color w:val="000000" w:themeColor="text1"/>
                <w:sz w:val="24"/>
              </w:rPr>
            </w:pPr>
            <w:r>
              <w:rPr>
                <w:rFonts w:hint="eastAsia" w:ascii="仿宋" w:hAnsi="仿宋" w:eastAsia="仿宋" w:cs="仿宋"/>
                <w:color w:val="000000" w:themeColor="text1"/>
                <w:sz w:val="24"/>
              </w:rPr>
              <w:t>使用软件自带的电子测量仪器、仪表对有关参数进行测试，测量参数正确。</w:t>
            </w:r>
          </w:p>
        </w:tc>
      </w:tr>
    </w:tbl>
    <w:p>
      <w:pPr>
        <w:spacing w:line="560" w:lineRule="exact"/>
        <w:outlineLvl w:val="1"/>
        <w:rPr>
          <w:rFonts w:ascii="宋体" w:hAnsi="宋体" w:cs="宋体"/>
          <w:color w:val="000000" w:themeColor="text1"/>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multilevel"/>
    <w:tmpl w:val="0000003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6355B4"/>
    <w:multiLevelType w:val="multilevel"/>
    <w:tmpl w:val="706355B4"/>
    <w:lvl w:ilvl="0" w:tentative="0">
      <w:start w:val="1"/>
      <w:numFmt w:val="decimal"/>
      <w:pStyle w:val="2"/>
      <w:suff w:val="nothing"/>
      <w:lvlText w:val="%1."/>
      <w:lvlJc w:val="left"/>
      <w:pPr>
        <w:ind w:left="1697" w:hanging="420"/>
      </w:pPr>
      <w:rPr>
        <w:rFonts w:hint="eastAsia"/>
      </w:rPr>
    </w:lvl>
    <w:lvl w:ilvl="1" w:tentative="0">
      <w:start w:val="1"/>
      <w:numFmt w:val="japaneseCounting"/>
      <w:lvlText w:val="%2、"/>
      <w:lvlJc w:val="left"/>
      <w:pPr>
        <w:ind w:left="2417" w:hanging="720"/>
      </w:pPr>
      <w:rPr>
        <w:rFonts w:hint="default"/>
      </w:rPr>
    </w:lvl>
    <w:lvl w:ilvl="2" w:tentative="0">
      <w:start w:val="1"/>
      <w:numFmt w:val="lowerRoman"/>
      <w:lvlText w:val="%3."/>
      <w:lvlJc w:val="right"/>
      <w:pPr>
        <w:ind w:left="2537" w:hanging="420"/>
      </w:pPr>
    </w:lvl>
    <w:lvl w:ilvl="3" w:tentative="0">
      <w:start w:val="1"/>
      <w:numFmt w:val="decimal"/>
      <w:lvlText w:val="%4."/>
      <w:lvlJc w:val="left"/>
      <w:pPr>
        <w:ind w:left="2957" w:hanging="420"/>
      </w:pPr>
    </w:lvl>
    <w:lvl w:ilvl="4" w:tentative="0">
      <w:start w:val="1"/>
      <w:numFmt w:val="lowerLetter"/>
      <w:lvlText w:val="%5)"/>
      <w:lvlJc w:val="left"/>
      <w:pPr>
        <w:ind w:left="3377" w:hanging="420"/>
      </w:pPr>
    </w:lvl>
    <w:lvl w:ilvl="5" w:tentative="0">
      <w:start w:val="1"/>
      <w:numFmt w:val="lowerRoman"/>
      <w:lvlText w:val="%6."/>
      <w:lvlJc w:val="right"/>
      <w:pPr>
        <w:ind w:left="3797" w:hanging="420"/>
      </w:pPr>
    </w:lvl>
    <w:lvl w:ilvl="6" w:tentative="0">
      <w:start w:val="1"/>
      <w:numFmt w:val="decimal"/>
      <w:lvlText w:val="%7."/>
      <w:lvlJc w:val="left"/>
      <w:pPr>
        <w:ind w:left="4217" w:hanging="420"/>
      </w:pPr>
    </w:lvl>
    <w:lvl w:ilvl="7" w:tentative="0">
      <w:start w:val="1"/>
      <w:numFmt w:val="lowerLetter"/>
      <w:lvlText w:val="%8)"/>
      <w:lvlJc w:val="left"/>
      <w:pPr>
        <w:ind w:left="4637" w:hanging="420"/>
      </w:pPr>
    </w:lvl>
    <w:lvl w:ilvl="8" w:tentative="0">
      <w:start w:val="1"/>
      <w:numFmt w:val="lowerRoman"/>
      <w:lvlText w:val="%9."/>
      <w:lvlJc w:val="right"/>
      <w:pPr>
        <w:ind w:left="505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538D"/>
    <w:rsid w:val="0003084F"/>
    <w:rsid w:val="0011700D"/>
    <w:rsid w:val="001B135E"/>
    <w:rsid w:val="001C50FA"/>
    <w:rsid w:val="00210A86"/>
    <w:rsid w:val="002455DA"/>
    <w:rsid w:val="00301A90"/>
    <w:rsid w:val="003057EF"/>
    <w:rsid w:val="00327A9A"/>
    <w:rsid w:val="004B1E19"/>
    <w:rsid w:val="0052119F"/>
    <w:rsid w:val="005360C1"/>
    <w:rsid w:val="00590DFA"/>
    <w:rsid w:val="00596D67"/>
    <w:rsid w:val="00630153"/>
    <w:rsid w:val="00644A9B"/>
    <w:rsid w:val="00662D61"/>
    <w:rsid w:val="0066444F"/>
    <w:rsid w:val="006A62F6"/>
    <w:rsid w:val="006F6785"/>
    <w:rsid w:val="007339A5"/>
    <w:rsid w:val="007E08D1"/>
    <w:rsid w:val="00800FAF"/>
    <w:rsid w:val="00834CAA"/>
    <w:rsid w:val="0083689D"/>
    <w:rsid w:val="00850EF7"/>
    <w:rsid w:val="00861FF5"/>
    <w:rsid w:val="008B0855"/>
    <w:rsid w:val="008F1D3C"/>
    <w:rsid w:val="00931B11"/>
    <w:rsid w:val="00950294"/>
    <w:rsid w:val="009660CE"/>
    <w:rsid w:val="00970E96"/>
    <w:rsid w:val="00A52173"/>
    <w:rsid w:val="00B2368E"/>
    <w:rsid w:val="00B35104"/>
    <w:rsid w:val="00B41FBD"/>
    <w:rsid w:val="00B503F1"/>
    <w:rsid w:val="00B535AD"/>
    <w:rsid w:val="00B5767F"/>
    <w:rsid w:val="00BD09A8"/>
    <w:rsid w:val="00C6000D"/>
    <w:rsid w:val="00CC0CD7"/>
    <w:rsid w:val="00CE23E5"/>
    <w:rsid w:val="00D1538D"/>
    <w:rsid w:val="00D97FA0"/>
    <w:rsid w:val="00DB2164"/>
    <w:rsid w:val="00DC2298"/>
    <w:rsid w:val="00DD66EC"/>
    <w:rsid w:val="00E57493"/>
    <w:rsid w:val="00E57959"/>
    <w:rsid w:val="00E8542E"/>
    <w:rsid w:val="00EB577A"/>
    <w:rsid w:val="00FF7F30"/>
    <w:rsid w:val="01003751"/>
    <w:rsid w:val="02215430"/>
    <w:rsid w:val="02C06EF4"/>
    <w:rsid w:val="054F396D"/>
    <w:rsid w:val="05DD1D55"/>
    <w:rsid w:val="05EE1FA7"/>
    <w:rsid w:val="07647F47"/>
    <w:rsid w:val="08AA5695"/>
    <w:rsid w:val="0B2F58C9"/>
    <w:rsid w:val="0BE5466A"/>
    <w:rsid w:val="0DA969B5"/>
    <w:rsid w:val="13282B18"/>
    <w:rsid w:val="136642E5"/>
    <w:rsid w:val="14E87F06"/>
    <w:rsid w:val="15AF3298"/>
    <w:rsid w:val="17A55C2E"/>
    <w:rsid w:val="17B235FD"/>
    <w:rsid w:val="17C23035"/>
    <w:rsid w:val="1A0F2967"/>
    <w:rsid w:val="1CD41907"/>
    <w:rsid w:val="1ED425FA"/>
    <w:rsid w:val="1F26327C"/>
    <w:rsid w:val="203B0057"/>
    <w:rsid w:val="20CE7B42"/>
    <w:rsid w:val="217700B9"/>
    <w:rsid w:val="22014046"/>
    <w:rsid w:val="22783C1F"/>
    <w:rsid w:val="22C64434"/>
    <w:rsid w:val="22ED0B83"/>
    <w:rsid w:val="25581088"/>
    <w:rsid w:val="27064800"/>
    <w:rsid w:val="277F2830"/>
    <w:rsid w:val="2DE210EC"/>
    <w:rsid w:val="2F0E45DF"/>
    <w:rsid w:val="31B108AD"/>
    <w:rsid w:val="349D1D68"/>
    <w:rsid w:val="391B37F9"/>
    <w:rsid w:val="39FE3EEB"/>
    <w:rsid w:val="3A7411C4"/>
    <w:rsid w:val="3A9E44A5"/>
    <w:rsid w:val="3D4C4374"/>
    <w:rsid w:val="3E6B6B78"/>
    <w:rsid w:val="3EFE280B"/>
    <w:rsid w:val="3F6822EB"/>
    <w:rsid w:val="40564EAB"/>
    <w:rsid w:val="43D95004"/>
    <w:rsid w:val="457C7DCA"/>
    <w:rsid w:val="473B7B8B"/>
    <w:rsid w:val="4BE477CD"/>
    <w:rsid w:val="4F6302D5"/>
    <w:rsid w:val="501B2467"/>
    <w:rsid w:val="50CA1A17"/>
    <w:rsid w:val="51DC2230"/>
    <w:rsid w:val="52FA5121"/>
    <w:rsid w:val="55787A35"/>
    <w:rsid w:val="5740610F"/>
    <w:rsid w:val="5ACD33CF"/>
    <w:rsid w:val="5AD8216E"/>
    <w:rsid w:val="5CC05A47"/>
    <w:rsid w:val="5DE44281"/>
    <w:rsid w:val="62911E54"/>
    <w:rsid w:val="64680881"/>
    <w:rsid w:val="67B23771"/>
    <w:rsid w:val="6B4066C4"/>
    <w:rsid w:val="6C78483E"/>
    <w:rsid w:val="6E9E29E1"/>
    <w:rsid w:val="6F6E7235"/>
    <w:rsid w:val="6F8D6361"/>
    <w:rsid w:val="71B93E5F"/>
    <w:rsid w:val="71EF12F5"/>
    <w:rsid w:val="720A77A1"/>
    <w:rsid w:val="72DC6CAC"/>
    <w:rsid w:val="72F257E5"/>
    <w:rsid w:val="7356533E"/>
    <w:rsid w:val="73E31E42"/>
    <w:rsid w:val="745E71EE"/>
    <w:rsid w:val="77293706"/>
    <w:rsid w:val="784C4B8A"/>
    <w:rsid w:val="7B7D5357"/>
    <w:rsid w:val="7D0A0EFC"/>
    <w:rsid w:val="7E525A96"/>
    <w:rsid w:val="7EAB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numPr>
        <w:ilvl w:val="0"/>
        <w:numId w:val="1"/>
      </w:numPr>
      <w:spacing w:before="260" w:after="260" w:line="416" w:lineRule="auto"/>
      <w:jc w:val="center"/>
      <w:outlineLvl w:val="1"/>
    </w:pPr>
    <w:rPr>
      <w:rFonts w:ascii="Cambria" w:hAnsi="Cambria"/>
      <w:b/>
      <w:bCs/>
      <w:sz w:val="28"/>
      <w:szCs w:val="32"/>
    </w:rPr>
  </w:style>
  <w:style w:type="paragraph" w:styleId="3">
    <w:name w:val="heading 3"/>
    <w:basedOn w:val="2"/>
    <w:next w:val="2"/>
    <w:qFormat/>
    <w:uiPriority w:val="0"/>
    <w:pPr>
      <w:spacing w:line="413" w:lineRule="auto"/>
      <w:outlineLvl w:val="2"/>
    </w:pPr>
    <w:rPr>
      <w:kern w:val="0"/>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3"/>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5-内文"/>
    <w:basedOn w:val="1"/>
    <w:qFormat/>
    <w:uiPriority w:val="0"/>
    <w:pPr>
      <w:spacing w:beforeLines="25" w:line="300" w:lineRule="auto"/>
      <w:ind w:firstLine="200" w:firstLineChars="200"/>
    </w:pPr>
    <w:rPr>
      <w:rFonts w:ascii="仿宋_GB2312" w:eastAsia="仿宋_GB2312"/>
      <w:kern w:val="0"/>
      <w:sz w:val="28"/>
      <w:szCs w:val="20"/>
    </w:rPr>
  </w:style>
  <w:style w:type="paragraph" w:customStyle="1" w:styleId="12">
    <w:name w:val="TableItemNom"/>
    <w:basedOn w:val="1"/>
    <w:next w:val="1"/>
    <w:qFormat/>
    <w:uiPriority w:val="0"/>
    <w:pPr>
      <w:tabs>
        <w:tab w:val="left" w:pos="3120"/>
      </w:tabs>
      <w:adjustRightInd w:val="0"/>
      <w:snapToGrid w:val="0"/>
      <w:spacing w:line="311" w:lineRule="exact"/>
      <w:jc w:val="center"/>
      <w:textAlignment w:val="baseline"/>
    </w:pPr>
    <w:rPr>
      <w:rFonts w:ascii="宋体" w:hAnsi="宋体"/>
      <w:kern w:val="0"/>
      <w:sz w:val="18"/>
      <w:szCs w:val="20"/>
    </w:rPr>
  </w:style>
  <w:style w:type="character" w:customStyle="1" w:styleId="13">
    <w:name w:val="批注框文本 Char"/>
    <w:basedOn w:val="10"/>
    <w:link w:val="5"/>
    <w:qFormat/>
    <w:uiPriority w:val="0"/>
    <w:rPr>
      <w:rFonts w:ascii="Calibri" w:hAnsi="Calibri"/>
      <w:kern w:val="2"/>
      <w:sz w:val="18"/>
      <w:szCs w:val="18"/>
    </w:rPr>
  </w:style>
  <w:style w:type="paragraph" w:customStyle="1" w:styleId="14">
    <w:name w:val="小标题"/>
    <w:basedOn w:val="1"/>
    <w:qFormat/>
    <w:uiPriority w:val="0"/>
    <w:pPr>
      <w:tabs>
        <w:tab w:val="left" w:pos="900"/>
      </w:tabs>
      <w:spacing w:line="360" w:lineRule="auto"/>
      <w:ind w:left="900" w:hanging="720"/>
      <w:jc w:val="left"/>
    </w:pPr>
    <w:rPr>
      <w:rFonts w:ascii="宋体" w:hAnsi="宋体"/>
      <w:b/>
      <w:sz w:val="24"/>
      <w:szCs w:val="24"/>
    </w:rPr>
  </w:style>
  <w:style w:type="character" w:customStyle="1" w:styleId="15">
    <w:name w:val="页眉 Char"/>
    <w:basedOn w:val="10"/>
    <w:link w:val="7"/>
    <w:qFormat/>
    <w:uiPriority w:val="0"/>
    <w:rPr>
      <w:rFonts w:ascii="Calibri" w:hAnsi="Calibri"/>
      <w:kern w:val="2"/>
      <w:sz w:val="18"/>
      <w:szCs w:val="18"/>
    </w:rPr>
  </w:style>
  <w:style w:type="character" w:customStyle="1" w:styleId="16">
    <w:name w:val="页脚 Char"/>
    <w:basedOn w:val="10"/>
    <w:link w:val="6"/>
    <w:uiPriority w:val="0"/>
    <w:rPr>
      <w:rFonts w:ascii="Calibri" w:hAnsi="Calibri"/>
      <w:kern w:val="2"/>
      <w:sz w:val="18"/>
      <w:szCs w:val="18"/>
    </w:rPr>
  </w:style>
  <w:style w:type="paragraph" w:styleId="17">
    <w:name w:val="List Paragraph"/>
    <w:basedOn w:val="1"/>
    <w:unhideWhenUsed/>
    <w:qFormat/>
    <w:uiPriority w:val="99"/>
    <w:pPr>
      <w:ind w:firstLine="420" w:firstLineChars="200"/>
    </w:pPr>
  </w:style>
  <w:style w:type="paragraph" w:customStyle="1" w:styleId="18">
    <w:name w:val="Table Paragraph"/>
    <w:basedOn w:val="1"/>
    <w:qFormat/>
    <w:uiPriority w:val="1"/>
    <w:pPr>
      <w:autoSpaceDE w:val="0"/>
      <w:autoSpaceDN w:val="0"/>
      <w:jc w:val="left"/>
    </w:pPr>
    <w:rPr>
      <w:rFonts w:ascii="宋体" w:hAnsi="宋体" w:cs="宋体"/>
      <w:kern w:val="0"/>
      <w:sz w:val="2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418F3-33BA-41F0-8BA5-F5E1FF7BEA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1111</Words>
  <Characters>6338</Characters>
  <Lines>52</Lines>
  <Paragraphs>14</Paragraphs>
  <TotalTime>199</TotalTime>
  <ScaleCrop>false</ScaleCrop>
  <LinksUpToDate>false</LinksUpToDate>
  <CharactersWithSpaces>7435</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2021-04-14T14:10:00Z</dcterms:created>
  <dc:creator>Administrator</dc:creator>
  <cp:lastModifiedBy>任立杰</cp:lastModifiedBy>
  <dcterms:modified xsi:type="dcterms:W3CDTF">2023-03-07T01:05:47Z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2A2CD143164C4EDBA388311E1A42FF68</vt:lpwstr>
  </property>
</Properties>
</file>