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156" w:beforeLines="50" w:after="156" w:afterLines="50" w:line="480" w:lineRule="auto"/>
        <w:contextualSpacing/>
        <w:jc w:val="left"/>
        <w:rPr>
          <w:rFonts w:asciiTheme="minorEastAsia" w:hAnsiTheme="minorEastAsia" w:eastAsiaTheme="minorEastAsia"/>
          <w:b/>
          <w:kern w:val="2"/>
          <w:sz w:val="32"/>
          <w:szCs w:val="32"/>
        </w:rPr>
      </w:pPr>
      <w:r>
        <w:rPr>
          <w:rFonts w:hint="eastAsia" w:asciiTheme="minorEastAsia" w:hAnsiTheme="minorEastAsia" w:eastAsiaTheme="minorEastAsia"/>
          <w:b/>
          <w:kern w:val="2"/>
          <w:sz w:val="32"/>
          <w:szCs w:val="32"/>
        </w:rPr>
        <w:t>附件-2：</w:t>
      </w:r>
    </w:p>
    <w:p>
      <w:pPr>
        <w:widowControl w:val="0"/>
        <w:snapToGrid w:val="0"/>
        <w:spacing w:before="156" w:beforeLines="50" w:after="156" w:afterLines="50" w:line="480" w:lineRule="auto"/>
        <w:contextualSpacing/>
        <w:jc w:val="center"/>
        <w:rPr>
          <w:rFonts w:asciiTheme="minorEastAsia" w:hAnsiTheme="minorEastAsia" w:eastAsiaTheme="minorEastAsia"/>
          <w:b/>
          <w:kern w:val="2"/>
          <w:sz w:val="32"/>
          <w:szCs w:val="32"/>
        </w:rPr>
      </w:pPr>
      <w:r>
        <w:rPr>
          <w:rFonts w:hint="eastAsia" w:asciiTheme="minorEastAsia" w:hAnsiTheme="minorEastAsia" w:eastAsiaTheme="minorEastAsia"/>
          <w:b/>
          <w:kern w:val="2"/>
          <w:sz w:val="32"/>
          <w:szCs w:val="32"/>
        </w:rPr>
        <w:t>2023年河北省高等职业院校会计技能大赛竞赛规程</w:t>
      </w:r>
    </w:p>
    <w:p>
      <w:pPr>
        <w:spacing w:line="360" w:lineRule="auto"/>
        <w:rPr>
          <w:b/>
          <w:bCs/>
          <w:sz w:val="24"/>
          <w:szCs w:val="24"/>
        </w:rPr>
      </w:pPr>
      <w:bookmarkStart w:id="0" w:name="_Toc382406748"/>
      <w:r>
        <w:rPr>
          <w:b/>
          <w:bCs/>
          <w:sz w:val="24"/>
          <w:szCs w:val="24"/>
        </w:rPr>
        <w:t>一、赛项名称</w:t>
      </w:r>
      <w:bookmarkEnd w:id="0"/>
    </w:p>
    <w:p>
      <w:pPr>
        <w:spacing w:line="360" w:lineRule="auto"/>
        <w:ind w:firstLine="480" w:firstLineChars="200"/>
        <w:rPr>
          <w:sz w:val="24"/>
          <w:szCs w:val="24"/>
        </w:rPr>
      </w:pPr>
      <w:r>
        <w:rPr>
          <w:rFonts w:hint="eastAsia"/>
          <w:sz w:val="24"/>
          <w:szCs w:val="24"/>
        </w:rPr>
        <w:t>赛项名称：会计技能</w:t>
      </w:r>
    </w:p>
    <w:p>
      <w:pPr>
        <w:spacing w:line="360" w:lineRule="auto"/>
        <w:ind w:firstLine="480" w:firstLineChars="200"/>
        <w:rPr>
          <w:sz w:val="24"/>
          <w:szCs w:val="24"/>
        </w:rPr>
      </w:pPr>
      <w:r>
        <w:rPr>
          <w:rFonts w:hint="eastAsia"/>
          <w:sz w:val="24"/>
          <w:szCs w:val="24"/>
        </w:rPr>
        <w:t>赛项组别：高职组</w:t>
      </w:r>
    </w:p>
    <w:p>
      <w:pPr>
        <w:spacing w:line="360" w:lineRule="auto"/>
        <w:ind w:firstLine="480" w:firstLineChars="200"/>
        <w:rPr>
          <w:sz w:val="24"/>
          <w:szCs w:val="24"/>
        </w:rPr>
      </w:pPr>
      <w:r>
        <w:rPr>
          <w:rFonts w:hint="eastAsia"/>
          <w:sz w:val="24"/>
          <w:szCs w:val="24"/>
        </w:rPr>
        <w:t>竞赛形式：团体赛</w:t>
      </w:r>
    </w:p>
    <w:p>
      <w:pPr>
        <w:spacing w:line="360" w:lineRule="auto"/>
        <w:ind w:firstLine="480" w:firstLineChars="200"/>
        <w:rPr>
          <w:sz w:val="24"/>
          <w:szCs w:val="24"/>
        </w:rPr>
      </w:pPr>
      <w:r>
        <w:rPr>
          <w:rFonts w:hint="eastAsia"/>
          <w:sz w:val="24"/>
          <w:szCs w:val="24"/>
        </w:rPr>
        <w:t>赛项专业大类：财经商贸类</w:t>
      </w:r>
    </w:p>
    <w:p>
      <w:pPr>
        <w:spacing w:line="360" w:lineRule="auto"/>
        <w:rPr>
          <w:b/>
          <w:bCs/>
          <w:sz w:val="24"/>
          <w:szCs w:val="24"/>
        </w:rPr>
      </w:pPr>
      <w:bookmarkStart w:id="1" w:name="_Toc382406749"/>
      <w:r>
        <w:rPr>
          <w:b/>
          <w:bCs/>
          <w:sz w:val="24"/>
          <w:szCs w:val="24"/>
        </w:rPr>
        <w:t>二、竞赛目的</w:t>
      </w:r>
      <w:bookmarkEnd w:id="1"/>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以更快更好地实现教育部改革中对职业院校的加强和突出作用为大方向，以高水平赛事引领职业教育高质量发展，发挥树旗、导航、定标、催化作用。围绕跟进国家教育改革，引领职业院校专业建设与课程改革，促进产教融合、校企合作、产业发展，展示职教改革成果及师生良好职业素养和精神面貌等方面阐明赛项设计的目的和意义。</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为贯彻落实《国家职业教育改革实施方案》等文件精神，秉承“坚持以学生发展为中心，以就业为导向”的竞赛理念，赛项设计着眼于产业数字化转型的需求，遵循新专业目录调整方向，通过对接世界技能大赛新理念，将新经济、新业态、新技术、新职业紧密联系起来；通过BI、Python等大数据技术在财务工作场景中的应用，将管理型财务人才转型方向引入竞赛项目，培养学生的大数据思维及运用大数据技术解决企业实际问题的能力，实现以赛促教，以赛促学，以赛促改，以赛促引，以赛促行，提升职业院校作用，增强突出特性，发挥示范引领作用，对接1+X职业技能等级证书，推进“岗课赛证”综合育人。</w:t>
      </w:r>
    </w:p>
    <w:p>
      <w:pPr>
        <w:spacing w:line="360" w:lineRule="auto"/>
        <w:rPr>
          <w:rFonts w:ascii="宋体" w:hAnsi="宋体" w:cs="宋体"/>
          <w:b/>
          <w:bCs/>
          <w:sz w:val="24"/>
          <w:szCs w:val="24"/>
        </w:rPr>
      </w:pPr>
      <w:r>
        <w:rPr>
          <w:rFonts w:hint="eastAsia" w:ascii="宋体" w:hAnsi="宋体" w:cs="宋体"/>
          <w:b/>
          <w:bCs/>
          <w:sz w:val="24"/>
          <w:szCs w:val="24"/>
        </w:rPr>
        <w:t>三、竞赛内容</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赛题内容体现财务会计向财务分析和管理转型，管理会计向预算运营绩效深化的未来会计实务发展新趋势。强专业、精数据、懂业务、擅分析、会工具，守道德，有素养，拥有新时代使命感，这是当今社会对现代会计人的要求。</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基于此，赛题紧跟数字产业化、产业数字化、跨界融合化，以专业教学标准和人才培养方案等为基础，还原真实情景、体现完整任务、侧重考察综合能力、突出应变能力、强化职业素养，依托互联网、人工智能、大数据、可视化智能分析等先进技术，融合信息化账务处理与大数据财务分析、财务共享账务处理、管理会计工具、智能财务技术在实际财务工作中的应用与实践，考核参赛选手基于智能模式下的财务处理能力、大数据采集与大数据分析能力、业务流程梳理、业务需求分析和机器人开发设计能力、数据思维管理能力及智能工具的应用能力；考核业财数据从数据获取、数据分析到数据应用的全过程；考核发现问题、解决问题、数据建模，利用优化模型，帮助企业做出更优决策的综合能力。</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竞赛分为会计素养与智能工具应用、财务会计与大数据财务分析、大数据管理会计三个环节，其中会计素养与智能工具应用环节采用个人赛方式，财务会计与大数据财务分析环节和大数据管理会计环节采用团队赛方式，赛项整体设计团队赛与个人赛相结合，既有分工又有合作，利于引导高职院校培养学生独立处理业务的能力和团队合作的精神。</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三个环节总分1040分，其中会计素养与智能工具应用环节总分200分，财务会计与大数据财务分析环节440分，大数据管理会计环节400分，最终成绩按百分制折算。</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（一）会计素养与智能工具应用</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会计素养与智能工具应用环节竞赛内容包括：会计素养、大数据素养、Python基础知识、智能BI应用、RPA财务机器人开发与应用。本环节为个人赛，不分岗位。</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1.会计素养</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主要包括会计基础知识、财经法规与会计职业道德、大数据基本概念、大数据基本特征、Python基础知识、RPA基础知识、数据结构、以及SQL、Python基础知识等。试题采用单选题、多选题和判断题等题型。</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2.智能BI应用</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利用BI工具及大数据财务分析模型，根据业务需求，选择适用的分析模型图表，设计方案，完成可视化呈现。</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3.财务机器人开发与应用</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（1）对企业日常发生的一些简单、重复的经济业务，通过OCR扫描自动识别企业票据，根据识别出的企业票据自动生成记账凭证。</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（2）按照给定的财务案例背景描述，梳理业务流程及业务痛点，遵循RPA财务机器人适用标准、业务数据规范及标准，分析机器人开发的可行性与必要性，利用UIpath工具设计开发RPA财务机器人。</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（二）财务会计与大数据财务分析</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财务会计与大数据财务分析环节基于设定的背景企业，业务内容来自于企业实际，以行业公认的财务会计(共享财务)、业务财务、战略财务三个职能层级为主线，将财务共享中心创新组织模式，财务机器人、财务大数据分析跨界融合。业务按一般企业财务会计、财务共享中心财务岗位群设计。一般企业财务会计完成对企业经营业务数据进行确认、核算、加工管理，运用大数据工具对数据进行深入分析。财务共享中心是对传统财务会计工作的流程再造，以提高财务工作效率为企业创造价值，共享中心会计岗位群完成智能核算、企业的业务流程、财务管理流程进行设计、优化、再造。</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竞赛内容设计包含实务界不同类型企业财务处理模式及运用大数据工具对企业经营中内外部各种数据进行分析。账务处理模式涵盖：中型企业，信息化核算模式的财务处理；小微企业，社会共享中心账务处理与智能机器人核算；大型企业，通过业财一体化流程管控进行财务处理。大数据分析涵盖国家宏观数据分析、行业数据分析、企业数据分析等为企业经营决策提供支持。</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财务会计与大数据财务分析环节考核内容包括：在线票据整理、银行结算单据填制、网银办理、会计核算、业务审核、智能成本核算及分析、纳税筹划、纳税申报、财务机器人智能核算、企业业财一体化设计(基于内控业务设计)、财务大数据分析等技能。该环节采用团队竞赛方式，分资金管理、成本管理、审核主管、财务主管4个岗位合作完成企业业务处理与数据分析。</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1.信息化财务处理</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（1）银行结算单据填制</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银行转账支票签发、银行现金支票签发、银行承兑汇票贴现、银行进账单填写等银行结算业务，负责单据审核、法人签章及财务专用章签章。</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（2）网银办理</w:t>
      </w:r>
    </w:p>
    <w:p>
      <w:pPr>
        <w:spacing w:line="360" w:lineRule="auto"/>
        <w:ind w:firstLine="480" w:firstLineChars="200"/>
        <w:rPr>
          <w:rFonts w:ascii="宋体" w:hAnsi="宋体" w:cs="宋体"/>
          <w:sz w:val="24"/>
          <w:szCs w:val="24"/>
        </w:rPr>
      </w:pPr>
      <w:r>
        <w:rPr>
          <w:rFonts w:hint="eastAsia" w:ascii="宋体" w:hAnsi="宋体" w:cs="宋体"/>
          <w:sz w:val="24"/>
          <w:szCs w:val="24"/>
        </w:rPr>
        <w:t>根据企业付款申请，进行网上银行付款，并且进行授权审核。</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（3）纳税筹划</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通过分析企业经营情况，对企业涉税业务进行策划，制定多种筹划方案，通过对产品成本、利润及税费预算管理等，选择对企业最优化的方案。</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（4）智能成本核算及分析</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根据企业产品成本核算制度和企业生产业务要求，进行材料分配，委外产品的成本计算、废品损失成品计算、半成品及产成品的计算等，审核、归集并分配人工费用、制造费用，填制相关记账凭证。对企业成本情况进行分析。</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（5）业务凭证编制及审核</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创建账套，完成企业业务记账凭证的填制，包括：货币资金、应收及预付款、固定资产、无形资产、存货、金融工具、流动负债、非流动负债、收入、费用、债务重组、非货币性资产交换、其他收益、资产处置损益等，月末凭证的审核、过账、结转损益及结账等。</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（6）财务报表编制</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对资产负债表、利润表进行指标公式设置，现金流量表相关项目的选择及金额录入等，生成资产负债表、利润表、现金流量表。</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（7）企业纳税申报</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对当月业务涉及的增值税及附加税费申报表、消费税及附加税费申报表、对企业上年度所得税汇算清缴主表及附表申报。</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2.财务共享账务处理</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（1）票据整理</w:t>
      </w:r>
    </w:p>
    <w:p>
      <w:pPr>
        <w:spacing w:line="360" w:lineRule="auto"/>
        <w:ind w:firstLine="480" w:firstLineChars="200"/>
        <w:rPr>
          <w:rFonts w:ascii="宋体" w:hAnsi="宋体" w:cs="宋体"/>
          <w:sz w:val="24"/>
          <w:szCs w:val="24"/>
        </w:rPr>
      </w:pPr>
      <w:r>
        <w:rPr>
          <w:rFonts w:hint="eastAsia" w:ascii="宋体" w:hAnsi="宋体" w:cs="宋体"/>
          <w:sz w:val="24"/>
          <w:szCs w:val="24"/>
        </w:rPr>
        <w:t>识别企业日常经营业务中不同类型的原始票据、对原始票据进行审核。</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（2）财务共享账务处理</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对企业日常发生的业务，在财务共享中心平台选择相关单据类型、业务类型、单据、所属部门、费用详情等，通过财务共享中心平台自动生成记账凭证。</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3.大数据财务分析</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将大数据技术与财务分析深度融合，利用大数据技术采集企业内外部环境的结构化、非结构化数据，进行数据存储、数据清洗、数据连接、数据加工、数据建模分析及可视化呈现。利用先进的大数据分析工具多维度分析企业财报，涉及行业分析、选定企业整体评价等；利用大数据分析模型，结合上市公司财务数据，对案例企业进行财务效率分析。</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4.业财一体化流程设计</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业财一体化流程设计，遵循《企业内部控制基本规范》与《企业内部控制配套指引》相关要求，在合同管理、采购与付款业务、销售与收款业务、资金管理业务、资产管理业务等范畴，以企业内部环境为基础、企业战略实施为目标、风险评估为重要环节、流程设计为抓手、财务表单为业务数据载体，运用数字化流程设计工具，采用拖拉拽的方式设计业务流程，在不同的流程节点设计审批顺序与权限、并配置、转填、审批适用的表单用于业务数据采集，对设计好的流程进行保存、发布并执行流程，实现业务流程、企业内部控制一体化、IT化。</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5.岗位职业素养考核(个人PK赛)</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（1）资金管理岗位—票据验真审核</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针对票据真伪、票据合规等情况进行验证审核，审核票据真伪与合规性、票据内容是否真实并符合公司业务，如报销单、发票的名称、日期及客户信息、收付款票据是否真实且符合相关法律法规及公司制度等。</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（2）成本管理岗位—成本控制分析</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审核成本核算相关单据，选择成本核算方法、预算管理等，如生产费用在完工产品与在产品之间的分配方法选择，收入与成本是否匹配并分析。</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（3）审核主管岗位—账务错假识别</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对数据资料、账务处理及相关票据进行审核，发现错账，如科目记错、金额多记或者少记，报表分析等。</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（4）财务主管岗位—内控制度设计</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按照相关会计法规和企业内部控制规范的原理，设计企业的会计岗位、进行会计岗位职责划分、设计会计工作规则、设计成本管理制度、设计会计处理流程和具体方法等。</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（三）大数据管理会计</w:t>
      </w:r>
    </w:p>
    <w:p>
      <w:pPr>
        <w:spacing w:line="360" w:lineRule="auto"/>
        <w:ind w:firstLine="480" w:firstLineChars="200"/>
        <w:rPr>
          <w:rFonts w:ascii="宋体" w:hAnsi="宋体" w:cs="宋体"/>
          <w:sz w:val="24"/>
          <w:szCs w:val="24"/>
        </w:rPr>
      </w:pPr>
      <w:r>
        <w:rPr>
          <w:rFonts w:hint="eastAsia" w:ascii="宋体" w:hAnsi="宋体" w:cs="宋体"/>
          <w:sz w:val="24"/>
          <w:szCs w:val="24"/>
        </w:rPr>
        <w:t>大数据管理会计环节竞赛基于企业的管理会计岗位群设计，将大数据采集、商业可视化分析融入财务大数据，结合财务专业理论进行商业问题的分析。</w:t>
      </w:r>
    </w:p>
    <w:p>
      <w:pPr>
        <w:spacing w:line="360" w:lineRule="auto"/>
        <w:ind w:firstLine="480" w:firstLineChars="200"/>
        <w:rPr>
          <w:rFonts w:ascii="宋体" w:hAnsi="宋体" w:cs="宋体"/>
          <w:sz w:val="24"/>
          <w:szCs w:val="24"/>
        </w:rPr>
      </w:pPr>
      <w:r>
        <w:rPr>
          <w:rFonts w:hint="eastAsia" w:ascii="宋体" w:hAnsi="宋体" w:cs="宋体"/>
          <w:sz w:val="24"/>
          <w:szCs w:val="24"/>
        </w:rPr>
        <w:t>竞赛内容基于一家企业为经营背景，模拟企业在日常经营过程中发生的经营决策、筹资决策、投资决策、全面预算和业绩考核评价等业务，完成财务报表分析、投资项目投资决策、企业资金流管理、现金流预测、销售预测、费用数据多维度分析与数据洞察等。该竞赛环节采用团队竞赛形式，分为投融资管理、预算管理、营运管理和绩效管理4个岗位。培养学生的团队协作能力，掌握运用管理会计方法及工具处理实际发生的各项业务，提升学生专业技能。</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1.投融资管理</w:t>
      </w:r>
    </w:p>
    <w:p>
      <w:pPr>
        <w:spacing w:line="360" w:lineRule="auto"/>
        <w:ind w:firstLine="480" w:firstLineChars="200"/>
        <w:rPr>
          <w:rFonts w:ascii="宋体" w:hAnsi="宋体" w:cs="宋体"/>
          <w:sz w:val="24"/>
          <w:szCs w:val="24"/>
        </w:rPr>
      </w:pPr>
      <w:r>
        <w:rPr>
          <w:rFonts w:hint="eastAsia" w:ascii="宋体" w:hAnsi="宋体" w:cs="宋体"/>
          <w:sz w:val="24"/>
          <w:szCs w:val="24"/>
        </w:rPr>
        <w:t>（1）投资决策：通过对项目投资定性、定量分析，以贴现现金流量为基础，使用净现值、内含报酬率、现值指数等方法进行可行性分析，对投资活动做出合理的决策。</w:t>
      </w:r>
    </w:p>
    <w:p>
      <w:pPr>
        <w:spacing w:line="360" w:lineRule="auto"/>
        <w:ind w:firstLine="480" w:firstLineChars="200"/>
        <w:rPr>
          <w:rFonts w:ascii="宋体" w:hAnsi="宋体" w:cs="宋体"/>
          <w:sz w:val="24"/>
          <w:szCs w:val="24"/>
        </w:rPr>
      </w:pPr>
      <w:r>
        <w:rPr>
          <w:rFonts w:hint="eastAsia" w:ascii="宋体" w:hAnsi="宋体" w:cs="宋体"/>
          <w:sz w:val="24"/>
          <w:szCs w:val="24"/>
        </w:rPr>
        <w:t>（2）筹资决策：通过对资金需要量预测和资金成本率的计算及分析，对筹资活动做出合理的决策。</w:t>
      </w:r>
    </w:p>
    <w:p>
      <w:pPr>
        <w:spacing w:line="360" w:lineRule="auto"/>
        <w:ind w:firstLine="480" w:firstLineChars="200"/>
        <w:rPr>
          <w:rFonts w:ascii="宋体" w:hAnsi="宋体" w:cs="宋体"/>
          <w:sz w:val="24"/>
          <w:szCs w:val="24"/>
        </w:rPr>
      </w:pPr>
      <w:r>
        <w:rPr>
          <w:rFonts w:hint="eastAsia" w:ascii="宋体" w:hAnsi="宋体" w:cs="宋体"/>
          <w:sz w:val="24"/>
          <w:szCs w:val="24"/>
        </w:rPr>
        <w:t>（3）大数据风控：资金风险管控。</w:t>
      </w:r>
    </w:p>
    <w:p>
      <w:pPr>
        <w:spacing w:line="360" w:lineRule="auto"/>
        <w:ind w:firstLine="480" w:firstLineChars="200"/>
        <w:rPr>
          <w:rFonts w:ascii="宋体" w:hAnsi="宋体" w:cs="宋体"/>
          <w:sz w:val="24"/>
          <w:szCs w:val="24"/>
        </w:rPr>
      </w:pPr>
      <w:r>
        <w:rPr>
          <w:rFonts w:hint="eastAsia" w:ascii="宋体" w:hAnsi="宋体" w:cs="宋体"/>
          <w:sz w:val="24"/>
          <w:szCs w:val="24"/>
        </w:rPr>
        <w:t>（4）投融资数据分析：利用大数据工具进行投融资数据分析，设计现金流入量、现金流出量、现金存量、资金需求量等看板，并进行资金分析与预测。</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2.预算管理</w:t>
      </w:r>
    </w:p>
    <w:p>
      <w:pPr>
        <w:spacing w:line="360" w:lineRule="auto"/>
        <w:ind w:firstLine="480" w:firstLineChars="200"/>
        <w:rPr>
          <w:rFonts w:ascii="宋体" w:hAnsi="宋体" w:cs="宋体"/>
          <w:sz w:val="24"/>
          <w:szCs w:val="24"/>
        </w:rPr>
      </w:pPr>
      <w:r>
        <w:rPr>
          <w:rFonts w:hint="eastAsia" w:ascii="宋体" w:hAnsi="宋体" w:cs="宋体"/>
          <w:sz w:val="24"/>
          <w:szCs w:val="24"/>
        </w:rPr>
        <w:t>（1）预算编制：编制销售预算、生产预算、成本预算(直接材料预算、直接人工预算、制造费用预算)、期间费用预算、应交税费预算、现金预算，编制预计资产负债表及预计利润表。</w:t>
      </w:r>
    </w:p>
    <w:p>
      <w:pPr>
        <w:spacing w:line="360" w:lineRule="auto"/>
        <w:ind w:firstLine="480" w:firstLineChars="200"/>
        <w:rPr>
          <w:rFonts w:ascii="宋体" w:hAnsi="宋体" w:cs="宋体"/>
          <w:sz w:val="24"/>
          <w:szCs w:val="24"/>
        </w:rPr>
      </w:pPr>
      <w:r>
        <w:rPr>
          <w:rFonts w:hint="eastAsia" w:ascii="宋体" w:hAnsi="宋体" w:cs="宋体"/>
          <w:sz w:val="24"/>
          <w:szCs w:val="24"/>
        </w:rPr>
        <w:t>（2）预算执行情况分析：收入预算执行情况分析、成本预算执行情况分析、期间费用预算执行情况分析、利润预算执行情况分析。</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3.营运管理</w:t>
      </w:r>
    </w:p>
    <w:p>
      <w:pPr>
        <w:spacing w:line="360" w:lineRule="auto"/>
        <w:ind w:firstLine="480" w:firstLineChars="200"/>
        <w:rPr>
          <w:rFonts w:ascii="宋体" w:hAnsi="宋体" w:cs="宋体"/>
          <w:sz w:val="24"/>
          <w:szCs w:val="24"/>
        </w:rPr>
      </w:pPr>
      <w:r>
        <w:rPr>
          <w:rFonts w:hint="eastAsia" w:ascii="宋体" w:hAnsi="宋体" w:cs="宋体"/>
          <w:sz w:val="24"/>
          <w:szCs w:val="24"/>
        </w:rPr>
        <w:t>（1）成本核算与管理：标准成本法、变动成本法、作业成本法、成本性态分析、成本差异计算与分析。</w:t>
      </w:r>
    </w:p>
    <w:p>
      <w:pPr>
        <w:spacing w:line="360" w:lineRule="auto"/>
        <w:ind w:firstLine="480" w:firstLineChars="200"/>
        <w:rPr>
          <w:rFonts w:ascii="宋体" w:hAnsi="宋体" w:cs="宋体"/>
          <w:sz w:val="24"/>
          <w:szCs w:val="24"/>
        </w:rPr>
      </w:pPr>
      <w:r>
        <w:rPr>
          <w:rFonts w:hint="eastAsia" w:ascii="宋体" w:hAnsi="宋体" w:cs="宋体"/>
          <w:sz w:val="24"/>
          <w:szCs w:val="24"/>
        </w:rPr>
        <w:t>（2）营运管理：本量利分析、利润敏感性分析、边际贡献分析、盈亏平衡分析、安全边际分析、经济订货批量计算。</w:t>
      </w:r>
    </w:p>
    <w:p>
      <w:pPr>
        <w:spacing w:line="360" w:lineRule="auto"/>
        <w:ind w:firstLine="480" w:firstLineChars="200"/>
        <w:rPr>
          <w:rFonts w:ascii="宋体" w:hAnsi="宋体" w:cs="宋体"/>
          <w:sz w:val="24"/>
          <w:szCs w:val="24"/>
        </w:rPr>
      </w:pPr>
      <w:r>
        <w:rPr>
          <w:rFonts w:hint="eastAsia" w:ascii="宋体" w:hAnsi="宋体" w:cs="宋体"/>
          <w:sz w:val="24"/>
          <w:szCs w:val="24"/>
        </w:rPr>
        <w:t>（3）短期经营决策：利用差量分析法、边际贡献分析法和本量利分析法等对企业日常经营活动过程中的生产和定价进行决策。</w:t>
      </w:r>
    </w:p>
    <w:p>
      <w:pPr>
        <w:spacing w:line="360" w:lineRule="auto"/>
        <w:ind w:firstLine="480" w:firstLineChars="200"/>
        <w:rPr>
          <w:rFonts w:ascii="宋体" w:hAnsi="宋体" w:cs="宋体"/>
          <w:sz w:val="24"/>
          <w:szCs w:val="24"/>
        </w:rPr>
      </w:pPr>
      <w:r>
        <w:rPr>
          <w:rFonts w:hint="eastAsia" w:ascii="宋体" w:hAnsi="宋体" w:cs="宋体"/>
          <w:sz w:val="24"/>
          <w:szCs w:val="24"/>
        </w:rPr>
        <w:t>（4）大数据风控：费用风险管控、应收账款风险管控、采购风险管控、存货风险管控等。</w:t>
      </w:r>
    </w:p>
    <w:p>
      <w:pPr>
        <w:spacing w:line="360" w:lineRule="auto"/>
        <w:ind w:firstLine="480" w:firstLineChars="200"/>
        <w:rPr>
          <w:rFonts w:ascii="宋体" w:hAnsi="宋体" w:cs="宋体"/>
          <w:sz w:val="24"/>
          <w:szCs w:val="24"/>
        </w:rPr>
      </w:pPr>
      <w:r>
        <w:rPr>
          <w:rFonts w:hint="eastAsia" w:ascii="宋体" w:hAnsi="宋体" w:cs="宋体"/>
          <w:sz w:val="24"/>
          <w:szCs w:val="24"/>
        </w:rPr>
        <w:t>（5）营运数据分析：利用大数据工具对成本、销售费用、财务费用等数据进行分析；设计不同产品的成本占比及变化、销售费用各个子项目占比及变化、财务费用各子项占比及变化等看板，并进行销售分析与预测、费用的分析与洞察。</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4.绩效考评与管理会计报告</w:t>
      </w:r>
    </w:p>
    <w:p>
      <w:pPr>
        <w:spacing w:line="360" w:lineRule="auto"/>
        <w:ind w:firstLine="480" w:firstLineChars="200"/>
        <w:rPr>
          <w:rFonts w:ascii="宋体" w:hAnsi="宋体" w:cs="宋体"/>
          <w:sz w:val="24"/>
          <w:szCs w:val="24"/>
        </w:rPr>
      </w:pPr>
      <w:r>
        <w:rPr>
          <w:rFonts w:hint="eastAsia" w:ascii="宋体" w:hAnsi="宋体" w:cs="宋体"/>
          <w:sz w:val="24"/>
          <w:szCs w:val="24"/>
        </w:rPr>
        <w:t>（1）业绩分析：企业盈利能力分析、成本控制与管理能力、资金利用效率能力、关键业绩指标分析、资产负债结构合理性分析、人均劳动效率分析等。</w:t>
      </w:r>
    </w:p>
    <w:p>
      <w:pPr>
        <w:spacing w:line="360" w:lineRule="auto"/>
        <w:ind w:firstLine="480" w:firstLineChars="200"/>
        <w:rPr>
          <w:rFonts w:ascii="宋体" w:hAnsi="宋体" w:cs="宋体"/>
          <w:sz w:val="24"/>
          <w:szCs w:val="24"/>
        </w:rPr>
      </w:pPr>
      <w:r>
        <w:rPr>
          <w:rFonts w:hint="eastAsia" w:ascii="宋体" w:hAnsi="宋体" w:cs="宋体"/>
          <w:sz w:val="24"/>
          <w:szCs w:val="24"/>
        </w:rPr>
        <w:t>（2）绩效考评：平衡计分卡、关键绩效指标(KPI)、责任中心考核评价(成本中心、利润中心、投资中心)等。</w:t>
      </w:r>
    </w:p>
    <w:p>
      <w:pPr>
        <w:spacing w:line="360" w:lineRule="auto"/>
        <w:ind w:firstLine="480" w:firstLineChars="200"/>
        <w:rPr>
          <w:rFonts w:ascii="宋体" w:hAnsi="宋体" w:cs="宋体"/>
          <w:sz w:val="24"/>
          <w:szCs w:val="24"/>
        </w:rPr>
      </w:pPr>
      <w:r>
        <w:rPr>
          <w:rFonts w:hint="eastAsia" w:ascii="宋体" w:hAnsi="宋体" w:cs="宋体"/>
          <w:sz w:val="24"/>
          <w:szCs w:val="24"/>
        </w:rPr>
        <w:t>（3）管理报告：管理会计信息报告。</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（四）竞赛内容分工</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1.会计素养与智能工具应用</w:t>
      </w:r>
    </w:p>
    <w:p>
      <w:pPr>
        <w:spacing w:line="360" w:lineRule="auto"/>
        <w:ind w:firstLine="480" w:firstLineChars="200"/>
        <w:rPr>
          <w:rFonts w:ascii="宋体" w:hAnsi="宋体" w:cs="宋体"/>
          <w:sz w:val="24"/>
          <w:szCs w:val="24"/>
        </w:rPr>
      </w:pPr>
      <w:r>
        <w:rPr>
          <w:rFonts w:hint="eastAsia" w:ascii="宋体" w:hAnsi="宋体" w:cs="宋体"/>
          <w:sz w:val="24"/>
          <w:szCs w:val="24"/>
        </w:rPr>
        <w:t>本环节为个人赛，不分岗位。</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2.财务会计与大数据财务分析</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pStyle w:val="2"/>
        <w:ind w:left="0" w:firstLine="0" w:firstLineChars="0"/>
        <w:sectPr>
          <w:headerReference r:id="rId3" w:type="default"/>
          <w:footerReference r:id="rId4" w:type="default"/>
          <w:pgSz w:w="11906" w:h="16838"/>
          <w:pgMar w:top="1440" w:right="1757" w:bottom="1440" w:left="1757" w:header="851" w:footer="992" w:gutter="0"/>
          <w:cols w:space="0" w:num="1"/>
          <w:docGrid w:type="lines" w:linePitch="312" w:charSpace="0"/>
        </w:sectPr>
      </w:pPr>
    </w:p>
    <w:tbl>
      <w:tblPr>
        <w:tblStyle w:val="9"/>
        <w:tblW w:w="141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980"/>
        <w:gridCol w:w="12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44" w:hRule="atLeast"/>
        </w:trPr>
        <w:tc>
          <w:tcPr>
            <w:tcW w:w="1980" w:type="dxa"/>
            <w:tcBorders>
              <w:left w:val="nil"/>
            </w:tcBorders>
            <w:shd w:val="clear" w:color="auto" w:fill="C5D9F1"/>
            <w:vAlign w:val="center"/>
          </w:tcPr>
          <w:p>
            <w:pPr>
              <w:jc w:val="center"/>
              <w:rPr>
                <w:rFonts w:ascii="仿宋" w:hAnsi="仿宋" w:eastAsia="仿宋" w:cs="仿宋"/>
              </w:rPr>
            </w:pPr>
            <w:r>
              <w:rPr>
                <w:rFonts w:hint="eastAsia" w:ascii="仿宋" w:hAnsi="仿宋" w:eastAsia="仿宋" w:cs="仿宋"/>
              </w:rPr>
              <w:t>竞赛岗位</w:t>
            </w:r>
          </w:p>
        </w:tc>
        <w:tc>
          <w:tcPr>
            <w:tcW w:w="12140" w:type="dxa"/>
            <w:tcBorders>
              <w:right w:val="nil"/>
            </w:tcBorders>
            <w:shd w:val="clear" w:color="auto" w:fill="C5D9F1"/>
            <w:vAlign w:val="center"/>
          </w:tcPr>
          <w:p>
            <w:pPr>
              <w:jc w:val="center"/>
              <w:rPr>
                <w:rFonts w:ascii="仿宋" w:hAnsi="仿宋" w:eastAsia="仿宋" w:cs="仿宋"/>
              </w:rPr>
            </w:pPr>
            <w:r>
              <w:rPr>
                <w:rFonts w:hint="eastAsia" w:ascii="仿宋" w:hAnsi="仿宋" w:eastAsia="仿宋" w:cs="仿宋"/>
              </w:rPr>
              <w:t>岗位任务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649" w:hRule="atLeast"/>
        </w:trPr>
        <w:tc>
          <w:tcPr>
            <w:tcW w:w="1980" w:type="dxa"/>
            <w:tcBorders>
              <w:left w:val="nil"/>
            </w:tcBorders>
            <w:vAlign w:val="center"/>
          </w:tcPr>
          <w:p>
            <w:pPr>
              <w:jc w:val="center"/>
              <w:rPr>
                <w:rFonts w:ascii="仿宋" w:hAnsi="仿宋" w:eastAsia="仿宋" w:cs="仿宋"/>
              </w:rPr>
            </w:pPr>
            <w:r>
              <w:rPr>
                <w:rFonts w:hint="eastAsia" w:ascii="仿宋" w:hAnsi="仿宋" w:eastAsia="仿宋" w:cs="仿宋"/>
              </w:rPr>
              <w:t>资金管理岗位</w:t>
            </w:r>
          </w:p>
        </w:tc>
        <w:tc>
          <w:tcPr>
            <w:tcW w:w="12140" w:type="dxa"/>
            <w:tcBorders>
              <w:right w:val="nil"/>
            </w:tcBorders>
            <w:vAlign w:val="center"/>
          </w:tcPr>
          <w:p>
            <w:pPr>
              <w:rPr>
                <w:rFonts w:ascii="仿宋" w:hAnsi="仿宋" w:eastAsia="仿宋" w:cs="仿宋"/>
                <w:highlight w:val="none"/>
              </w:rPr>
            </w:pPr>
            <w:r>
              <w:rPr>
                <w:rFonts w:hint="eastAsia" w:ascii="仿宋" w:hAnsi="仿宋" w:eastAsia="仿宋" w:cs="仿宋"/>
                <w:highlight w:val="none"/>
              </w:rPr>
              <w:t>(1)银行业务：支票签发、银行承兑汇票贴现、银行进账单填写、网上电子支付业务</w:t>
            </w:r>
          </w:p>
          <w:p>
            <w:pPr>
              <w:rPr>
                <w:rFonts w:ascii="仿宋" w:hAnsi="仿宋" w:eastAsia="仿宋" w:cs="仿宋"/>
                <w:highlight w:val="none"/>
              </w:rPr>
            </w:pPr>
            <w:r>
              <w:rPr>
                <w:rFonts w:hint="eastAsia" w:ascii="仿宋" w:hAnsi="仿宋" w:eastAsia="仿宋" w:cs="仿宋"/>
                <w:highlight w:val="none"/>
              </w:rPr>
              <w:t>(2)票据业务：票据验真、票据审核、票据整理、涉及收付款记账凭证审核</w:t>
            </w:r>
          </w:p>
          <w:p>
            <w:pPr>
              <w:rPr>
                <w:rFonts w:ascii="仿宋" w:hAnsi="仿宋" w:eastAsia="仿宋" w:cs="仿宋"/>
                <w:highlight w:val="none"/>
              </w:rPr>
            </w:pPr>
            <w:r>
              <w:rPr>
                <w:rFonts w:hint="eastAsia" w:ascii="仿宋" w:hAnsi="仿宋" w:eastAsia="仿宋" w:cs="仿宋"/>
                <w:highlight w:val="none"/>
              </w:rPr>
              <w:t>(3)大数据分析业务：</w:t>
            </w:r>
            <w:r>
              <w:rPr>
                <w:rFonts w:hint="eastAsia" w:ascii="仿宋" w:eastAsia="仿宋" w:cs="仿宋"/>
                <w:highlight w:val="none"/>
              </w:rPr>
              <w:t>财务效率分析及可视化呈现；选定行业分析，选定企业整体评价等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544" w:hRule="atLeast"/>
        </w:trPr>
        <w:tc>
          <w:tcPr>
            <w:tcW w:w="1980" w:type="dxa"/>
            <w:tcBorders>
              <w:left w:val="nil"/>
            </w:tcBorders>
            <w:vAlign w:val="center"/>
          </w:tcPr>
          <w:p>
            <w:pPr>
              <w:jc w:val="center"/>
              <w:rPr>
                <w:rFonts w:ascii="仿宋" w:hAnsi="仿宋" w:eastAsia="仿宋" w:cs="仿宋"/>
              </w:rPr>
            </w:pPr>
            <w:r>
              <w:rPr>
                <w:rFonts w:hint="eastAsia" w:ascii="仿宋" w:hAnsi="仿宋" w:eastAsia="仿宋" w:cs="仿宋"/>
              </w:rPr>
              <w:t>成本管理岗位</w:t>
            </w:r>
          </w:p>
        </w:tc>
        <w:tc>
          <w:tcPr>
            <w:tcW w:w="12140" w:type="dxa"/>
            <w:tcBorders>
              <w:right w:val="nil"/>
            </w:tcBorders>
            <w:vAlign w:val="center"/>
          </w:tcPr>
          <w:p>
            <w:pPr>
              <w:rPr>
                <w:rFonts w:ascii="仿宋" w:hAnsi="仿宋" w:eastAsia="仿宋" w:cs="仿宋"/>
                <w:highlight w:val="none"/>
              </w:rPr>
            </w:pPr>
            <w:r>
              <w:rPr>
                <w:rFonts w:hint="eastAsia" w:ascii="仿宋" w:hAnsi="仿宋" w:eastAsia="仿宋" w:cs="仿宋"/>
                <w:highlight w:val="none"/>
              </w:rPr>
              <w:t>(1)成本核算：填制成本核算原始凭证、计算产品成本、填制成本核算相关的记账凭证、编制成本报表</w:t>
            </w:r>
          </w:p>
          <w:p>
            <w:pPr>
              <w:rPr>
                <w:rFonts w:ascii="仿宋" w:hAnsi="仿宋" w:eastAsia="仿宋" w:cs="仿宋"/>
                <w:highlight w:val="none"/>
              </w:rPr>
            </w:pPr>
            <w:r>
              <w:rPr>
                <w:rFonts w:hint="eastAsia" w:ascii="仿宋" w:hAnsi="仿宋" w:eastAsia="仿宋" w:cs="仿宋"/>
                <w:highlight w:val="none"/>
              </w:rPr>
              <w:t>(2)成本管理：进行成本的预算管理、成本控制分析</w:t>
            </w:r>
          </w:p>
          <w:p>
            <w:pPr>
              <w:rPr>
                <w:rFonts w:ascii="仿宋" w:hAnsi="仿宋" w:eastAsia="仿宋" w:cs="仿宋"/>
                <w:highlight w:val="none"/>
              </w:rPr>
            </w:pPr>
            <w:r>
              <w:rPr>
                <w:rFonts w:hint="eastAsia" w:ascii="仿宋" w:hAnsi="仿宋" w:eastAsia="仿宋" w:cs="仿宋"/>
                <w:highlight w:val="none"/>
              </w:rPr>
              <w:t>(3)成本分析：企业成本费用业务数据分析</w:t>
            </w:r>
          </w:p>
          <w:p>
            <w:pPr>
              <w:rPr>
                <w:rFonts w:ascii="仿宋" w:hAnsi="仿宋" w:eastAsia="仿宋" w:cs="仿宋"/>
                <w:highlight w:val="none"/>
              </w:rPr>
            </w:pPr>
            <w:r>
              <w:rPr>
                <w:rFonts w:hint="eastAsia" w:ascii="仿宋" w:eastAsia="仿宋" w:cs="仿宋"/>
                <w:highlight w:val="none"/>
              </w:rPr>
              <w:t>(4)大数据技术业务：利用大数据技术完成企业成本、费用等业务，提高工作效率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845" w:hRule="atLeast"/>
        </w:trPr>
        <w:tc>
          <w:tcPr>
            <w:tcW w:w="1980" w:type="dxa"/>
            <w:tcBorders>
              <w:left w:val="nil"/>
            </w:tcBorders>
            <w:vAlign w:val="center"/>
          </w:tcPr>
          <w:p>
            <w:pPr>
              <w:jc w:val="center"/>
              <w:rPr>
                <w:rFonts w:ascii="仿宋" w:hAnsi="仿宋" w:eastAsia="仿宋" w:cs="仿宋"/>
              </w:rPr>
            </w:pPr>
            <w:r>
              <w:rPr>
                <w:rFonts w:hint="eastAsia" w:ascii="仿宋" w:hAnsi="仿宋" w:eastAsia="仿宋" w:cs="仿宋"/>
              </w:rPr>
              <w:t>审核主管岗位</w:t>
            </w:r>
          </w:p>
        </w:tc>
        <w:tc>
          <w:tcPr>
            <w:tcW w:w="12140" w:type="dxa"/>
            <w:tcBorders>
              <w:right w:val="nil"/>
            </w:tcBorders>
            <w:vAlign w:val="center"/>
          </w:tcPr>
          <w:p>
            <w:pPr>
              <w:rPr>
                <w:rFonts w:ascii="仿宋" w:hAnsi="仿宋" w:eastAsia="仿宋" w:cs="仿宋"/>
                <w:highlight w:val="none"/>
              </w:rPr>
            </w:pPr>
            <w:r>
              <w:rPr>
                <w:rFonts w:hint="eastAsia" w:ascii="仿宋" w:hAnsi="仿宋" w:eastAsia="仿宋" w:cs="仿宋"/>
                <w:highlight w:val="none"/>
              </w:rPr>
              <w:t>(1)审核业务：票据审核、凭证审核、账簿核对、账务错假识别</w:t>
            </w:r>
          </w:p>
          <w:p>
            <w:pPr>
              <w:rPr>
                <w:rFonts w:ascii="仿宋" w:hAnsi="仿宋" w:eastAsia="仿宋" w:cs="仿宋"/>
                <w:highlight w:val="none"/>
              </w:rPr>
            </w:pPr>
            <w:r>
              <w:rPr>
                <w:rFonts w:hint="eastAsia" w:ascii="仿宋" w:hAnsi="仿宋" w:eastAsia="仿宋" w:cs="仿宋"/>
                <w:highlight w:val="none"/>
              </w:rPr>
              <w:t>(2)其他业务：填制除成本核算以外的相关业务原始凭证、填制除成本业务以外的记账凭证</w:t>
            </w:r>
          </w:p>
          <w:p>
            <w:pPr>
              <w:rPr>
                <w:rFonts w:ascii="仿宋" w:hAnsi="仿宋" w:eastAsia="仿宋" w:cs="仿宋"/>
                <w:highlight w:val="none"/>
              </w:rPr>
            </w:pPr>
            <w:r>
              <w:rPr>
                <w:rFonts w:hint="eastAsia" w:ascii="仿宋" w:hAnsi="仿宋" w:eastAsia="仿宋" w:cs="仿宋"/>
                <w:highlight w:val="none"/>
              </w:rPr>
              <w:t>(3)共享中心业务：对企业日常发生的业务，通过财务共享中心平台自动生成记账凭证</w:t>
            </w:r>
          </w:p>
          <w:p>
            <w:pPr>
              <w:rPr>
                <w:rFonts w:ascii="仿宋" w:hAnsi="仿宋" w:eastAsia="仿宋" w:cs="仿宋"/>
                <w:highlight w:val="none"/>
              </w:rPr>
            </w:pPr>
            <w:r>
              <w:rPr>
                <w:rFonts w:hint="eastAsia" w:ascii="仿宋" w:eastAsia="仿宋" w:cs="仿宋"/>
                <w:highlight w:val="none"/>
              </w:rPr>
              <w:t>(4)大数据分析业务：企业经营数据及企业税负情况分析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028" w:hRule="atLeast"/>
        </w:trPr>
        <w:tc>
          <w:tcPr>
            <w:tcW w:w="1980" w:type="dxa"/>
            <w:tcBorders>
              <w:left w:val="nil"/>
            </w:tcBorders>
            <w:vAlign w:val="center"/>
          </w:tcPr>
          <w:p>
            <w:pPr>
              <w:jc w:val="center"/>
              <w:rPr>
                <w:rFonts w:ascii="仿宋" w:hAnsi="仿宋" w:eastAsia="仿宋" w:cs="仿宋"/>
              </w:rPr>
            </w:pPr>
            <w:r>
              <w:rPr>
                <w:rFonts w:hint="eastAsia" w:ascii="仿宋" w:hAnsi="仿宋" w:eastAsia="仿宋" w:cs="仿宋"/>
              </w:rPr>
              <w:t>财务主管岗位</w:t>
            </w:r>
          </w:p>
        </w:tc>
        <w:tc>
          <w:tcPr>
            <w:tcW w:w="12140" w:type="dxa"/>
            <w:tcBorders>
              <w:right w:val="nil"/>
            </w:tcBorders>
            <w:vAlign w:val="center"/>
          </w:tcPr>
          <w:p>
            <w:pPr>
              <w:rPr>
                <w:rFonts w:ascii="仿宋" w:hAnsi="仿宋" w:eastAsia="仿宋" w:cs="仿宋"/>
              </w:rPr>
            </w:pPr>
            <w:r>
              <w:rPr>
                <w:rFonts w:hint="eastAsia" w:ascii="仿宋" w:hAnsi="仿宋" w:eastAsia="仿宋" w:cs="仿宋"/>
              </w:rPr>
              <w:t>(1)基础业务：建立账套、凭证的审核、网上电子支付业务的审核授权、过账及结账</w:t>
            </w:r>
          </w:p>
          <w:p>
            <w:pPr>
              <w:rPr>
                <w:rFonts w:ascii="仿宋" w:hAnsi="仿宋" w:eastAsia="仿宋" w:cs="仿宋"/>
              </w:rPr>
            </w:pPr>
            <w:r>
              <w:rPr>
                <w:rFonts w:hint="eastAsia" w:ascii="仿宋" w:hAnsi="仿宋" w:eastAsia="仿宋" w:cs="仿宋"/>
              </w:rPr>
              <w:t>(2)涉税业务：网上税费申报、纳税筹划</w:t>
            </w:r>
          </w:p>
          <w:p>
            <w:pPr>
              <w:rPr>
                <w:rFonts w:ascii="仿宋" w:hAnsi="仿宋" w:eastAsia="仿宋" w:cs="仿宋"/>
              </w:rPr>
            </w:pPr>
            <w:r>
              <w:rPr>
                <w:rFonts w:hint="eastAsia" w:ascii="仿宋" w:hAnsi="仿宋" w:eastAsia="仿宋" w:cs="仿宋"/>
              </w:rPr>
              <w:t>(3)报表业务：报表编制(包括资产负债表、利润表公式设置)</w:t>
            </w:r>
          </w:p>
          <w:p>
            <w:pPr>
              <w:rPr>
                <w:rFonts w:ascii="仿宋" w:hAnsi="仿宋" w:eastAsia="仿宋" w:cs="仿宋"/>
              </w:rPr>
            </w:pPr>
            <w:r>
              <w:rPr>
                <w:rFonts w:hint="eastAsia" w:ascii="仿宋" w:hAnsi="仿宋" w:eastAsia="仿宋" w:cs="仿宋"/>
              </w:rPr>
              <w:t>(4)流程业务：业财一体化流程设计、内控制度设计</w:t>
            </w:r>
          </w:p>
          <w:p>
            <w:pPr>
              <w:rPr>
                <w:rFonts w:ascii="仿宋" w:hAnsi="仿宋" w:eastAsia="仿宋" w:cs="仿宋"/>
              </w:rPr>
            </w:pPr>
            <w:r>
              <w:rPr>
                <w:rFonts w:hint="eastAsia" w:ascii="仿宋" w:hAnsi="仿宋" w:eastAsia="仿宋" w:cs="仿宋"/>
              </w:rPr>
              <w:t>(5)财报分析：</w:t>
            </w:r>
            <w:r>
              <w:rPr>
                <w:rFonts w:hint="eastAsia" w:ascii="仿宋" w:eastAsia="仿宋" w:cs="仿宋"/>
              </w:rPr>
              <w:t>财务报表分析及可视化呈现</w:t>
            </w:r>
          </w:p>
        </w:tc>
      </w:tr>
    </w:tbl>
    <w:p>
      <w:pPr>
        <w:pStyle w:val="2"/>
        <w:ind w:left="0" w:firstLine="0" w:firstLineChars="0"/>
      </w:pP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3.大数据管理会计</w:t>
      </w:r>
    </w:p>
    <w:tbl>
      <w:tblPr>
        <w:tblStyle w:val="9"/>
        <w:tblW w:w="142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975"/>
        <w:gridCol w:w="12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426" w:hRule="atLeast"/>
          <w:jc w:val="center"/>
        </w:trPr>
        <w:tc>
          <w:tcPr>
            <w:tcW w:w="1975" w:type="dxa"/>
            <w:tcBorders>
              <w:left w:val="nil"/>
              <w:right w:val="single" w:color="000000" w:sz="6" w:space="0"/>
            </w:tcBorders>
            <w:shd w:val="clear" w:color="auto" w:fill="C5D9F1"/>
            <w:vAlign w:val="center"/>
          </w:tcPr>
          <w:p>
            <w:pPr>
              <w:jc w:val="center"/>
              <w:rPr>
                <w:rFonts w:ascii="仿宋" w:hAnsi="仿宋" w:eastAsia="仿宋" w:cs="仿宋"/>
              </w:rPr>
            </w:pPr>
            <w:r>
              <w:rPr>
                <w:rFonts w:hint="eastAsia" w:ascii="仿宋" w:hAnsi="仿宋" w:eastAsia="仿宋" w:cs="仿宋"/>
              </w:rPr>
              <w:t>竞赛岗位</w:t>
            </w:r>
          </w:p>
        </w:tc>
        <w:tc>
          <w:tcPr>
            <w:tcW w:w="12309" w:type="dxa"/>
            <w:tcBorders>
              <w:left w:val="single" w:color="000000" w:sz="6" w:space="0"/>
              <w:right w:val="nil"/>
            </w:tcBorders>
            <w:shd w:val="clear" w:color="auto" w:fill="C5D9F1"/>
            <w:vAlign w:val="center"/>
          </w:tcPr>
          <w:p>
            <w:pPr>
              <w:jc w:val="center"/>
              <w:rPr>
                <w:rFonts w:ascii="仿宋" w:hAnsi="仿宋" w:eastAsia="仿宋" w:cs="仿宋"/>
              </w:rPr>
            </w:pPr>
            <w:r>
              <w:rPr>
                <w:rFonts w:hint="eastAsia" w:ascii="仿宋" w:hAnsi="仿宋" w:eastAsia="仿宋" w:cs="仿宋"/>
              </w:rPr>
              <w:t>岗位任务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880" w:hRule="atLeast"/>
          <w:jc w:val="center"/>
        </w:trPr>
        <w:tc>
          <w:tcPr>
            <w:tcW w:w="1975" w:type="dxa"/>
            <w:tcBorders>
              <w:left w:val="nil"/>
              <w:right w:val="single" w:color="000000" w:sz="6" w:space="0"/>
            </w:tcBorders>
            <w:vAlign w:val="center"/>
          </w:tcPr>
          <w:p>
            <w:pPr>
              <w:jc w:val="center"/>
              <w:rPr>
                <w:rFonts w:ascii="仿宋" w:hAnsi="仿宋" w:eastAsia="仿宋" w:cs="仿宋"/>
              </w:rPr>
            </w:pPr>
            <w:r>
              <w:rPr>
                <w:rFonts w:hint="eastAsia" w:ascii="仿宋" w:hAnsi="仿宋" w:eastAsia="仿宋" w:cs="仿宋"/>
              </w:rPr>
              <w:t>投融资管理岗位</w:t>
            </w:r>
          </w:p>
        </w:tc>
        <w:tc>
          <w:tcPr>
            <w:tcW w:w="12309" w:type="dxa"/>
            <w:tcBorders>
              <w:left w:val="single" w:color="000000" w:sz="6" w:space="0"/>
              <w:right w:val="nil"/>
            </w:tcBorders>
            <w:vAlign w:val="center"/>
          </w:tcPr>
          <w:p>
            <w:pPr>
              <w:rPr>
                <w:rFonts w:ascii="仿宋" w:hAnsi="仿宋" w:eastAsia="仿宋" w:cs="仿宋"/>
              </w:rPr>
            </w:pPr>
            <w:r>
              <w:rPr>
                <w:rFonts w:hint="eastAsia" w:ascii="仿宋" w:hAnsi="仿宋" w:eastAsia="仿宋" w:cs="仿宋"/>
              </w:rPr>
              <w:t>(1)筹资管理：资金需要量预测、资金成本率计算及分析</w:t>
            </w:r>
          </w:p>
          <w:p>
            <w:pPr>
              <w:rPr>
                <w:rFonts w:ascii="仿宋" w:hAnsi="仿宋" w:eastAsia="仿宋" w:cs="仿宋"/>
              </w:rPr>
            </w:pPr>
            <w:r>
              <w:rPr>
                <w:rFonts w:hint="eastAsia" w:ascii="仿宋" w:hAnsi="仿宋" w:eastAsia="仿宋" w:cs="仿宋"/>
              </w:rPr>
              <w:t>(2)长期投资决策:是否购置设备决策、设备是否更新决策、固定资产大修与更新决策、固定资产购置与租赁决策、固定资产何时更新决策、资金总量存在限制条件下决策等</w:t>
            </w:r>
          </w:p>
          <w:p>
            <w:pPr>
              <w:rPr>
                <w:rFonts w:ascii="仿宋" w:hAnsi="仿宋" w:eastAsia="仿宋" w:cs="仿宋"/>
              </w:rPr>
            </w:pPr>
            <w:r>
              <w:rPr>
                <w:rFonts w:hint="eastAsia" w:ascii="仿宋" w:hAnsi="仿宋" w:eastAsia="仿宋" w:cs="仿宋"/>
              </w:rPr>
              <w:t>(3)大数据风控：资金风险管控等</w:t>
            </w:r>
          </w:p>
          <w:p>
            <w:pPr>
              <w:rPr>
                <w:rFonts w:ascii="仿宋" w:hAnsi="仿宋" w:eastAsia="仿宋" w:cs="仿宋"/>
              </w:rPr>
            </w:pPr>
            <w:r>
              <w:rPr>
                <w:rFonts w:hint="eastAsia" w:ascii="仿宋" w:hAnsi="仿宋" w:eastAsia="仿宋" w:cs="仿宋"/>
              </w:rPr>
              <w:t>(4)投融资数据分析：利用大数据工具进行投融资数据分析，设计现金流入量、现金流出量、现金存量、资金需求量等看板，并进行资金分析与预测。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759" w:hRule="atLeast"/>
          <w:jc w:val="center"/>
        </w:trPr>
        <w:tc>
          <w:tcPr>
            <w:tcW w:w="1975" w:type="dxa"/>
            <w:tcBorders>
              <w:left w:val="nil"/>
              <w:right w:val="single" w:color="000000" w:sz="6" w:space="0"/>
            </w:tcBorders>
            <w:vAlign w:val="center"/>
          </w:tcPr>
          <w:p>
            <w:pPr>
              <w:jc w:val="center"/>
              <w:rPr>
                <w:rFonts w:ascii="仿宋" w:hAnsi="仿宋" w:eastAsia="仿宋" w:cs="仿宋"/>
              </w:rPr>
            </w:pPr>
            <w:r>
              <w:rPr>
                <w:rFonts w:hint="eastAsia" w:ascii="仿宋" w:hAnsi="仿宋" w:eastAsia="仿宋" w:cs="仿宋"/>
              </w:rPr>
              <w:t>预算管理岗位</w:t>
            </w:r>
          </w:p>
        </w:tc>
        <w:tc>
          <w:tcPr>
            <w:tcW w:w="12309" w:type="dxa"/>
            <w:tcBorders>
              <w:left w:val="single" w:color="000000" w:sz="6" w:space="0"/>
              <w:right w:val="nil"/>
            </w:tcBorders>
            <w:vAlign w:val="center"/>
          </w:tcPr>
          <w:p>
            <w:pPr>
              <w:rPr>
                <w:rFonts w:ascii="仿宋" w:hAnsi="仿宋" w:eastAsia="仿宋" w:cs="仿宋"/>
              </w:rPr>
            </w:pPr>
            <w:r>
              <w:rPr>
                <w:rFonts w:hint="eastAsia" w:ascii="仿宋" w:hAnsi="仿宋" w:eastAsia="仿宋" w:cs="仿宋"/>
              </w:rPr>
              <w:t>(1)销售预算编制：销售预算</w:t>
            </w:r>
          </w:p>
          <w:p>
            <w:pPr>
              <w:rPr>
                <w:rFonts w:ascii="仿宋" w:hAnsi="仿宋" w:eastAsia="仿宋" w:cs="仿宋"/>
              </w:rPr>
            </w:pPr>
            <w:r>
              <w:rPr>
                <w:rFonts w:hint="eastAsia" w:ascii="仿宋" w:hAnsi="仿宋" w:eastAsia="仿宋" w:cs="仿宋"/>
              </w:rPr>
              <w:t>(2)费用预算编制：销售费用预算、管理费用预算、财务费用预算、应交税费预算</w:t>
            </w:r>
          </w:p>
          <w:p>
            <w:pPr>
              <w:rPr>
                <w:rFonts w:ascii="仿宋" w:hAnsi="仿宋" w:eastAsia="仿宋" w:cs="仿宋"/>
              </w:rPr>
            </w:pPr>
            <w:r>
              <w:rPr>
                <w:rFonts w:hint="eastAsia" w:ascii="仿宋" w:hAnsi="仿宋" w:eastAsia="仿宋" w:cs="仿宋"/>
              </w:rPr>
              <w:t>(3)成本预算编制：生产预算、直接材料预算、直接人工预算、制造费用预算、成本预算</w:t>
            </w:r>
          </w:p>
          <w:p>
            <w:pPr>
              <w:rPr>
                <w:rFonts w:ascii="仿宋" w:hAnsi="仿宋" w:eastAsia="仿宋" w:cs="仿宋"/>
              </w:rPr>
            </w:pPr>
            <w:r>
              <w:rPr>
                <w:rFonts w:hint="eastAsia" w:ascii="仿宋" w:hAnsi="仿宋" w:eastAsia="仿宋" w:cs="仿宋"/>
              </w:rPr>
              <w:t>(4)财务预算编制：现金预算、编制预计资产负债表、编制预计利润表</w:t>
            </w:r>
          </w:p>
          <w:p>
            <w:pPr>
              <w:rPr>
                <w:rFonts w:ascii="仿宋" w:hAnsi="仿宋" w:eastAsia="仿宋" w:cs="仿宋"/>
              </w:rPr>
            </w:pPr>
            <w:r>
              <w:rPr>
                <w:rFonts w:hint="eastAsia" w:ascii="仿宋" w:hAnsi="仿宋" w:eastAsia="仿宋" w:cs="仿宋"/>
              </w:rPr>
              <w:t>(5)预算执行情况分析：收入预算执行情况分析、成本预算执行情况分析、期间费用预算执行情况分析、利润预算执行情况分析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759" w:hRule="atLeast"/>
          <w:jc w:val="center"/>
        </w:trPr>
        <w:tc>
          <w:tcPr>
            <w:tcW w:w="1975" w:type="dxa"/>
            <w:tcBorders>
              <w:left w:val="nil"/>
              <w:right w:val="single" w:color="000000" w:sz="6" w:space="0"/>
            </w:tcBorders>
            <w:vAlign w:val="center"/>
          </w:tcPr>
          <w:p>
            <w:pPr>
              <w:jc w:val="center"/>
              <w:rPr>
                <w:rFonts w:ascii="仿宋" w:hAnsi="仿宋" w:eastAsia="仿宋" w:cs="仿宋"/>
              </w:rPr>
            </w:pPr>
            <w:r>
              <w:rPr>
                <w:rFonts w:hint="eastAsia" w:ascii="仿宋" w:hAnsi="仿宋" w:eastAsia="仿宋" w:cs="仿宋"/>
              </w:rPr>
              <w:t>营运管理岗位</w:t>
            </w:r>
          </w:p>
        </w:tc>
        <w:tc>
          <w:tcPr>
            <w:tcW w:w="12309" w:type="dxa"/>
            <w:tcBorders>
              <w:left w:val="single" w:color="000000" w:sz="6" w:space="0"/>
              <w:right w:val="nil"/>
            </w:tcBorders>
            <w:vAlign w:val="center"/>
          </w:tcPr>
          <w:p>
            <w:pPr>
              <w:rPr>
                <w:rFonts w:ascii="仿宋" w:hAnsi="仿宋" w:eastAsia="仿宋" w:cs="仿宋"/>
              </w:rPr>
            </w:pPr>
            <w:r>
              <w:rPr>
                <w:rFonts w:hint="eastAsia" w:ascii="仿宋" w:hAnsi="仿宋" w:eastAsia="仿宋" w:cs="仿宋"/>
              </w:rPr>
              <w:t>(1)成本核算与管理：标准成本法、变动成本法、作业成本法、成本性态分析、成本差异计算与分析</w:t>
            </w:r>
          </w:p>
          <w:p>
            <w:pPr>
              <w:rPr>
                <w:rFonts w:ascii="仿宋" w:hAnsi="仿宋" w:eastAsia="仿宋" w:cs="仿宋"/>
              </w:rPr>
            </w:pPr>
            <w:r>
              <w:rPr>
                <w:rFonts w:hint="eastAsia" w:ascii="仿宋" w:hAnsi="仿宋" w:eastAsia="仿宋" w:cs="仿宋"/>
              </w:rPr>
              <w:t>(2)营运管理：本量利分析、利润敏感性分析、边际贡献分析、盈亏平衡分析、安全边际分析</w:t>
            </w:r>
          </w:p>
          <w:p>
            <w:pPr>
              <w:rPr>
                <w:rFonts w:ascii="仿宋" w:hAnsi="仿宋" w:eastAsia="仿宋" w:cs="仿宋"/>
              </w:rPr>
            </w:pPr>
            <w:r>
              <w:rPr>
                <w:rFonts w:hint="eastAsia" w:ascii="仿宋" w:hAnsi="仿宋" w:eastAsia="仿宋" w:cs="仿宋"/>
              </w:rPr>
              <w:t>(3)经济订货批量计算</w:t>
            </w:r>
          </w:p>
          <w:p>
            <w:pPr>
              <w:rPr>
                <w:rFonts w:ascii="仿宋" w:hAnsi="仿宋" w:eastAsia="仿宋" w:cs="仿宋"/>
              </w:rPr>
            </w:pPr>
            <w:r>
              <w:rPr>
                <w:rFonts w:hint="eastAsia" w:ascii="仿宋" w:hAnsi="仿宋" w:eastAsia="仿宋" w:cs="仿宋"/>
              </w:rPr>
              <w:t>(4)短期经营决策：生产品种决策、生产数量决策、生产组织决策、特殊订货决策、定价决策</w:t>
            </w:r>
          </w:p>
          <w:p>
            <w:pPr>
              <w:rPr>
                <w:rFonts w:ascii="仿宋" w:hAnsi="仿宋" w:eastAsia="仿宋" w:cs="仿宋"/>
              </w:rPr>
            </w:pPr>
            <w:r>
              <w:rPr>
                <w:rFonts w:hint="eastAsia" w:ascii="仿宋" w:hAnsi="仿宋" w:eastAsia="仿宋" w:cs="仿宋"/>
              </w:rPr>
              <w:t>(5)大数据风控：费用风险管控、采购风险管控、存货风险管控、应收账款风险管控等</w:t>
            </w:r>
          </w:p>
          <w:p>
            <w:pPr>
              <w:rPr>
                <w:rFonts w:ascii="仿宋" w:hAnsi="仿宋" w:eastAsia="仿宋" w:cs="仿宋"/>
              </w:rPr>
            </w:pPr>
            <w:r>
              <w:rPr>
                <w:rFonts w:hint="eastAsia" w:ascii="仿宋" w:hAnsi="仿宋" w:eastAsia="仿宋" w:cs="仿宋"/>
              </w:rPr>
              <w:t>(6)营运数据分析：利用大数据工具对成本、销售费用、财务费用等数据进行分析；设计不同产品的成本占比及变化、销售费用各个子项目占比及变化、财务费用各子项占比及变化等看板，并进行分析。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429" w:hRule="atLeast"/>
          <w:jc w:val="center"/>
        </w:trPr>
        <w:tc>
          <w:tcPr>
            <w:tcW w:w="1975" w:type="dxa"/>
            <w:tcBorders>
              <w:left w:val="nil"/>
              <w:right w:val="single" w:color="000000" w:sz="6" w:space="0"/>
            </w:tcBorders>
            <w:vAlign w:val="center"/>
          </w:tcPr>
          <w:p>
            <w:pPr>
              <w:jc w:val="center"/>
              <w:rPr>
                <w:rFonts w:ascii="仿宋" w:hAnsi="仿宋" w:eastAsia="仿宋" w:cs="仿宋"/>
              </w:rPr>
            </w:pPr>
            <w:r>
              <w:rPr>
                <w:rFonts w:hint="eastAsia" w:ascii="仿宋" w:hAnsi="仿宋" w:eastAsia="仿宋" w:cs="仿宋"/>
              </w:rPr>
              <w:t>绩效管理岗位</w:t>
            </w:r>
          </w:p>
        </w:tc>
        <w:tc>
          <w:tcPr>
            <w:tcW w:w="12309" w:type="dxa"/>
            <w:tcBorders>
              <w:left w:val="single" w:color="000000" w:sz="6" w:space="0"/>
              <w:right w:val="nil"/>
            </w:tcBorders>
            <w:vAlign w:val="center"/>
          </w:tcPr>
          <w:p>
            <w:pPr>
              <w:rPr>
                <w:rFonts w:ascii="仿宋" w:hAnsi="仿宋" w:eastAsia="仿宋" w:cs="仿宋"/>
              </w:rPr>
            </w:pPr>
            <w:r>
              <w:rPr>
                <w:rFonts w:hint="eastAsia" w:ascii="仿宋" w:hAnsi="仿宋" w:eastAsia="仿宋" w:cs="仿宋"/>
              </w:rPr>
              <w:t>(1)绩效考评：平衡计分卡、关键绩效指标(KPI)、责任中心考核评价等</w:t>
            </w:r>
          </w:p>
          <w:p>
            <w:pPr>
              <w:rPr>
                <w:rFonts w:ascii="仿宋" w:hAnsi="仿宋" w:eastAsia="仿宋" w:cs="仿宋"/>
              </w:rPr>
            </w:pPr>
            <w:r>
              <w:rPr>
                <w:rFonts w:hint="eastAsia" w:ascii="仿宋" w:hAnsi="仿宋" w:eastAsia="仿宋" w:cs="仿宋"/>
              </w:rPr>
              <w:t>(2)业绩分析：企业盈利能力分析、成本控制与管理能力、资金利用效率能力、关键业绩指标分析、资产负债结构合理性分析、人均劳动效率分析等</w:t>
            </w:r>
          </w:p>
          <w:p>
            <w:pPr>
              <w:rPr>
                <w:rFonts w:ascii="仿宋" w:hAnsi="仿宋" w:eastAsia="仿宋" w:cs="仿宋"/>
              </w:rPr>
            </w:pPr>
            <w:r>
              <w:rPr>
                <w:rFonts w:hint="eastAsia" w:ascii="仿宋" w:hAnsi="仿宋" w:eastAsia="仿宋" w:cs="仿宋"/>
              </w:rPr>
              <w:t>(3)管理会计信息报告</w:t>
            </w:r>
          </w:p>
        </w:tc>
      </w:tr>
    </w:tbl>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sectPr>
          <w:pgSz w:w="16838" w:h="11906" w:orient="landscape"/>
          <w:pgMar w:top="1757" w:right="1440" w:bottom="1757" w:left="1440" w:header="851" w:footer="992" w:gutter="0"/>
          <w:cols w:space="0" w:num="1"/>
          <w:docGrid w:type="lines" w:linePitch="322" w:charSpace="0"/>
        </w:sectPr>
      </w:pP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(五)竞赛时长</w:t>
      </w:r>
    </w:p>
    <w:p>
      <w:pPr>
        <w:kinsoku w:val="0"/>
        <w:autoSpaceDE w:val="0"/>
        <w:autoSpaceDN w:val="0"/>
        <w:adjustRightInd w:val="0"/>
        <w:snapToGrid w:val="0"/>
        <w:spacing w:line="360" w:lineRule="auto"/>
        <w:ind w:firstLine="480" w:firstLineChars="200"/>
        <w:textAlignment w:val="baseline"/>
        <w:rPr>
          <w:rFonts w:ascii="宋体" w:hAnsi="宋体" w:cs="宋体"/>
          <w:b/>
          <w:bCs/>
          <w:sz w:val="24"/>
          <w:szCs w:val="24"/>
        </w:rPr>
      </w:pPr>
      <w:r>
        <w:rPr>
          <w:rFonts w:hint="eastAsia" w:ascii="宋体" w:hAnsi="宋体" w:cs="宋体"/>
          <w:sz w:val="24"/>
          <w:szCs w:val="24"/>
        </w:rPr>
        <w:t>竞赛总时长510分钟，一天半时间，其中会计素养与智能工具应用环节竞赛时间为120分钟，财务会计与大数据财务分析环节竞赛时间为210分钟，大数据管理会计环节竞赛时间为180分钟。</w:t>
      </w:r>
    </w:p>
    <w:p>
      <w:pPr>
        <w:spacing w:line="360" w:lineRule="auto"/>
        <w:rPr>
          <w:rFonts w:ascii="宋体" w:hAnsi="宋体" w:cs="宋体"/>
          <w:b/>
          <w:bCs/>
          <w:sz w:val="24"/>
          <w:szCs w:val="24"/>
        </w:rPr>
      </w:pPr>
      <w:r>
        <w:rPr>
          <w:rFonts w:hint="eastAsia" w:ascii="宋体" w:hAnsi="宋体" w:cs="宋体"/>
          <w:b/>
          <w:bCs/>
          <w:sz w:val="24"/>
          <w:szCs w:val="24"/>
        </w:rPr>
        <w:t>四、竞赛规则</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（一）参赛资格</w:t>
      </w:r>
    </w:p>
    <w:p>
      <w:pPr>
        <w:spacing w:line="360" w:lineRule="auto"/>
        <w:ind w:firstLine="480" w:firstLineChars="200"/>
        <w:rPr>
          <w:rFonts w:ascii="宋体" w:hAnsi="宋体" w:cs="宋体"/>
          <w:sz w:val="24"/>
          <w:szCs w:val="24"/>
        </w:rPr>
      </w:pPr>
      <w:r>
        <w:rPr>
          <w:rFonts w:hint="eastAsia" w:ascii="宋体" w:hAnsi="宋体" w:cs="宋体"/>
          <w:sz w:val="24"/>
          <w:szCs w:val="24"/>
        </w:rPr>
        <w:t>参赛选手须为高等职业学校专科、高等职业学校本科全日制在籍学生；五年制高职四、五年级学生可报名参加高职组比赛。</w:t>
      </w:r>
    </w:p>
    <w:p>
      <w:pPr>
        <w:spacing w:line="440" w:lineRule="exact"/>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（二）组队要求</w:t>
      </w:r>
    </w:p>
    <w:p>
      <w:pPr>
        <w:spacing w:line="360" w:lineRule="auto"/>
        <w:ind w:firstLine="480" w:firstLineChars="200"/>
        <w:rPr>
          <w:rFonts w:ascii="宋体" w:hAnsi="宋体" w:cs="宋体"/>
          <w:sz w:val="24"/>
          <w:szCs w:val="24"/>
        </w:rPr>
      </w:pPr>
      <w:r>
        <w:rPr>
          <w:rFonts w:hint="eastAsia" w:ascii="宋体" w:hAnsi="宋体" w:cs="宋体"/>
          <w:sz w:val="24"/>
        </w:rPr>
        <w:t>比赛以院校为单位经校内选拔后组队参赛，每队由4名学生组成，每所院校限报1-2队参赛，每队设领队1名、1-2名指导教师，指导教师可兼领队。参赛学生报到时需要提供学生证、身份证复印件各1份。经报名并通过资格审查（学生证和身份证）后确定。不符合参赛资格的选手，一经发现取消参赛资格且追回有关荣誉证书。</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（三）赛前准备</w:t>
      </w:r>
    </w:p>
    <w:p>
      <w:pPr>
        <w:spacing w:line="360" w:lineRule="auto"/>
        <w:ind w:firstLine="480" w:firstLineChars="200"/>
        <w:rPr>
          <w:rFonts w:ascii="宋体" w:hAnsi="宋体" w:cs="宋体"/>
          <w:sz w:val="24"/>
          <w:szCs w:val="24"/>
        </w:rPr>
      </w:pPr>
      <w:r>
        <w:rPr>
          <w:rFonts w:hint="eastAsia" w:ascii="宋体" w:hAnsi="宋体" w:cs="宋体"/>
          <w:sz w:val="24"/>
          <w:szCs w:val="24"/>
        </w:rPr>
        <w:t>凡参赛选手、裁判员、工作人员、赛项组织者等均需按照赛项执委会要求准时到达赛项举办地点，及时办理相关手续，领取相关证件，熟悉场地，做好赛前准备工作。</w:t>
      </w:r>
    </w:p>
    <w:p>
      <w:pPr>
        <w:spacing w:line="360" w:lineRule="auto"/>
        <w:ind w:firstLine="480" w:firstLineChars="200"/>
        <w:rPr>
          <w:rFonts w:ascii="宋体" w:hAnsi="宋体" w:cs="宋体"/>
          <w:sz w:val="24"/>
          <w:szCs w:val="24"/>
        </w:rPr>
      </w:pPr>
      <w:r>
        <w:rPr>
          <w:rFonts w:hint="eastAsia" w:ascii="宋体" w:hAnsi="宋体" w:cs="宋体"/>
          <w:sz w:val="24"/>
          <w:szCs w:val="24"/>
        </w:rPr>
        <w:t>比赛用计算机只允许安装规定的相关软件，现场为各代表队统一提供用品用具及相关资料。</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（四）正式比赛</w:t>
      </w:r>
    </w:p>
    <w:p>
      <w:pPr>
        <w:spacing w:line="360" w:lineRule="auto"/>
        <w:ind w:firstLine="480" w:firstLineChars="200"/>
        <w:rPr>
          <w:rFonts w:ascii="宋体" w:hAnsi="宋体" w:cs="宋体"/>
          <w:sz w:val="24"/>
          <w:szCs w:val="24"/>
        </w:rPr>
      </w:pPr>
      <w:r>
        <w:rPr>
          <w:rFonts w:hint="eastAsia" w:ascii="宋体" w:hAnsi="宋体" w:cs="宋体"/>
          <w:sz w:val="24"/>
          <w:szCs w:val="24"/>
        </w:rPr>
        <w:t>比赛现场所有参赛选手、指导教师、裁判员和其他工作人员须统一一佩戴相关证件，按照赛项相关规定出入指定区域，不同证件有不同的区域限制，以保持赛场秩序良好。</w:t>
      </w:r>
    </w:p>
    <w:p>
      <w:pPr>
        <w:spacing w:line="360" w:lineRule="auto"/>
        <w:ind w:firstLine="480" w:firstLineChars="200"/>
        <w:rPr>
          <w:rFonts w:ascii="宋体" w:hAnsi="宋体" w:cs="宋体"/>
          <w:sz w:val="24"/>
          <w:szCs w:val="24"/>
        </w:rPr>
      </w:pPr>
      <w:r>
        <w:rPr>
          <w:rFonts w:hint="eastAsia" w:ascii="宋体" w:hAnsi="宋体" w:cs="宋体"/>
          <w:sz w:val="24"/>
          <w:szCs w:val="24"/>
        </w:rPr>
        <w:t>各代表队须遵守赛场赛项有关规定，遵从裁判长、裁判员的现场调度和指挥，按照赛场指令完成任务。</w:t>
      </w:r>
    </w:p>
    <w:p>
      <w:pPr>
        <w:spacing w:line="360" w:lineRule="auto"/>
        <w:ind w:firstLine="480" w:firstLineChars="200"/>
        <w:rPr>
          <w:rFonts w:ascii="宋体" w:hAnsi="宋体" w:cs="宋体"/>
          <w:sz w:val="24"/>
          <w:szCs w:val="24"/>
        </w:rPr>
      </w:pPr>
      <w:r>
        <w:rPr>
          <w:rFonts w:hint="eastAsia" w:ascii="宋体" w:hAnsi="宋体" w:cs="宋体"/>
          <w:sz w:val="24"/>
          <w:szCs w:val="24"/>
        </w:rPr>
        <w:t>选手进入赛场，不得携带任何用品用具、工具书、参考书等相关资料。</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（五）比赛过程</w:t>
      </w:r>
    </w:p>
    <w:p>
      <w:pPr>
        <w:spacing w:line="360" w:lineRule="auto"/>
        <w:ind w:firstLine="480" w:firstLineChars="200"/>
        <w:rPr>
          <w:rFonts w:ascii="宋体" w:hAnsi="宋体" w:cs="宋体"/>
          <w:sz w:val="24"/>
          <w:szCs w:val="24"/>
        </w:rPr>
      </w:pPr>
      <w:r>
        <w:rPr>
          <w:rFonts w:hint="eastAsia" w:ascii="宋体" w:hAnsi="宋体" w:cs="宋体"/>
          <w:sz w:val="24"/>
          <w:szCs w:val="24"/>
        </w:rPr>
        <w:t>在竞赛过程中，参赛选手不得随意离开赛场，团队竞赛环节，同一参赛队选手可进行讨论，但不得相互代替其他队员操作。标明必须由相应岗位人员完成的任务，不允许出现越权使用软件、以他人口令执行系统操作等情况，其余没有标明的任务可由全体队员协作完成。参赛选手不得大声喧哗、使用任何移动存储设备、开启无线网络、非法访问他人计算机。赛场技术服务区将实时监控上述行为。如遇硬件软件故障或其他情况，须按照情况类别举手示意，由项目裁判长按有关规定处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（六）比赛结束</w:t>
      </w:r>
    </w:p>
    <w:p>
      <w:pPr>
        <w:spacing w:line="360" w:lineRule="auto"/>
        <w:ind w:firstLine="480" w:firstLineChars="200"/>
        <w:rPr>
          <w:rFonts w:ascii="宋体" w:hAnsi="宋体" w:cs="宋体"/>
          <w:sz w:val="24"/>
          <w:szCs w:val="24"/>
        </w:rPr>
      </w:pPr>
      <w:r>
        <w:rPr>
          <w:rFonts w:hint="eastAsia" w:ascii="宋体" w:hAnsi="宋体" w:cs="宋体"/>
          <w:sz w:val="24"/>
          <w:szCs w:val="24"/>
        </w:rPr>
        <w:t>竞赛结束后，不得将竞赛涉及的用品用具及资料带出赛场。</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（七）成绩评定与结果公布</w:t>
      </w:r>
    </w:p>
    <w:p>
      <w:pPr>
        <w:spacing w:line="360" w:lineRule="auto"/>
        <w:ind w:firstLine="480" w:firstLineChars="200"/>
        <w:rPr>
          <w:rFonts w:ascii="宋体" w:hAnsi="宋体" w:cs="宋体"/>
          <w:sz w:val="24"/>
          <w:szCs w:val="24"/>
        </w:rPr>
      </w:pPr>
      <w:r>
        <w:rPr>
          <w:rFonts w:hint="eastAsia" w:ascii="宋体" w:hAnsi="宋体" w:cs="宋体"/>
          <w:sz w:val="24"/>
          <w:szCs w:val="24"/>
        </w:rPr>
        <w:t>竞赛成绩通过计算机自动评分。竞赛过程中相关技术人员不得随意操作系统，从计算机系统输出成绩的全过程需要接受两名监督仲裁员的监督，并进行现场录像。系统输出的竞赛成绩U盘，需在监督仲裁员的监督下由两个裁判员一起移交给加密裁判合并计算竞赛成绩，并经裁判长及有关人员字确认后在赛场外张贴成绩单公布最终比赛成绩。</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（八）其他</w:t>
      </w:r>
    </w:p>
    <w:p>
      <w:pPr>
        <w:spacing w:line="360" w:lineRule="auto"/>
        <w:ind w:firstLine="480" w:firstLineChars="200"/>
        <w:rPr>
          <w:rFonts w:ascii="宋体" w:hAnsi="宋体" w:cs="宋体"/>
          <w:sz w:val="24"/>
          <w:szCs w:val="24"/>
        </w:rPr>
      </w:pPr>
      <w:r>
        <w:rPr>
          <w:rFonts w:hint="eastAsia" w:ascii="宋体" w:hAnsi="宋体" w:cs="宋体"/>
          <w:sz w:val="24"/>
          <w:szCs w:val="24"/>
        </w:rPr>
        <w:t>参赛选手须按时检录。检录时不到者，视为自动放弃本场参赛权。对于违反上述规定的，总裁判长有权终止其所在团队或个人的比赛，劝令其离开赛场。</w:t>
      </w:r>
    </w:p>
    <w:p>
      <w:pPr>
        <w:spacing w:line="360" w:lineRule="auto"/>
        <w:rPr>
          <w:rFonts w:ascii="宋体" w:hAnsi="宋体" w:cs="宋体"/>
          <w:b/>
          <w:bCs/>
          <w:sz w:val="24"/>
          <w:szCs w:val="24"/>
        </w:rPr>
      </w:pPr>
      <w:r>
        <w:rPr>
          <w:rFonts w:hint="eastAsia" w:ascii="宋体" w:hAnsi="宋体" w:cs="宋体"/>
          <w:b/>
          <w:bCs/>
          <w:sz w:val="24"/>
          <w:szCs w:val="24"/>
        </w:rPr>
        <w:t>五、奖项设置</w:t>
      </w:r>
    </w:p>
    <w:p>
      <w:pPr>
        <w:spacing w:line="360" w:lineRule="auto"/>
        <w:ind w:firstLine="480" w:firstLineChars="200"/>
        <w:rPr>
          <w:rFonts w:cs="宋体" w:asciiTheme="minorEastAsia" w:hAnsiTheme="minorEastAsia" w:eastAsiaTheme="minorEastAsia"/>
          <w:sz w:val="24"/>
          <w:szCs w:val="24"/>
        </w:rPr>
      </w:pPr>
      <w:r>
        <w:rPr>
          <w:rFonts w:hint="eastAsia" w:ascii="宋体" w:hAnsi="宋体" w:cs="宋体"/>
          <w:sz w:val="24"/>
          <w:szCs w:val="24"/>
        </w:rPr>
        <w:t>（一）</w:t>
      </w:r>
      <w:r>
        <w:rPr>
          <w:rFonts w:hint="eastAsia" w:cs="宋体" w:asciiTheme="minorEastAsia" w:hAnsiTheme="minorEastAsia" w:eastAsiaTheme="minorEastAsia"/>
          <w:sz w:val="24"/>
          <w:szCs w:val="24"/>
        </w:rPr>
        <w:t>团体奖。以实际参赛队总数为基数，分设一、二、三等奖，获奖比例分别为10%、20%、30%（小数点后四舍五入取整数）；获得团体奖的参赛队队员获相应等级的奖项。</w:t>
      </w:r>
    </w:p>
    <w:p>
      <w:pPr>
        <w:spacing w:line="360" w:lineRule="auto"/>
        <w:ind w:firstLine="480" w:firstLineChars="200"/>
        <w:rPr>
          <w:rFonts w:ascii="宋体" w:hAnsi="宋体" w:cs="宋体"/>
          <w:b/>
          <w:bCs/>
          <w:sz w:val="24"/>
          <w:szCs w:val="24"/>
        </w:rPr>
      </w:pPr>
      <w:r>
        <w:rPr>
          <w:rFonts w:hint="eastAsia" w:ascii="宋体" w:hAnsi="宋体" w:cs="宋体"/>
          <w:sz w:val="24"/>
          <w:szCs w:val="24"/>
        </w:rPr>
        <w:t>（二）获得一等奖的参赛队指导教师由组委会颁发优秀指导教师证书。</w:t>
      </w:r>
    </w:p>
    <w:p>
      <w:pPr>
        <w:spacing w:line="360" w:lineRule="auto"/>
        <w:rPr>
          <w:rFonts w:ascii="宋体" w:hAnsi="宋体" w:cs="宋体"/>
          <w:sz w:val="24"/>
          <w:szCs w:val="24"/>
        </w:rPr>
      </w:pPr>
      <w:r>
        <w:rPr>
          <w:rFonts w:hint="eastAsia" w:ascii="宋体" w:hAnsi="宋体" w:cs="宋体"/>
          <w:b/>
          <w:bCs/>
          <w:sz w:val="24"/>
          <w:szCs w:val="24"/>
        </w:rPr>
        <w:t>六、竞赛环境</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(一)竞赛使用设备、用具及平台</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1.会计素养与智能工具应用环节</w:t>
      </w:r>
    </w:p>
    <w:p>
      <w:pPr>
        <w:spacing w:line="360" w:lineRule="auto"/>
        <w:ind w:firstLine="480" w:firstLineChars="200"/>
        <w:rPr>
          <w:rFonts w:ascii="宋体" w:hAnsi="宋体" w:cs="宋体"/>
          <w:sz w:val="24"/>
          <w:szCs w:val="24"/>
        </w:rPr>
      </w:pPr>
      <w:r>
        <w:rPr>
          <w:rFonts w:hint="eastAsia" w:ascii="宋体" w:hAnsi="宋体" w:cs="宋体"/>
          <w:sz w:val="24"/>
          <w:szCs w:val="24"/>
        </w:rPr>
        <w:t>会计素养与智能工具应用环节采用B/S网络结构在局域网环境下进行。</w:t>
      </w:r>
    </w:p>
    <w:p>
      <w:pPr>
        <w:spacing w:line="360" w:lineRule="auto"/>
        <w:ind w:firstLine="480" w:firstLineChars="200"/>
        <w:rPr>
          <w:rFonts w:ascii="宋体" w:hAnsi="宋体" w:cs="宋体"/>
          <w:sz w:val="24"/>
          <w:szCs w:val="24"/>
        </w:rPr>
      </w:pPr>
      <w:r>
        <w:rPr>
          <w:rFonts w:hint="eastAsia" w:ascii="宋体" w:hAnsi="宋体" w:cs="宋体"/>
          <w:sz w:val="24"/>
          <w:szCs w:val="24"/>
        </w:rPr>
        <w:t>会计素养与智能工具应用环节要求竞赛平台操作页面采用内置方式集成Excel功能、Python开发环境、Web可视化数据库管理工具、商业智能BI分析工具，支持该环节考核内容要求的大数据财务分析模型不低于130个。</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2.财务会计与大数据财务分析环节</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财务会计与大数据财务分析环节在局域网环境下进行。赛场每台位配置计算机4台。</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财务会计与大数据财务分析环节采用系统为B/S网络结构。</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3.大数据管理会计环节</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大数据管理会计环节和财务会计与大数据财务分析环节同场地、在局域网环境下进行。</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大数据管理会计环节采用系统为B/S网络结构。</w:t>
      </w:r>
    </w:p>
    <w:p>
      <w:pPr>
        <w:kinsoku w:val="0"/>
        <w:autoSpaceDE w:val="0"/>
        <w:autoSpaceDN w:val="0"/>
        <w:adjustRightInd w:val="0"/>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4.服务器、应用服务等要求</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数据服务和应用服务部署在一台物理服务器上，同时使用两套，再分别进行双机热备。</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服务器：①数量9台；②硬件要求：CPU：4颗QuadCore(四核)2.0G以上；③内存：64GB以上；④硬盘：4块硬盘以上，每块容量300G以上，搭建成RAID10，支持热备份盘和后台RAID重建；⑤网卡：千兆网卡，2个网口主机通道；⑥操作系统：windowsServer2012/windowsServer2008R264位；⑦数据库：MySQL5.6.41以上，版本为64位；⑧其他：office2007及以上(激活版)。</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客户端：①硬件要求：CPU：酷睿i5四核2.66G以上，内存不低于8G，硬盘不低于500G(含128g固态硬盘)，千兆网卡；②软件要求：操作系统：Windows10专业版或企业版64位(激活版)；③数据库：SQL2008R264位；④浏览器：ie11，谷歌浏览器版本82或以上；⑤其他：office2007及以上(激活版)。</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网络系统：(1)采用星形网络拓扑结构，安装2台千兆核心交换机(双机模式)和6台接入交换机(48口)，并提供一台核心交换机及4台接入交换机备用；(2)采用地板，网线与电源线隐蔽铺设；(3)采用独立网络环境，不连接INTERNET，禁止外部电脑接入；(4)不允许使用无盘工作站及云桌面部署。</w:t>
      </w:r>
    </w:p>
    <w:p>
      <w:pPr>
        <w:spacing w:line="360" w:lineRule="auto"/>
        <w:ind w:firstLine="480" w:firstLineChars="200"/>
        <w:rPr>
          <w:rFonts w:ascii="宋体" w:hAnsi="宋体" w:cs="宋体"/>
          <w:sz w:val="24"/>
          <w:szCs w:val="24"/>
        </w:rPr>
      </w:pPr>
      <w:r>
        <w:rPr>
          <w:rFonts w:hint="eastAsia" w:ascii="宋体" w:hAnsi="宋体" w:cs="宋体"/>
          <w:sz w:val="24"/>
          <w:szCs w:val="24"/>
        </w:rPr>
        <w:t>技术服务设备：赛场配置服务器及网络设备，为赛项提供网络平台技术支持。</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（二）场地要求</w:t>
      </w:r>
    </w:p>
    <w:p>
      <w:pPr>
        <w:spacing w:line="360" w:lineRule="auto"/>
        <w:ind w:firstLine="480" w:firstLineChars="200"/>
        <w:rPr>
          <w:rFonts w:ascii="宋体" w:hAnsi="宋体" w:cs="宋体"/>
          <w:sz w:val="24"/>
          <w:szCs w:val="24"/>
        </w:rPr>
      </w:pPr>
      <w:r>
        <w:rPr>
          <w:rFonts w:hint="eastAsia" w:ascii="宋体" w:hAnsi="宋体" w:cs="宋体"/>
          <w:sz w:val="24"/>
          <w:szCs w:val="24"/>
        </w:rPr>
        <w:t>1.竞赛场地内应设置满足多个代表队的竞赛环境。</w:t>
      </w:r>
    </w:p>
    <w:p>
      <w:pPr>
        <w:spacing w:line="360" w:lineRule="auto"/>
        <w:ind w:firstLine="480" w:firstLineChars="200"/>
        <w:rPr>
          <w:rFonts w:ascii="宋体" w:hAnsi="宋体" w:cs="宋体"/>
          <w:sz w:val="24"/>
          <w:szCs w:val="24"/>
        </w:rPr>
      </w:pPr>
      <w:r>
        <w:rPr>
          <w:rFonts w:hint="eastAsia" w:ascii="宋体" w:hAnsi="宋体" w:cs="宋体"/>
          <w:sz w:val="24"/>
          <w:szCs w:val="24"/>
        </w:rPr>
        <w:t>2.一个参赛队4个机位并配置4台电脑。</w:t>
      </w:r>
    </w:p>
    <w:p>
      <w:pPr>
        <w:spacing w:line="360" w:lineRule="auto"/>
        <w:ind w:firstLine="480" w:firstLineChars="200"/>
        <w:rPr>
          <w:rFonts w:ascii="宋体" w:hAnsi="宋体" w:cs="宋体"/>
          <w:sz w:val="24"/>
          <w:szCs w:val="24"/>
        </w:rPr>
      </w:pPr>
      <w:r>
        <w:rPr>
          <w:rFonts w:hint="eastAsia" w:ascii="宋体" w:hAnsi="宋体" w:cs="宋体"/>
          <w:sz w:val="24"/>
          <w:szCs w:val="24"/>
        </w:rPr>
        <w:t>3.竞赛场地内设置背景板、宣传横幅等，营造竞赛氛围。</w:t>
      </w:r>
    </w:p>
    <w:p>
      <w:pPr>
        <w:spacing w:line="360" w:lineRule="auto"/>
        <w:ind w:firstLine="480" w:firstLineChars="200"/>
        <w:rPr>
          <w:rFonts w:ascii="宋体" w:hAnsi="宋体" w:cs="宋体"/>
          <w:sz w:val="24"/>
          <w:szCs w:val="24"/>
        </w:rPr>
      </w:pPr>
      <w:r>
        <w:rPr>
          <w:rFonts w:hint="eastAsia" w:ascii="宋体" w:hAnsi="宋体" w:cs="宋体"/>
          <w:sz w:val="24"/>
          <w:szCs w:val="24"/>
        </w:rPr>
        <w:t>4.开辟专门场所设立会计专业教学成果展示区、体验观摩区。竞赛区域及观摩区采取必要的物理性隔离，确保互不干扰。</w:t>
      </w:r>
    </w:p>
    <w:p>
      <w:pPr>
        <w:spacing w:line="360" w:lineRule="auto"/>
        <w:ind w:firstLine="480" w:firstLineChars="200"/>
        <w:rPr>
          <w:rFonts w:ascii="宋体" w:hAnsi="宋体" w:cs="宋体"/>
          <w:sz w:val="24"/>
          <w:szCs w:val="24"/>
        </w:rPr>
      </w:pPr>
      <w:r>
        <w:rPr>
          <w:rFonts w:hint="eastAsia" w:ascii="宋体" w:hAnsi="宋体" w:cs="宋体"/>
          <w:sz w:val="24"/>
          <w:szCs w:val="24"/>
        </w:rPr>
        <w:t>5.局域网络。采用星形网络拓扑结构，安装千兆交换机。网线与电源线隐蔽铺设。采用独立网络环境，不连接INTERNET，禁止外部电脑接入。</w:t>
      </w:r>
    </w:p>
    <w:p>
      <w:pPr>
        <w:spacing w:line="360" w:lineRule="auto"/>
        <w:ind w:firstLine="480" w:firstLineChars="200"/>
        <w:rPr>
          <w:rFonts w:ascii="宋体" w:hAnsi="宋体" w:cs="宋体"/>
          <w:sz w:val="24"/>
          <w:szCs w:val="24"/>
        </w:rPr>
      </w:pPr>
      <w:r>
        <w:rPr>
          <w:rFonts w:hint="eastAsia" w:ascii="宋体" w:hAnsi="宋体" w:cs="宋体"/>
          <w:sz w:val="24"/>
          <w:szCs w:val="24"/>
        </w:rPr>
        <w:t>6.采用双路供电安全保障。采用统一的杀毒软件对服务器进行防毒保护。屏蔽竞赛现场使用的电脑USB接口。</w:t>
      </w:r>
    </w:p>
    <w:p>
      <w:pPr>
        <w:spacing w:line="360" w:lineRule="auto"/>
        <w:ind w:firstLine="480" w:firstLineChars="200"/>
        <w:rPr>
          <w:rFonts w:ascii="宋体" w:hAnsi="宋体" w:cs="宋体"/>
          <w:sz w:val="24"/>
          <w:szCs w:val="24"/>
        </w:rPr>
      </w:pPr>
      <w:r>
        <w:rPr>
          <w:rFonts w:hint="eastAsia" w:ascii="宋体" w:hAnsi="宋体" w:cs="宋体"/>
          <w:sz w:val="24"/>
          <w:szCs w:val="24"/>
        </w:rPr>
        <w:t>7.利用UPS防止现场因突然断电导致的系统数据丢失，额定功率：3KVA，后备时间：3.5小时，电池类型：输出电压：230V±5%V。</w:t>
      </w:r>
    </w:p>
    <w:p>
      <w:pPr>
        <w:spacing w:line="360" w:lineRule="auto"/>
        <w:ind w:firstLine="480" w:firstLineChars="200"/>
        <w:rPr>
          <w:rFonts w:ascii="宋体" w:hAnsi="宋体" w:cs="宋体"/>
          <w:sz w:val="24"/>
          <w:szCs w:val="24"/>
        </w:rPr>
      </w:pPr>
      <w:r>
        <w:rPr>
          <w:rFonts w:hint="eastAsia" w:ascii="宋体" w:hAnsi="宋体" w:cs="宋体"/>
          <w:sz w:val="24"/>
          <w:szCs w:val="24"/>
        </w:rPr>
        <w:t>8.设置安全通道和警戒线，确保进入赛场的大赛参观、采访、视察的人员限定在安全区域内活动，以保证大赛安全有序进行。</w:t>
      </w:r>
    </w:p>
    <w:p>
      <w:pPr>
        <w:spacing w:line="360" w:lineRule="auto"/>
        <w:rPr>
          <w:rFonts w:ascii="宋体" w:hAnsi="宋体" w:cs="宋体"/>
          <w:b/>
          <w:bCs/>
          <w:sz w:val="24"/>
          <w:szCs w:val="24"/>
        </w:rPr>
      </w:pPr>
      <w:r>
        <w:rPr>
          <w:rFonts w:hint="eastAsia" w:ascii="宋体" w:hAnsi="宋体" w:cs="宋体"/>
          <w:b/>
          <w:bCs/>
          <w:sz w:val="24"/>
          <w:szCs w:val="24"/>
        </w:rPr>
        <w:t>七、技术规范</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（一）教育部发布的高等职业教育修订后的大数据与会计专业教学标准。</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（二）2022年12月31日已经开始在一般企业实施的《企业会计准则》。</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（三）《企业内部控制规范》、《企业内部控制基本规范》。</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（四）2022年12月31日已经开始实施的《管理会计基本指引》、《管理会计应用指引》。</w:t>
      </w:r>
    </w:p>
    <w:p>
      <w:pPr>
        <w:kinsoku w:val="0"/>
        <w:autoSpaceDE w:val="0"/>
        <w:autoSpaceDN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（五）2022年12月31日已经开始实施的会计、金融、税务等财经类法规、制度等。</w:t>
      </w:r>
    </w:p>
    <w:p>
      <w:pPr>
        <w:kinsoku w:val="0"/>
        <w:autoSpaceDE w:val="0"/>
        <w:autoSpaceDN w:val="0"/>
        <w:adjustRightInd w:val="0"/>
        <w:snapToGrid w:val="0"/>
        <w:spacing w:line="360" w:lineRule="auto"/>
        <w:ind w:firstLine="480" w:firstLineChars="200"/>
        <w:textAlignment w:val="baseline"/>
        <w:rPr>
          <w:rFonts w:ascii="宋体" w:hAnsi="宋体" w:cs="宋体"/>
          <w:b/>
          <w:bCs/>
          <w:sz w:val="24"/>
          <w:szCs w:val="24"/>
        </w:rPr>
      </w:pPr>
      <w:r>
        <w:rPr>
          <w:rFonts w:hint="eastAsia" w:ascii="宋体" w:hAnsi="宋体" w:cs="宋体"/>
          <w:sz w:val="24"/>
          <w:szCs w:val="24"/>
        </w:rPr>
        <w:t>（六）特殊情况以大赛规程和赛前说明会确定为准。</w:t>
      </w:r>
    </w:p>
    <w:p>
      <w:pPr>
        <w:spacing w:line="360" w:lineRule="auto"/>
        <w:rPr>
          <w:rFonts w:ascii="宋体" w:hAnsi="宋体" w:cs="宋体"/>
          <w:b/>
          <w:bCs/>
          <w:sz w:val="24"/>
          <w:szCs w:val="24"/>
        </w:rPr>
      </w:pPr>
      <w:r>
        <w:rPr>
          <w:rFonts w:hint="eastAsia" w:ascii="宋体" w:hAnsi="宋体" w:cs="宋体"/>
          <w:b/>
          <w:bCs/>
          <w:sz w:val="24"/>
          <w:szCs w:val="24"/>
        </w:rPr>
        <w:t>八、成绩评定</w:t>
      </w:r>
    </w:p>
    <w:p>
      <w:pPr>
        <w:spacing w:line="360" w:lineRule="auto"/>
        <w:ind w:firstLine="480" w:firstLineChars="200"/>
        <w:rPr>
          <w:rFonts w:ascii="宋体" w:hAnsi="宋体" w:cs="宋体"/>
          <w:sz w:val="24"/>
          <w:szCs w:val="24"/>
        </w:rPr>
      </w:pPr>
      <w:r>
        <w:rPr>
          <w:rFonts w:hint="eastAsia" w:ascii="宋体" w:hAnsi="宋体" w:cs="宋体"/>
          <w:sz w:val="24"/>
          <w:szCs w:val="24"/>
        </w:rPr>
        <w:t>本赛项三个模块成绩评定全部由计算机自动评分。具体分值分布如下：</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（一）会计素养与智能工具应用环节评分标准</w:t>
      </w:r>
    </w:p>
    <w:p>
      <w:pPr>
        <w:spacing w:line="360" w:lineRule="auto"/>
        <w:ind w:firstLine="480" w:firstLineChars="200"/>
        <w:rPr>
          <w:rFonts w:ascii="宋体" w:hAnsi="宋体" w:cs="宋体"/>
          <w:sz w:val="24"/>
          <w:szCs w:val="24"/>
        </w:rPr>
        <w:sectPr>
          <w:pgSz w:w="11906" w:h="16838"/>
          <w:pgMar w:top="1440" w:right="1757" w:bottom="1440" w:left="1757" w:header="851" w:footer="992" w:gutter="0"/>
          <w:cols w:space="0" w:num="1"/>
          <w:docGrid w:type="lines" w:linePitch="322" w:charSpace="0"/>
        </w:sectPr>
      </w:pPr>
      <w:r>
        <w:rPr>
          <w:rFonts w:hint="eastAsia" w:ascii="宋体" w:hAnsi="宋体" w:cs="宋体"/>
          <w:sz w:val="24"/>
          <w:szCs w:val="24"/>
        </w:rPr>
        <w:t>会计素养与智能工具应用环节采用个人赛形式，每人50分，团队满分200分。</w:t>
      </w:r>
    </w:p>
    <w:p>
      <w:pPr>
        <w:pStyle w:val="2"/>
        <w:ind w:left="0" w:firstLine="0" w:firstLineChars="0"/>
      </w:pPr>
    </w:p>
    <w:tbl>
      <w:tblPr>
        <w:tblStyle w:val="9"/>
        <w:tblW w:w="142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740"/>
        <w:gridCol w:w="11148"/>
        <w:gridCol w:w="1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50" w:hRule="atLeast"/>
          <w:jc w:val="center"/>
        </w:trPr>
        <w:tc>
          <w:tcPr>
            <w:tcW w:w="1740" w:type="dxa"/>
            <w:shd w:val="clear" w:color="auto" w:fill="9CC2E5"/>
            <w:vAlign w:val="center"/>
          </w:tcPr>
          <w:p>
            <w:pPr>
              <w:jc w:val="center"/>
              <w:rPr>
                <w:rFonts w:ascii="仿宋" w:hAnsi="仿宋" w:eastAsia="仿宋" w:cs="仿宋"/>
                <w:b/>
                <w:bCs/>
              </w:rPr>
            </w:pPr>
            <w:r>
              <w:rPr>
                <w:rFonts w:hint="eastAsia" w:ascii="仿宋" w:hAnsi="仿宋" w:eastAsia="仿宋" w:cs="仿宋"/>
                <w:b/>
                <w:bCs/>
              </w:rPr>
              <w:t>竞赛项目</w:t>
            </w:r>
          </w:p>
        </w:tc>
        <w:tc>
          <w:tcPr>
            <w:tcW w:w="11148" w:type="dxa"/>
            <w:shd w:val="clear" w:color="auto" w:fill="9CC2E5"/>
            <w:vAlign w:val="center"/>
          </w:tcPr>
          <w:p>
            <w:pPr>
              <w:jc w:val="center"/>
              <w:rPr>
                <w:rFonts w:ascii="仿宋" w:hAnsi="仿宋" w:eastAsia="仿宋" w:cs="仿宋"/>
                <w:b/>
                <w:bCs/>
              </w:rPr>
            </w:pPr>
            <w:r>
              <w:rPr>
                <w:rFonts w:hint="eastAsia" w:ascii="仿宋" w:hAnsi="仿宋" w:eastAsia="仿宋" w:cs="仿宋"/>
                <w:b/>
                <w:bCs/>
              </w:rPr>
              <w:t>评分内容</w:t>
            </w:r>
          </w:p>
        </w:tc>
        <w:tc>
          <w:tcPr>
            <w:tcW w:w="1391" w:type="dxa"/>
            <w:shd w:val="clear" w:color="auto" w:fill="9CC2E5"/>
            <w:vAlign w:val="center"/>
          </w:tcPr>
          <w:p>
            <w:pPr>
              <w:jc w:val="center"/>
              <w:rPr>
                <w:rFonts w:ascii="仿宋" w:hAnsi="仿宋" w:eastAsia="仿宋" w:cs="仿宋"/>
                <w:b/>
                <w:bCs/>
              </w:rPr>
            </w:pPr>
            <w:r>
              <w:rPr>
                <w:rFonts w:hint="eastAsia" w:ascii="仿宋" w:hAnsi="仿宋" w:eastAsia="仿宋" w:cs="仿宋"/>
                <w:b/>
                <w:bCs/>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28" w:hRule="atLeast"/>
          <w:jc w:val="center"/>
        </w:trPr>
        <w:tc>
          <w:tcPr>
            <w:tcW w:w="1740" w:type="dxa"/>
            <w:vAlign w:val="center"/>
          </w:tcPr>
          <w:p>
            <w:pPr>
              <w:jc w:val="center"/>
              <w:rPr>
                <w:rFonts w:ascii="仿宋" w:hAnsi="仿宋" w:eastAsia="仿宋" w:cs="仿宋"/>
              </w:rPr>
            </w:pPr>
            <w:r>
              <w:rPr>
                <w:rFonts w:hint="eastAsia" w:ascii="仿宋" w:hAnsi="仿宋" w:eastAsia="仿宋" w:cs="仿宋"/>
              </w:rPr>
              <w:t>会计素养</w:t>
            </w:r>
          </w:p>
        </w:tc>
        <w:tc>
          <w:tcPr>
            <w:tcW w:w="11148" w:type="dxa"/>
            <w:vAlign w:val="center"/>
          </w:tcPr>
          <w:p>
            <w:pPr>
              <w:rPr>
                <w:rFonts w:ascii="仿宋" w:hAnsi="仿宋" w:eastAsia="仿宋" w:cs="仿宋"/>
              </w:rPr>
            </w:pPr>
            <w:r>
              <w:rPr>
                <w:rFonts w:hint="eastAsia" w:ascii="仿宋" w:hAnsi="仿宋" w:eastAsia="仿宋" w:cs="仿宋"/>
              </w:rPr>
              <w:t>会计基础知识、财经法规与会计职业道德、大数据基本概念、大数据基本特征、Python基础知识、RPA基础知识、数据结构、以及SQL、Python基础知识等。</w:t>
            </w:r>
          </w:p>
        </w:tc>
        <w:tc>
          <w:tcPr>
            <w:tcW w:w="1391" w:type="dxa"/>
            <w:vAlign w:val="center"/>
          </w:tcPr>
          <w:p>
            <w:pPr>
              <w:jc w:val="center"/>
              <w:rPr>
                <w:rFonts w:ascii="仿宋" w:hAnsi="仿宋" w:eastAsia="仿宋" w:cs="仿宋"/>
              </w:rPr>
            </w:pPr>
            <w:r>
              <w:rPr>
                <w:rFonts w:hint="eastAsia" w:ascii="仿宋" w:hAnsi="仿宋" w:eastAsia="仿宋" w:cs="仿宋"/>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28" w:hRule="atLeast"/>
          <w:jc w:val="center"/>
        </w:trPr>
        <w:tc>
          <w:tcPr>
            <w:tcW w:w="1740" w:type="dxa"/>
            <w:vAlign w:val="center"/>
          </w:tcPr>
          <w:p>
            <w:pPr>
              <w:jc w:val="center"/>
              <w:rPr>
                <w:rFonts w:ascii="仿宋" w:hAnsi="仿宋" w:eastAsia="仿宋" w:cs="仿宋"/>
              </w:rPr>
            </w:pPr>
            <w:r>
              <w:rPr>
                <w:rFonts w:hint="eastAsia" w:ascii="仿宋" w:hAnsi="仿宋" w:eastAsia="仿宋" w:cs="仿宋"/>
              </w:rPr>
              <w:t>智能BI应用</w:t>
            </w:r>
          </w:p>
        </w:tc>
        <w:tc>
          <w:tcPr>
            <w:tcW w:w="11148" w:type="dxa"/>
            <w:vAlign w:val="center"/>
          </w:tcPr>
          <w:p>
            <w:pPr>
              <w:rPr>
                <w:rFonts w:ascii="仿宋" w:hAnsi="仿宋" w:eastAsia="仿宋" w:cs="仿宋"/>
              </w:rPr>
            </w:pPr>
            <w:r>
              <w:rPr>
                <w:rFonts w:hint="eastAsia" w:ascii="仿宋" w:hAnsi="仿宋" w:eastAsia="仿宋" w:cs="仿宋"/>
              </w:rPr>
              <w:t>利用竞赛平台内置BI工具及大数据财务分析模型(不少于140个图表模型)，根据业务需求，选择适用的分析模型图表，设计方案，完成可视化呈现。</w:t>
            </w:r>
          </w:p>
        </w:tc>
        <w:tc>
          <w:tcPr>
            <w:tcW w:w="1391" w:type="dxa"/>
            <w:vAlign w:val="center"/>
          </w:tcPr>
          <w:p>
            <w:pPr>
              <w:jc w:val="center"/>
              <w:rPr>
                <w:rFonts w:ascii="仿宋" w:hAnsi="仿宋" w:eastAsia="仿宋" w:cs="仿宋"/>
              </w:rPr>
            </w:pPr>
            <w:r>
              <w:rPr>
                <w:rFonts w:hint="eastAsia" w:ascii="仿宋" w:hAnsi="仿宋" w:eastAsia="仿宋" w:cs="仿宋"/>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097" w:hRule="atLeast"/>
          <w:jc w:val="center"/>
        </w:trPr>
        <w:tc>
          <w:tcPr>
            <w:tcW w:w="1740" w:type="dxa"/>
            <w:vAlign w:val="center"/>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财务机器人开发与应用</w:t>
            </w:r>
          </w:p>
        </w:tc>
        <w:tc>
          <w:tcPr>
            <w:tcW w:w="11148" w:type="dxa"/>
            <w:vAlign w:val="center"/>
          </w:tcPr>
          <w:p>
            <w:pPr>
              <w:rPr>
                <w:rFonts w:ascii="仿宋" w:hAnsi="仿宋" w:eastAsia="仿宋" w:cs="仿宋"/>
              </w:rPr>
            </w:pPr>
          </w:p>
          <w:p>
            <w:pPr>
              <w:rPr>
                <w:rFonts w:ascii="仿宋" w:hAnsi="仿宋" w:eastAsia="仿宋" w:cs="仿宋"/>
              </w:rPr>
            </w:pPr>
            <w:r>
              <w:rPr>
                <w:rFonts w:hint="eastAsia" w:ascii="仿宋" w:hAnsi="仿宋" w:eastAsia="仿宋" w:cs="仿宋"/>
              </w:rPr>
              <w:t>对企业日常发生的一些简单、重复的经济业务，通过OCR扫描自动识别企业票据，根据识别出的企业票据由系统自动生成记账凭证。</w:t>
            </w:r>
          </w:p>
          <w:p>
            <w:pPr>
              <w:rPr>
                <w:rFonts w:ascii="仿宋" w:hAnsi="仿宋" w:eastAsia="仿宋" w:cs="仿宋"/>
              </w:rPr>
            </w:pPr>
            <w:r>
              <w:rPr>
                <w:rFonts w:hint="eastAsia" w:ascii="仿宋" w:hAnsi="仿宋" w:eastAsia="仿宋" w:cs="仿宋"/>
              </w:rPr>
              <w:t>按照给定的财务案例背景描述，梳理业务流程及业务痛点，遵循RPA财务机器人适用标准、业务数据规范及标准，分析机器人开发的可行性与必要性，利用UIpath工具设计开发RPA财务机器人。</w:t>
            </w:r>
          </w:p>
        </w:tc>
        <w:tc>
          <w:tcPr>
            <w:tcW w:w="1391" w:type="dxa"/>
            <w:vAlign w:val="center"/>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66" w:hRule="atLeast"/>
          <w:jc w:val="center"/>
        </w:trPr>
        <w:tc>
          <w:tcPr>
            <w:tcW w:w="12888" w:type="dxa"/>
            <w:gridSpan w:val="2"/>
            <w:vAlign w:val="center"/>
          </w:tcPr>
          <w:p>
            <w:pPr>
              <w:jc w:val="center"/>
              <w:rPr>
                <w:rFonts w:ascii="仿宋" w:hAnsi="仿宋" w:eastAsia="仿宋" w:cs="仿宋"/>
                <w:b/>
                <w:bCs/>
              </w:rPr>
            </w:pPr>
            <w:r>
              <w:rPr>
                <w:rFonts w:hint="eastAsia" w:ascii="仿宋" w:hAnsi="仿宋" w:eastAsia="仿宋" w:cs="仿宋"/>
                <w:b/>
                <w:bCs/>
              </w:rPr>
              <w:t>合计</w:t>
            </w:r>
          </w:p>
        </w:tc>
        <w:tc>
          <w:tcPr>
            <w:tcW w:w="1391" w:type="dxa"/>
            <w:vAlign w:val="center"/>
          </w:tcPr>
          <w:p>
            <w:pPr>
              <w:jc w:val="center"/>
              <w:rPr>
                <w:rFonts w:ascii="仿宋" w:hAnsi="仿宋" w:eastAsia="仿宋" w:cs="仿宋"/>
                <w:b/>
                <w:bCs/>
              </w:rPr>
            </w:pPr>
            <w:r>
              <w:rPr>
                <w:rFonts w:hint="eastAsia" w:ascii="仿宋" w:hAnsi="仿宋" w:eastAsia="仿宋" w:cs="仿宋"/>
                <w:b/>
                <w:bCs/>
              </w:rPr>
              <w:t>50</w:t>
            </w:r>
          </w:p>
        </w:tc>
      </w:tr>
    </w:tbl>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（二）财务会计与大数据财务分析环节评分标准</w:t>
      </w:r>
    </w:p>
    <w:p>
      <w:pPr>
        <w:spacing w:line="360" w:lineRule="auto"/>
        <w:ind w:firstLine="480" w:firstLineChars="200"/>
        <w:rPr>
          <w:rFonts w:ascii="宋体" w:hAnsi="宋体" w:cs="宋体"/>
          <w:sz w:val="24"/>
          <w:szCs w:val="24"/>
        </w:rPr>
      </w:pPr>
      <w:r>
        <w:rPr>
          <w:rFonts w:hint="eastAsia" w:ascii="宋体" w:hAnsi="宋体" w:cs="宋体"/>
          <w:sz w:val="24"/>
          <w:szCs w:val="24"/>
        </w:rPr>
        <w:t>财务会计与大数据财务分析环节为团队合作完成，合计440分。其中资金管理岗位90分，成本管理岗位120分，审核主管岗位120分，财务主管岗位110分。</w:t>
      </w:r>
    </w:p>
    <w:tbl>
      <w:tblPr>
        <w:tblStyle w:val="9"/>
        <w:tblW w:w="148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156"/>
        <w:gridCol w:w="12888"/>
        <w:gridCol w:w="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79" w:hRule="atLeast"/>
          <w:jc w:val="center"/>
        </w:trPr>
        <w:tc>
          <w:tcPr>
            <w:tcW w:w="1156" w:type="dxa"/>
            <w:shd w:val="clear" w:color="auto" w:fill="9CC2E5"/>
            <w:vAlign w:val="center"/>
          </w:tcPr>
          <w:p>
            <w:pPr>
              <w:jc w:val="center"/>
              <w:rPr>
                <w:rFonts w:ascii="仿宋" w:hAnsi="仿宋" w:eastAsia="仿宋" w:cs="仿宋"/>
                <w:b/>
                <w:bCs/>
              </w:rPr>
            </w:pPr>
            <w:r>
              <w:rPr>
                <w:rFonts w:hint="eastAsia" w:ascii="仿宋" w:hAnsi="仿宋" w:eastAsia="仿宋" w:cs="仿宋"/>
                <w:b/>
                <w:bCs/>
              </w:rPr>
              <w:t>竞赛岗位</w:t>
            </w:r>
          </w:p>
        </w:tc>
        <w:tc>
          <w:tcPr>
            <w:tcW w:w="12888" w:type="dxa"/>
            <w:shd w:val="clear" w:color="auto" w:fill="9CC2E5"/>
            <w:vAlign w:val="center"/>
          </w:tcPr>
          <w:p>
            <w:pPr>
              <w:jc w:val="center"/>
              <w:rPr>
                <w:rFonts w:ascii="仿宋" w:hAnsi="仿宋" w:eastAsia="仿宋" w:cs="仿宋"/>
                <w:b/>
                <w:bCs/>
              </w:rPr>
            </w:pPr>
            <w:r>
              <w:rPr>
                <w:rFonts w:hint="eastAsia" w:ascii="仿宋" w:hAnsi="仿宋" w:eastAsia="仿宋" w:cs="仿宋"/>
                <w:b/>
                <w:bCs/>
              </w:rPr>
              <w:t>评分内容</w:t>
            </w:r>
          </w:p>
        </w:tc>
        <w:tc>
          <w:tcPr>
            <w:tcW w:w="771" w:type="dxa"/>
            <w:shd w:val="clear" w:color="auto" w:fill="9CC2E5"/>
            <w:vAlign w:val="center"/>
          </w:tcPr>
          <w:p>
            <w:pPr>
              <w:jc w:val="center"/>
              <w:rPr>
                <w:rFonts w:ascii="仿宋" w:hAnsi="仿宋" w:eastAsia="仿宋" w:cs="仿宋"/>
                <w:b/>
                <w:bCs/>
              </w:rPr>
            </w:pPr>
            <w:r>
              <w:rPr>
                <w:rFonts w:hint="eastAsia" w:ascii="仿宋" w:hAnsi="仿宋" w:eastAsia="仿宋" w:cs="仿宋"/>
                <w:b/>
                <w:bCs/>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90" w:hRule="atLeast"/>
          <w:jc w:val="center"/>
        </w:trPr>
        <w:tc>
          <w:tcPr>
            <w:tcW w:w="1156" w:type="dxa"/>
            <w:vAlign w:val="center"/>
          </w:tcPr>
          <w:p>
            <w:pPr>
              <w:jc w:val="center"/>
              <w:rPr>
                <w:rFonts w:ascii="仿宋" w:hAnsi="仿宋" w:eastAsia="仿宋" w:cs="仿宋"/>
              </w:rPr>
            </w:pPr>
            <w:r>
              <w:rPr>
                <w:rFonts w:hint="eastAsia" w:ascii="仿宋" w:hAnsi="仿宋" w:eastAsia="仿宋" w:cs="仿宋"/>
              </w:rPr>
              <w:t>资金管理</w:t>
            </w:r>
          </w:p>
        </w:tc>
        <w:tc>
          <w:tcPr>
            <w:tcW w:w="12888" w:type="dxa"/>
            <w:vAlign w:val="center"/>
          </w:tcPr>
          <w:p>
            <w:pPr>
              <w:rPr>
                <w:rFonts w:ascii="仿宋" w:hAnsi="仿宋" w:eastAsia="仿宋" w:cs="仿宋"/>
                <w:highlight w:val="none"/>
              </w:rPr>
            </w:pPr>
            <w:r>
              <w:rPr>
                <w:rFonts w:hint="eastAsia" w:ascii="仿宋" w:hAnsi="仿宋" w:eastAsia="仿宋" w:cs="仿宋"/>
                <w:highlight w:val="none"/>
              </w:rPr>
              <w:t>(1)银行业务：支票签发、银行承兑汇票贴现、银行进账单填写、网上电子支付业务</w:t>
            </w:r>
          </w:p>
          <w:p>
            <w:pPr>
              <w:rPr>
                <w:rFonts w:ascii="仿宋" w:hAnsi="仿宋" w:eastAsia="仿宋" w:cs="仿宋"/>
                <w:highlight w:val="none"/>
              </w:rPr>
            </w:pPr>
            <w:r>
              <w:rPr>
                <w:rFonts w:hint="eastAsia" w:ascii="仿宋" w:hAnsi="仿宋" w:eastAsia="仿宋" w:cs="仿宋"/>
                <w:highlight w:val="none"/>
              </w:rPr>
              <w:t>(2)票据业务：票据验真、票据审核、票据整理、涉及收付款记账凭证审核</w:t>
            </w:r>
          </w:p>
          <w:p>
            <w:pPr>
              <w:rPr>
                <w:rFonts w:ascii="仿宋" w:hAnsi="仿宋" w:eastAsia="仿宋" w:cs="仿宋"/>
                <w:highlight w:val="none"/>
              </w:rPr>
            </w:pPr>
            <w:r>
              <w:rPr>
                <w:rFonts w:hint="eastAsia" w:ascii="仿宋" w:hAnsi="仿宋" w:eastAsia="仿宋" w:cs="仿宋"/>
                <w:highlight w:val="none"/>
              </w:rPr>
              <w:t>(3)大数据分析业务：</w:t>
            </w:r>
            <w:r>
              <w:rPr>
                <w:rFonts w:hint="eastAsia" w:ascii="仿宋" w:eastAsia="仿宋" w:cs="仿宋"/>
                <w:highlight w:val="none"/>
              </w:rPr>
              <w:t>财务效率分析及可视化呈现；选定行业分析，选定企业整体评价等</w:t>
            </w:r>
          </w:p>
        </w:tc>
        <w:tc>
          <w:tcPr>
            <w:tcW w:w="771" w:type="dxa"/>
            <w:vAlign w:val="center"/>
          </w:tcPr>
          <w:p>
            <w:pPr>
              <w:jc w:val="center"/>
              <w:rPr>
                <w:rFonts w:ascii="仿宋" w:hAnsi="仿宋" w:eastAsia="仿宋" w:cs="仿宋"/>
              </w:rPr>
            </w:pPr>
            <w:r>
              <w:rPr>
                <w:rFonts w:hint="eastAsia" w:ascii="仿宋" w:hAnsi="仿宋" w:eastAsia="仿宋" w:cs="仿宋"/>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942" w:hRule="atLeast"/>
          <w:jc w:val="center"/>
        </w:trPr>
        <w:tc>
          <w:tcPr>
            <w:tcW w:w="1156" w:type="dxa"/>
            <w:vAlign w:val="center"/>
          </w:tcPr>
          <w:p>
            <w:pPr>
              <w:jc w:val="center"/>
              <w:rPr>
                <w:rFonts w:ascii="仿宋" w:hAnsi="仿宋" w:eastAsia="仿宋" w:cs="仿宋"/>
              </w:rPr>
            </w:pPr>
            <w:r>
              <w:rPr>
                <w:rFonts w:hint="eastAsia" w:ascii="仿宋" w:hAnsi="仿宋" w:eastAsia="仿宋" w:cs="仿宋"/>
              </w:rPr>
              <w:t>成本管理</w:t>
            </w:r>
          </w:p>
        </w:tc>
        <w:tc>
          <w:tcPr>
            <w:tcW w:w="12888" w:type="dxa"/>
            <w:vAlign w:val="center"/>
          </w:tcPr>
          <w:p>
            <w:pPr>
              <w:rPr>
                <w:rFonts w:ascii="仿宋" w:hAnsi="仿宋" w:eastAsia="仿宋" w:cs="仿宋"/>
                <w:highlight w:val="none"/>
              </w:rPr>
            </w:pPr>
            <w:r>
              <w:rPr>
                <w:rFonts w:hint="eastAsia" w:ascii="仿宋" w:hAnsi="仿宋" w:eastAsia="仿宋" w:cs="仿宋"/>
                <w:highlight w:val="none"/>
              </w:rPr>
              <w:t>(1)成本核算：填制成本核算原始凭证、计算产品成本、填制成本核算相关的记账凭证、编制成本报表</w:t>
            </w:r>
          </w:p>
          <w:p>
            <w:pPr>
              <w:rPr>
                <w:rFonts w:ascii="仿宋" w:hAnsi="仿宋" w:eastAsia="仿宋" w:cs="仿宋"/>
                <w:highlight w:val="none"/>
              </w:rPr>
            </w:pPr>
            <w:r>
              <w:rPr>
                <w:rFonts w:hint="eastAsia" w:ascii="仿宋" w:hAnsi="仿宋" w:eastAsia="仿宋" w:cs="仿宋"/>
                <w:highlight w:val="none"/>
              </w:rPr>
              <w:t>(2)成本管理：进行成本的预算管理、成本控制分析</w:t>
            </w:r>
          </w:p>
          <w:p>
            <w:pPr>
              <w:rPr>
                <w:rFonts w:ascii="仿宋" w:hAnsi="仿宋" w:eastAsia="仿宋" w:cs="仿宋"/>
                <w:highlight w:val="none"/>
              </w:rPr>
            </w:pPr>
            <w:r>
              <w:rPr>
                <w:rFonts w:hint="eastAsia" w:ascii="仿宋" w:hAnsi="仿宋" w:eastAsia="仿宋" w:cs="仿宋"/>
                <w:highlight w:val="none"/>
              </w:rPr>
              <w:t>(3)成本分析：</w:t>
            </w:r>
            <w:r>
              <w:rPr>
                <w:rFonts w:hint="eastAsia" w:ascii="仿宋" w:eastAsia="仿宋" w:cs="仿宋"/>
                <w:highlight w:val="none"/>
              </w:rPr>
              <w:t>利用大数据技术完成企业成本、费用等业务，提高工作效率</w:t>
            </w:r>
          </w:p>
        </w:tc>
        <w:tc>
          <w:tcPr>
            <w:tcW w:w="771" w:type="dxa"/>
            <w:vAlign w:val="center"/>
          </w:tcPr>
          <w:p>
            <w:pPr>
              <w:jc w:val="center"/>
              <w:rPr>
                <w:rFonts w:ascii="仿宋" w:hAnsi="仿宋" w:eastAsia="仿宋" w:cs="仿宋"/>
              </w:rPr>
            </w:pPr>
            <w:r>
              <w:rPr>
                <w:rFonts w:hint="eastAsia" w:ascii="仿宋" w:hAnsi="仿宋" w:eastAsia="仿宋" w:cs="仿宋"/>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677" w:hRule="atLeast"/>
          <w:jc w:val="center"/>
        </w:trPr>
        <w:tc>
          <w:tcPr>
            <w:tcW w:w="1156" w:type="dxa"/>
            <w:vAlign w:val="center"/>
          </w:tcPr>
          <w:p>
            <w:pPr>
              <w:jc w:val="center"/>
              <w:rPr>
                <w:rFonts w:ascii="仿宋" w:hAnsi="仿宋" w:eastAsia="仿宋" w:cs="仿宋"/>
              </w:rPr>
            </w:pPr>
            <w:r>
              <w:rPr>
                <w:rFonts w:hint="eastAsia" w:ascii="仿宋" w:hAnsi="仿宋" w:eastAsia="仿宋" w:cs="仿宋"/>
              </w:rPr>
              <w:t>审核主管</w:t>
            </w:r>
          </w:p>
        </w:tc>
        <w:tc>
          <w:tcPr>
            <w:tcW w:w="12888" w:type="dxa"/>
            <w:vAlign w:val="center"/>
          </w:tcPr>
          <w:p>
            <w:pPr>
              <w:rPr>
                <w:rFonts w:ascii="仿宋" w:hAnsi="仿宋" w:eastAsia="仿宋" w:cs="仿宋"/>
                <w:highlight w:val="none"/>
              </w:rPr>
            </w:pPr>
            <w:r>
              <w:rPr>
                <w:rFonts w:hint="eastAsia" w:ascii="仿宋" w:hAnsi="仿宋" w:eastAsia="仿宋" w:cs="仿宋"/>
                <w:highlight w:val="none"/>
              </w:rPr>
              <w:t>(1)审核业务：票据审核、凭证审核、账簿核对、账务错假识别</w:t>
            </w:r>
          </w:p>
          <w:p>
            <w:pPr>
              <w:rPr>
                <w:rFonts w:ascii="仿宋" w:hAnsi="仿宋" w:eastAsia="仿宋" w:cs="仿宋"/>
                <w:highlight w:val="none"/>
              </w:rPr>
            </w:pPr>
            <w:r>
              <w:rPr>
                <w:rFonts w:hint="eastAsia" w:ascii="仿宋" w:hAnsi="仿宋" w:eastAsia="仿宋" w:cs="仿宋"/>
                <w:highlight w:val="none"/>
              </w:rPr>
              <w:t>(2)其他业务：填制除成本核算以外的相关业务原始凭证、填制除成本业务以外的记账凭证</w:t>
            </w:r>
          </w:p>
          <w:p>
            <w:pPr>
              <w:rPr>
                <w:rFonts w:ascii="仿宋" w:hAnsi="仿宋" w:eastAsia="仿宋" w:cs="仿宋"/>
                <w:highlight w:val="none"/>
              </w:rPr>
            </w:pPr>
            <w:r>
              <w:rPr>
                <w:rFonts w:hint="eastAsia" w:ascii="仿宋" w:hAnsi="仿宋" w:eastAsia="仿宋" w:cs="仿宋"/>
                <w:highlight w:val="none"/>
              </w:rPr>
              <w:t>(3)共享中心业务：对企业日常发生的业务，通过财务共享中心平台自动生成记账凭证</w:t>
            </w:r>
          </w:p>
          <w:p>
            <w:pPr>
              <w:rPr>
                <w:rFonts w:ascii="仿宋" w:hAnsi="仿宋" w:eastAsia="仿宋" w:cs="仿宋"/>
                <w:highlight w:val="none"/>
              </w:rPr>
            </w:pPr>
            <w:r>
              <w:rPr>
                <w:rFonts w:hint="eastAsia" w:ascii="仿宋" w:hAnsi="仿宋" w:eastAsia="仿宋" w:cs="仿宋"/>
                <w:highlight w:val="none"/>
              </w:rPr>
              <w:t>(4)大数据分析业务：</w:t>
            </w:r>
            <w:r>
              <w:rPr>
                <w:rFonts w:hint="eastAsia" w:ascii="仿宋" w:eastAsia="仿宋" w:cs="仿宋"/>
                <w:highlight w:val="none"/>
              </w:rPr>
              <w:t>企业经营数据及企业税负情况分析</w:t>
            </w:r>
          </w:p>
        </w:tc>
        <w:tc>
          <w:tcPr>
            <w:tcW w:w="771" w:type="dxa"/>
            <w:vAlign w:val="center"/>
          </w:tcPr>
          <w:p>
            <w:pPr>
              <w:jc w:val="center"/>
              <w:rPr>
                <w:rFonts w:ascii="仿宋" w:hAnsi="仿宋" w:eastAsia="仿宋" w:cs="仿宋"/>
              </w:rPr>
            </w:pPr>
            <w:r>
              <w:rPr>
                <w:rFonts w:hint="eastAsia" w:ascii="仿宋" w:hAnsi="仿宋" w:eastAsia="仿宋" w:cs="仿宋"/>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747" w:hRule="atLeast"/>
          <w:jc w:val="center"/>
        </w:trPr>
        <w:tc>
          <w:tcPr>
            <w:tcW w:w="1156" w:type="dxa"/>
            <w:vAlign w:val="center"/>
          </w:tcPr>
          <w:p>
            <w:pPr>
              <w:jc w:val="center"/>
              <w:rPr>
                <w:rFonts w:ascii="仿宋" w:hAnsi="仿宋" w:eastAsia="仿宋" w:cs="仿宋"/>
              </w:rPr>
            </w:pPr>
            <w:r>
              <w:rPr>
                <w:rFonts w:hint="eastAsia" w:ascii="仿宋" w:hAnsi="仿宋" w:eastAsia="仿宋" w:cs="仿宋"/>
              </w:rPr>
              <w:t>财务主管</w:t>
            </w:r>
          </w:p>
        </w:tc>
        <w:tc>
          <w:tcPr>
            <w:tcW w:w="12888" w:type="dxa"/>
            <w:vAlign w:val="center"/>
          </w:tcPr>
          <w:p>
            <w:pPr>
              <w:rPr>
                <w:rFonts w:ascii="仿宋" w:hAnsi="仿宋" w:eastAsia="仿宋" w:cs="仿宋"/>
              </w:rPr>
            </w:pPr>
            <w:r>
              <w:rPr>
                <w:rFonts w:hint="eastAsia" w:ascii="仿宋" w:hAnsi="仿宋" w:eastAsia="仿宋" w:cs="仿宋"/>
              </w:rPr>
              <w:t>(1)基础业务：建立账套、凭证的审核、网上电子支付业务的审核授权、过账及结账</w:t>
            </w:r>
          </w:p>
          <w:p>
            <w:pPr>
              <w:rPr>
                <w:rFonts w:ascii="仿宋" w:hAnsi="仿宋" w:eastAsia="仿宋" w:cs="仿宋"/>
              </w:rPr>
            </w:pPr>
            <w:r>
              <w:rPr>
                <w:rFonts w:hint="eastAsia" w:ascii="仿宋" w:hAnsi="仿宋" w:eastAsia="仿宋" w:cs="仿宋"/>
              </w:rPr>
              <w:t>(2)涉税业务：网上税费申报、纳税筹划</w:t>
            </w:r>
          </w:p>
          <w:p>
            <w:pPr>
              <w:rPr>
                <w:rFonts w:ascii="仿宋" w:hAnsi="仿宋" w:eastAsia="仿宋" w:cs="仿宋"/>
              </w:rPr>
            </w:pPr>
            <w:r>
              <w:rPr>
                <w:rFonts w:hint="eastAsia" w:ascii="仿宋" w:hAnsi="仿宋" w:eastAsia="仿宋" w:cs="仿宋"/>
              </w:rPr>
              <w:t>(3)报表业务：报表编制(包括资产负债表、利润表公式设置)</w:t>
            </w:r>
          </w:p>
          <w:p>
            <w:pPr>
              <w:rPr>
                <w:rFonts w:ascii="仿宋" w:hAnsi="仿宋" w:eastAsia="仿宋" w:cs="仿宋"/>
              </w:rPr>
            </w:pPr>
            <w:r>
              <w:rPr>
                <w:rFonts w:hint="eastAsia" w:ascii="仿宋" w:hAnsi="仿宋" w:eastAsia="仿宋" w:cs="仿宋"/>
              </w:rPr>
              <w:t>(4)流程业务：业财一体化流程设计、内控制度设计</w:t>
            </w:r>
          </w:p>
          <w:p>
            <w:pPr>
              <w:rPr>
                <w:rFonts w:ascii="仿宋" w:hAnsi="仿宋" w:eastAsia="仿宋" w:cs="仿宋"/>
              </w:rPr>
            </w:pPr>
            <w:r>
              <w:rPr>
                <w:rFonts w:hint="eastAsia" w:ascii="仿宋" w:hAnsi="仿宋" w:eastAsia="仿宋" w:cs="仿宋"/>
              </w:rPr>
              <w:t>(5)财报分析：</w:t>
            </w:r>
            <w:r>
              <w:rPr>
                <w:rFonts w:hint="eastAsia" w:ascii="仿宋" w:eastAsia="仿宋" w:cs="仿宋"/>
              </w:rPr>
              <w:t>财务报表分析及可视化呈现</w:t>
            </w:r>
          </w:p>
        </w:tc>
        <w:tc>
          <w:tcPr>
            <w:tcW w:w="771" w:type="dxa"/>
            <w:vAlign w:val="center"/>
          </w:tcPr>
          <w:p>
            <w:pPr>
              <w:jc w:val="center"/>
              <w:rPr>
                <w:rFonts w:ascii="仿宋" w:hAnsi="仿宋" w:eastAsia="仿宋" w:cs="仿宋"/>
              </w:rPr>
            </w:pPr>
            <w:r>
              <w:rPr>
                <w:rFonts w:hint="eastAsia" w:ascii="仿宋" w:hAnsi="仿宋" w:eastAsia="仿宋" w:cs="仿宋"/>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97" w:hRule="atLeast"/>
          <w:jc w:val="center"/>
        </w:trPr>
        <w:tc>
          <w:tcPr>
            <w:tcW w:w="14044" w:type="dxa"/>
            <w:gridSpan w:val="2"/>
            <w:vAlign w:val="center"/>
          </w:tcPr>
          <w:p>
            <w:pPr>
              <w:jc w:val="center"/>
              <w:rPr>
                <w:rFonts w:ascii="仿宋" w:hAnsi="仿宋" w:eastAsia="仿宋" w:cs="仿宋"/>
                <w:b/>
                <w:bCs/>
              </w:rPr>
            </w:pPr>
            <w:r>
              <w:rPr>
                <w:rFonts w:hint="eastAsia" w:ascii="仿宋" w:hAnsi="仿宋" w:eastAsia="仿宋" w:cs="仿宋"/>
                <w:b/>
                <w:bCs/>
              </w:rPr>
              <w:t>合计</w:t>
            </w:r>
          </w:p>
        </w:tc>
        <w:tc>
          <w:tcPr>
            <w:tcW w:w="771" w:type="dxa"/>
            <w:vAlign w:val="center"/>
          </w:tcPr>
          <w:p>
            <w:pPr>
              <w:jc w:val="center"/>
              <w:rPr>
                <w:rFonts w:ascii="仿宋" w:hAnsi="仿宋" w:eastAsia="仿宋" w:cs="仿宋"/>
                <w:b/>
                <w:bCs/>
              </w:rPr>
            </w:pPr>
            <w:r>
              <w:rPr>
                <w:rFonts w:hint="eastAsia" w:ascii="仿宋" w:hAnsi="仿宋" w:eastAsia="仿宋" w:cs="仿宋"/>
                <w:b/>
                <w:bCs/>
              </w:rPr>
              <w:t>440</w:t>
            </w:r>
          </w:p>
        </w:tc>
      </w:tr>
    </w:tbl>
    <w:p>
      <w:pPr>
        <w:spacing w:line="360" w:lineRule="auto"/>
        <w:ind w:firstLine="482" w:firstLineChars="200"/>
        <w:rPr>
          <w:rFonts w:ascii="宋体" w:hAnsi="宋体" w:cs="宋体"/>
          <w:b/>
          <w:bCs/>
          <w:sz w:val="24"/>
          <w:szCs w:val="24"/>
        </w:rPr>
      </w:pPr>
      <w:r>
        <w:rPr>
          <w:rFonts w:hint="eastAsia" w:ascii="宋体" w:hAnsi="宋体" w:cs="宋体"/>
          <w:b/>
          <w:bCs/>
          <w:sz w:val="24"/>
          <w:szCs w:val="24"/>
        </w:rPr>
        <w:t>（三）大数据管理会计环节评分标准</w:t>
      </w:r>
    </w:p>
    <w:p>
      <w:pPr>
        <w:spacing w:line="360" w:lineRule="auto"/>
        <w:ind w:firstLine="480" w:firstLineChars="200"/>
        <w:rPr>
          <w:rFonts w:ascii="宋体" w:hAnsi="宋体" w:cs="宋体"/>
          <w:sz w:val="24"/>
          <w:szCs w:val="24"/>
        </w:rPr>
      </w:pPr>
      <w:r>
        <w:rPr>
          <w:rFonts w:hint="eastAsia" w:ascii="宋体" w:hAnsi="宋体" w:cs="宋体"/>
          <w:sz w:val="24"/>
          <w:szCs w:val="24"/>
        </w:rPr>
        <w:t>大数据管理会计环节为团队合作完成，分值共400分，其中投融资管理岗位100分，预算管理岗位90分，营运管理岗位110分，绩效管理岗位100分。</w:t>
      </w:r>
    </w:p>
    <w:tbl>
      <w:tblPr>
        <w:tblStyle w:val="9"/>
        <w:tblW w:w="143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302"/>
        <w:gridCol w:w="12244"/>
        <w:gridCol w:w="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459" w:hRule="atLeast"/>
          <w:jc w:val="center"/>
        </w:trPr>
        <w:tc>
          <w:tcPr>
            <w:tcW w:w="1302" w:type="dxa"/>
            <w:shd w:val="clear" w:color="auto" w:fill="9CC2E5"/>
            <w:vAlign w:val="center"/>
          </w:tcPr>
          <w:p>
            <w:pPr>
              <w:jc w:val="center"/>
              <w:rPr>
                <w:b/>
                <w:bCs/>
              </w:rPr>
            </w:pPr>
            <w:r>
              <w:rPr>
                <w:b/>
                <w:bCs/>
              </w:rPr>
              <w:t>竞赛岗位</w:t>
            </w:r>
          </w:p>
        </w:tc>
        <w:tc>
          <w:tcPr>
            <w:tcW w:w="12244" w:type="dxa"/>
            <w:shd w:val="clear" w:color="auto" w:fill="9CC2E5"/>
            <w:vAlign w:val="center"/>
          </w:tcPr>
          <w:p>
            <w:pPr>
              <w:jc w:val="center"/>
              <w:rPr>
                <w:b/>
                <w:bCs/>
              </w:rPr>
            </w:pPr>
            <w:r>
              <w:rPr>
                <w:b/>
                <w:bCs/>
              </w:rPr>
              <w:t>评分内容</w:t>
            </w:r>
          </w:p>
        </w:tc>
        <w:tc>
          <w:tcPr>
            <w:tcW w:w="773" w:type="dxa"/>
            <w:shd w:val="clear" w:color="auto" w:fill="9CC2E5"/>
            <w:vAlign w:val="center"/>
          </w:tcPr>
          <w:p>
            <w:pPr>
              <w:jc w:val="center"/>
              <w:rPr>
                <w:b/>
                <w:bCs/>
              </w:rPr>
            </w:pPr>
            <w:r>
              <w:rPr>
                <w:b/>
                <w:bCs/>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470" w:hRule="atLeast"/>
          <w:jc w:val="center"/>
        </w:trPr>
        <w:tc>
          <w:tcPr>
            <w:tcW w:w="1302" w:type="dxa"/>
            <w:vAlign w:val="center"/>
          </w:tcPr>
          <w:p>
            <w:pPr>
              <w:jc w:val="center"/>
            </w:pPr>
            <w:r>
              <w:t>投融资管理</w:t>
            </w:r>
          </w:p>
        </w:tc>
        <w:tc>
          <w:tcPr>
            <w:tcW w:w="12244" w:type="dxa"/>
            <w:vAlign w:val="center"/>
          </w:tcPr>
          <w:p>
            <w:r>
              <w:t>(1)筹资管理：资金需要量预测、资金成本率计算及分析</w:t>
            </w:r>
          </w:p>
          <w:p>
            <w:r>
              <w:t>(2)长期投资决策:是否购置设备决策、设备是否更新决策、固定资产大修与更新决策、固定资产购置与租赁决策、固定资产何时更新决策、资金总量存在限制条件下决策等</w:t>
            </w:r>
          </w:p>
          <w:p>
            <w:r>
              <w:t>(3)大数据风控：资金风险管控等</w:t>
            </w:r>
          </w:p>
          <w:p>
            <w:r>
              <w:t>(4)投融资数据分析：利用大数据工具进行投融资数据分析，设计现金流入量、现金流出量、现金存量、资金需求量等看板，并进行资金分析与预测。</w:t>
            </w:r>
          </w:p>
        </w:tc>
        <w:tc>
          <w:tcPr>
            <w:tcW w:w="773" w:type="dxa"/>
            <w:vAlign w:val="center"/>
          </w:tcPr>
          <w:p>
            <w:pPr>
              <w:jc w:val="center"/>
            </w:pPr>
            <w: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2055" w:hRule="atLeast"/>
          <w:jc w:val="center"/>
        </w:trPr>
        <w:tc>
          <w:tcPr>
            <w:tcW w:w="1302" w:type="dxa"/>
            <w:vAlign w:val="center"/>
          </w:tcPr>
          <w:p>
            <w:pPr>
              <w:jc w:val="center"/>
            </w:pPr>
            <w:r>
              <w:t>预算管理</w:t>
            </w:r>
          </w:p>
        </w:tc>
        <w:tc>
          <w:tcPr>
            <w:tcW w:w="12244" w:type="dxa"/>
            <w:vAlign w:val="center"/>
          </w:tcPr>
          <w:p>
            <w:r>
              <w:t>(1)销售预算编制：销售预算</w:t>
            </w:r>
          </w:p>
          <w:p>
            <w:r>
              <w:t>(2)费用预算编制：销售费用预算、管理费用预算、财务费用预算、应交税费预算</w:t>
            </w:r>
          </w:p>
          <w:p>
            <w:r>
              <w:t>(3)成本预算编制：生产预算、直接材料预算、直接人工预算、制造费用预算、成本预算</w:t>
            </w:r>
          </w:p>
          <w:p>
            <w:r>
              <w:t>(4)财务预算编制：现金预算、编制预计资产负债表、编制预计利润表</w:t>
            </w:r>
          </w:p>
          <w:p>
            <w:r>
              <w:t>(5)预算执行情况分析：收入预算执行情况分析、成本预算执行情况分析、期间费用预算执行情况分析、利润预算执行情况分析</w:t>
            </w:r>
          </w:p>
        </w:tc>
        <w:tc>
          <w:tcPr>
            <w:tcW w:w="773" w:type="dxa"/>
            <w:vAlign w:val="center"/>
          </w:tcPr>
          <w:p>
            <w:pPr>
              <w:jc w:val="center"/>
            </w:pPr>
            <w: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521" w:hRule="atLeast"/>
          <w:jc w:val="center"/>
        </w:trPr>
        <w:tc>
          <w:tcPr>
            <w:tcW w:w="1302" w:type="dxa"/>
            <w:vAlign w:val="center"/>
          </w:tcPr>
          <w:p>
            <w:pPr>
              <w:jc w:val="center"/>
            </w:pPr>
            <w:r>
              <w:t>营运管理</w:t>
            </w:r>
          </w:p>
        </w:tc>
        <w:tc>
          <w:tcPr>
            <w:tcW w:w="12244" w:type="dxa"/>
            <w:vAlign w:val="center"/>
          </w:tcPr>
          <w:p>
            <w:r>
              <w:t>(1)成本核算与管理：标准成本法、变动成本法、作业成本法、成本性态分析、成本差异计算与分析</w:t>
            </w:r>
          </w:p>
          <w:p>
            <w:r>
              <w:t>(2)营运管理：本量利分析、利润敏感性分析、边际贡献分析、盈亏平衡分析、安全边际分析</w:t>
            </w:r>
          </w:p>
          <w:p>
            <w:r>
              <w:t>(3)经济订货批量计算</w:t>
            </w:r>
          </w:p>
          <w:p>
            <w:r>
              <w:t>(4)短期经营决策：生产品种决策、生产数量决策、生产组织决策、特殊订货决策、定价决策</w:t>
            </w:r>
          </w:p>
          <w:p>
            <w:r>
              <w:t>(5)大数据风控：费用风险管控、采购风险管控、存货风险管控、应收账款风险管控等</w:t>
            </w:r>
          </w:p>
          <w:p>
            <w:r>
              <w:t>(6)营运数据分析：利用大数据工具对成本、销售费用、财务费用等数据进行分析；设计不同产品的成本占比及变化、销售费用各个子项目占比及变化、财务费用各子项占比及变化等看板，并进行分析。</w:t>
            </w:r>
          </w:p>
        </w:tc>
        <w:tc>
          <w:tcPr>
            <w:tcW w:w="773" w:type="dxa"/>
            <w:vAlign w:val="center"/>
          </w:tcPr>
          <w:p>
            <w:pPr>
              <w:jc w:val="center"/>
            </w:pPr>
            <w: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1527" w:hRule="atLeast"/>
          <w:jc w:val="center"/>
        </w:trPr>
        <w:tc>
          <w:tcPr>
            <w:tcW w:w="1302" w:type="dxa"/>
            <w:vAlign w:val="center"/>
          </w:tcPr>
          <w:p>
            <w:pPr>
              <w:jc w:val="center"/>
            </w:pPr>
            <w:r>
              <w:t>绩效管理</w:t>
            </w:r>
          </w:p>
        </w:tc>
        <w:tc>
          <w:tcPr>
            <w:tcW w:w="12244" w:type="dxa"/>
            <w:vAlign w:val="center"/>
          </w:tcPr>
          <w:p>
            <w:r>
              <w:t>(1)绩效考评：平衡计分卡、关键绩效指标(KPI)、责任中心考核评价等</w:t>
            </w:r>
          </w:p>
          <w:p>
            <w:r>
              <w:t>(2)业绩分析：企业盈利能力分析、成本控制与管理能力、资金利用效率能力、关键业绩指标分析、资产负债结构合理性分析、人均劳动效率分析等</w:t>
            </w:r>
          </w:p>
          <w:p>
            <w:r>
              <w:t>(3)管理会计信息报告</w:t>
            </w:r>
          </w:p>
        </w:tc>
        <w:tc>
          <w:tcPr>
            <w:tcW w:w="773" w:type="dxa"/>
            <w:vAlign w:val="center"/>
          </w:tcPr>
          <w:p>
            <w:pPr>
              <w:jc w:val="center"/>
            </w:pPr>
            <w: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672" w:hRule="atLeast"/>
          <w:jc w:val="center"/>
        </w:trPr>
        <w:tc>
          <w:tcPr>
            <w:tcW w:w="13546" w:type="dxa"/>
            <w:gridSpan w:val="2"/>
            <w:vAlign w:val="center"/>
          </w:tcPr>
          <w:p>
            <w:pPr>
              <w:jc w:val="center"/>
              <w:rPr>
                <w:b/>
                <w:bCs/>
              </w:rPr>
            </w:pPr>
            <w:r>
              <w:rPr>
                <w:b/>
                <w:bCs/>
              </w:rPr>
              <w:t>合计</w:t>
            </w:r>
          </w:p>
        </w:tc>
        <w:tc>
          <w:tcPr>
            <w:tcW w:w="773" w:type="dxa"/>
            <w:vAlign w:val="center"/>
          </w:tcPr>
          <w:p>
            <w:pPr>
              <w:jc w:val="center"/>
              <w:rPr>
                <w:b/>
                <w:bCs/>
              </w:rPr>
            </w:pPr>
            <w:r>
              <w:rPr>
                <w:b/>
                <w:bCs/>
              </w:rPr>
              <w:t>400</w:t>
            </w:r>
          </w:p>
        </w:tc>
      </w:tr>
    </w:tbl>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sectPr>
          <w:pgSz w:w="16838" w:h="11906" w:orient="landscape"/>
          <w:pgMar w:top="1757" w:right="1440" w:bottom="1757" w:left="1440" w:header="851" w:footer="992" w:gutter="0"/>
          <w:cols w:space="0" w:num="1"/>
          <w:docGrid w:type="lines" w:linePitch="322" w:charSpace="0"/>
        </w:sectPr>
      </w:pPr>
    </w:p>
    <w:p>
      <w:pPr>
        <w:spacing w:line="360" w:lineRule="auto"/>
        <w:ind w:firstLine="482" w:firstLineChars="200"/>
        <w:rPr>
          <w:rFonts w:ascii="宋体" w:hAnsi="宋体" w:cs="宋体"/>
          <w:sz w:val="24"/>
          <w:szCs w:val="24"/>
        </w:rPr>
      </w:pPr>
      <w:r>
        <w:rPr>
          <w:rFonts w:hint="eastAsia" w:ascii="宋体" w:hAnsi="宋体" w:cs="宋体"/>
          <w:b/>
          <w:bCs/>
          <w:sz w:val="24"/>
          <w:szCs w:val="24"/>
        </w:rPr>
        <w:t>（四）成绩评定</w:t>
      </w:r>
    </w:p>
    <w:p>
      <w:pPr>
        <w:spacing w:line="360" w:lineRule="auto"/>
        <w:ind w:firstLine="480" w:firstLineChars="200"/>
        <w:rPr>
          <w:rFonts w:ascii="宋体" w:hAnsi="宋体" w:cs="宋体"/>
          <w:sz w:val="24"/>
          <w:szCs w:val="24"/>
        </w:rPr>
      </w:pPr>
      <w:r>
        <w:rPr>
          <w:rFonts w:hint="eastAsia" w:ascii="宋体" w:hAnsi="宋体" w:cs="宋体"/>
          <w:sz w:val="24"/>
          <w:szCs w:val="24"/>
        </w:rPr>
        <w:t>1.会计技能竞赛团队总成绩为会计素养与智能工具应用环节团队成绩、财务会计与大数据财务分析环节团队成绩加上大数据管理会计环节团队成绩。每个团队的最终竞赛成绩按百分制折算，折算方法为：（团队总成绩×100）÷1040=百分制的成绩。如A参赛队会计素养与智能工具应用环节成绩为180分、财务会计与大数据财务分析环节成绩324分，大数据管理会计环节成绩310分，合计成绩814分，折合百分制成绩：（814×100）÷1040=78.27分。各参赛队原竞赛成绩保留小数点后两位，第三位四舍五入，折后百分制成绩保留小数点后三位。如参赛队伍最终折后百分制成绩相同，以大数据管理会计环节成绩高的团队为先。</w:t>
      </w:r>
    </w:p>
    <w:p>
      <w:pPr>
        <w:spacing w:line="360" w:lineRule="auto"/>
        <w:ind w:firstLine="480" w:firstLineChars="200"/>
        <w:rPr>
          <w:rFonts w:ascii="宋体" w:hAnsi="宋体" w:cs="宋体"/>
          <w:sz w:val="24"/>
          <w:szCs w:val="24"/>
        </w:rPr>
      </w:pPr>
      <w:r>
        <w:rPr>
          <w:rFonts w:hint="eastAsia" w:ascii="宋体" w:hAnsi="宋体" w:cs="宋体"/>
          <w:sz w:val="24"/>
          <w:szCs w:val="24"/>
        </w:rPr>
        <w:t>2.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360" w:lineRule="auto"/>
        <w:ind w:firstLine="480" w:firstLineChars="200"/>
        <w:rPr>
          <w:rFonts w:ascii="宋体" w:hAnsi="宋体" w:cs="宋体"/>
          <w:sz w:val="24"/>
          <w:szCs w:val="24"/>
        </w:rPr>
      </w:pPr>
      <w:r>
        <w:rPr>
          <w:rFonts w:hint="eastAsia" w:ascii="宋体" w:hAnsi="宋体" w:cs="宋体"/>
          <w:sz w:val="24"/>
          <w:szCs w:val="24"/>
        </w:rPr>
        <w:t>3.竞赛成绩复核无误后，经裁判长、监督仲裁组签字后进行公布。公布时间为1小时。成绩公布无异议后，由监督仲裁长在成绩单上签字确认，并在闭赛式上公布竞赛成绩。</w:t>
      </w:r>
    </w:p>
    <w:p>
      <w:pPr>
        <w:spacing w:line="360" w:lineRule="auto"/>
        <w:rPr>
          <w:rFonts w:ascii="宋体" w:hAnsi="宋体" w:cs="宋体"/>
          <w:b/>
          <w:bCs/>
          <w:sz w:val="24"/>
          <w:szCs w:val="24"/>
        </w:rPr>
      </w:pPr>
      <w:r>
        <w:rPr>
          <w:rFonts w:hint="eastAsia" w:ascii="宋体" w:hAnsi="宋体" w:cs="宋体"/>
          <w:b/>
          <w:bCs/>
          <w:sz w:val="24"/>
          <w:szCs w:val="24"/>
        </w:rPr>
        <w:t>九、申诉与仲裁</w:t>
      </w:r>
    </w:p>
    <w:p>
      <w:pPr>
        <w:spacing w:line="360" w:lineRule="auto"/>
        <w:ind w:firstLine="480" w:firstLineChars="200"/>
        <w:rPr>
          <w:rFonts w:ascii="宋体" w:hAnsi="宋体" w:cs="宋体"/>
          <w:sz w:val="24"/>
          <w:szCs w:val="24"/>
        </w:rPr>
      </w:pPr>
      <w:r>
        <w:rPr>
          <w:rFonts w:hint="eastAsia" w:ascii="宋体" w:hAnsi="宋体" w:cs="宋体"/>
          <w:sz w:val="24"/>
          <w:szCs w:val="24"/>
        </w:rPr>
        <w:t>1.河北省职业院校技能大赛设仲裁工作委员会，赛点设仲裁工作组,组长由大赛组委会办公室指派，组员为赛项裁判长和赛点执委会主任。</w:t>
      </w:r>
    </w:p>
    <w:p>
      <w:pPr>
        <w:spacing w:line="360" w:lineRule="auto"/>
        <w:ind w:firstLine="480" w:firstLineChars="200"/>
        <w:rPr>
          <w:rFonts w:ascii="宋体" w:hAnsi="宋体" w:cs="宋体"/>
          <w:sz w:val="24"/>
          <w:szCs w:val="24"/>
        </w:rPr>
      </w:pPr>
      <w:r>
        <w:rPr>
          <w:rFonts w:hint="eastAsia" w:ascii="宋体" w:hAnsi="宋体" w:cs="宋体"/>
          <w:sz w:val="24"/>
          <w:szCs w:val="24"/>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rPr>
        <w:t>3.提出申诉</w:t>
      </w:r>
      <w:r>
        <w:rPr>
          <w:rFonts w:hint="eastAsia" w:ascii="宋体" w:hAnsi="宋体" w:cs="宋体"/>
          <w:sz w:val="24"/>
          <w:szCs w:val="24"/>
          <w:highlight w:val="none"/>
        </w:rPr>
        <w:t>应在本环节比赛结束后1小时内向赛点仲裁组提出。超过时效不予受理。提出申诉后申诉人及相关涉及人员不得离开赛点，否则视为自行放弃申诉。</w:t>
      </w:r>
    </w:p>
    <w:p>
      <w:pPr>
        <w:spacing w:line="360" w:lineRule="auto"/>
        <w:ind w:firstLine="480" w:firstLineChars="200"/>
        <w:rPr>
          <w:rFonts w:ascii="宋体" w:hAnsi="宋体" w:cs="宋体"/>
          <w:sz w:val="24"/>
          <w:szCs w:val="24"/>
        </w:rPr>
      </w:pPr>
      <w:r>
        <w:rPr>
          <w:rFonts w:hint="eastAsia" w:ascii="宋体" w:hAnsi="宋体" w:cs="宋体"/>
          <w:sz w:val="24"/>
          <w:szCs w:val="24"/>
        </w:rPr>
        <w:t>4.赛点仲裁工作组在接到申诉报告后的2小时内组织复议，并及时将复议结果以书面形式告知申诉方。</w:t>
      </w:r>
    </w:p>
    <w:p>
      <w:pPr>
        <w:spacing w:line="360" w:lineRule="auto"/>
        <w:ind w:firstLine="480" w:firstLineChars="200"/>
        <w:rPr>
          <w:rFonts w:ascii="宋体" w:hAnsi="宋体" w:cs="宋体"/>
          <w:sz w:val="24"/>
          <w:szCs w:val="24"/>
        </w:rPr>
      </w:pPr>
      <w:r>
        <w:rPr>
          <w:rFonts w:hint="eastAsia" w:ascii="宋体" w:hAnsi="宋体" w:cs="宋体"/>
          <w:sz w:val="24"/>
          <w:szCs w:val="24"/>
        </w:rPr>
        <w:t>5.对赛点仲裁组复议结果不服的，可由代表队所在院校校级领导向大赛仲裁委员会提出申诉。大赛仲裁委员会的仲裁结果为最终结果。</w:t>
      </w:r>
    </w:p>
    <w:p>
      <w:pPr>
        <w:spacing w:line="360" w:lineRule="auto"/>
        <w:ind w:firstLine="480" w:firstLineChars="200"/>
        <w:rPr>
          <w:rFonts w:ascii="宋体" w:hAnsi="宋体" w:cs="宋体"/>
          <w:sz w:val="24"/>
          <w:szCs w:val="24"/>
        </w:rPr>
      </w:pPr>
      <w:r>
        <w:rPr>
          <w:rFonts w:hint="eastAsia" w:ascii="宋体" w:hAnsi="宋体" w:cs="宋体"/>
          <w:sz w:val="24"/>
          <w:szCs w:val="24"/>
        </w:rPr>
        <w:t>6.申诉方不得以任何理由拒绝接收仲裁结果；不得以任何理由采取过激行为扰乱赛场秩序；仲裁结果由申诉人签收，不能代收；如在约定时间和地点申诉人离开，视为撤诉。</w:t>
      </w:r>
    </w:p>
    <w:p>
      <w:pPr>
        <w:spacing w:line="360" w:lineRule="auto"/>
        <w:ind w:firstLine="480" w:firstLineChars="200"/>
        <w:rPr>
          <w:rFonts w:ascii="宋体" w:hAnsi="宋体" w:cs="宋体"/>
          <w:sz w:val="24"/>
          <w:szCs w:val="24"/>
        </w:rPr>
      </w:pPr>
      <w:r>
        <w:rPr>
          <w:rFonts w:hint="eastAsia" w:ascii="宋体" w:hAnsi="宋体" w:cs="宋体"/>
          <w:sz w:val="24"/>
          <w:szCs w:val="24"/>
        </w:rPr>
        <w:t>7.申诉方可随时提出</w:t>
      </w:r>
      <w:bookmarkStart w:id="2" w:name="_GoBack"/>
      <w:bookmarkEnd w:id="2"/>
      <w:r>
        <w:rPr>
          <w:rFonts w:hint="eastAsia" w:ascii="宋体" w:hAnsi="宋体" w:cs="宋体"/>
          <w:sz w:val="24"/>
          <w:szCs w:val="24"/>
        </w:rPr>
        <w:t>放弃申诉。</w:t>
      </w:r>
    </w:p>
    <w:sectPr>
      <w:pgSz w:w="11906" w:h="16838"/>
      <w:pgMar w:top="1440" w:right="1757" w:bottom="1440" w:left="1757" w:header="851" w:footer="99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9</w:t>
                          </w:r>
                          <w:r>
                            <w:rPr>
                              <w:rFonts w:hint="eastAsia" w:ascii="宋体" w:hAnsi="宋体" w:eastAsia="宋体" w:cs="宋体"/>
                              <w:sz w:val="21"/>
                              <w:szCs w:val="21"/>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VZcJbgAQAAuwMAAA4AAAAA&#10;AAAAAQAgAAAAHgEAAGRycy9lMm9Eb2MueG1sUEsFBgAAAAAGAAYAWQEAAHAFAAAAAA==&#10;">
              <v:fill on="f" focussize="0,0"/>
              <v:stroke on="f"/>
              <v:imagedata o:title=""/>
              <o:lock v:ext="edit" aspectratio="f"/>
              <v:textbox inset="0mm,0mm,0mm,0mm" style="mso-fit-shape-to-text:t;">
                <w:txbxContent>
                  <w:p>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9</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gyN2EwNDEwOWEyNGZlODg0NDQ4NTFiYTI1ODcifQ=="/>
  </w:docVars>
  <w:rsids>
    <w:rsidRoot w:val="004B2032"/>
    <w:rsid w:val="00032DC6"/>
    <w:rsid w:val="00034F49"/>
    <w:rsid w:val="00035255"/>
    <w:rsid w:val="00046924"/>
    <w:rsid w:val="00056846"/>
    <w:rsid w:val="000833D0"/>
    <w:rsid w:val="00097091"/>
    <w:rsid w:val="000A1919"/>
    <w:rsid w:val="000C180F"/>
    <w:rsid w:val="000E249D"/>
    <w:rsid w:val="000E5A94"/>
    <w:rsid w:val="00107D8F"/>
    <w:rsid w:val="00111C0D"/>
    <w:rsid w:val="00123BA3"/>
    <w:rsid w:val="00123DA2"/>
    <w:rsid w:val="00134CAE"/>
    <w:rsid w:val="00144518"/>
    <w:rsid w:val="00171265"/>
    <w:rsid w:val="00173B8B"/>
    <w:rsid w:val="00183BDC"/>
    <w:rsid w:val="00184918"/>
    <w:rsid w:val="0019656B"/>
    <w:rsid w:val="001B3AA4"/>
    <w:rsid w:val="001C269B"/>
    <w:rsid w:val="001E1289"/>
    <w:rsid w:val="001E5D89"/>
    <w:rsid w:val="001F0138"/>
    <w:rsid w:val="001F447F"/>
    <w:rsid w:val="001F4612"/>
    <w:rsid w:val="001F727F"/>
    <w:rsid w:val="002566C7"/>
    <w:rsid w:val="00260A56"/>
    <w:rsid w:val="002751C4"/>
    <w:rsid w:val="00296364"/>
    <w:rsid w:val="002A32BD"/>
    <w:rsid w:val="002B7BC1"/>
    <w:rsid w:val="002C2FF3"/>
    <w:rsid w:val="002E6D19"/>
    <w:rsid w:val="00303969"/>
    <w:rsid w:val="003053A2"/>
    <w:rsid w:val="00312AA7"/>
    <w:rsid w:val="003178A1"/>
    <w:rsid w:val="0035162C"/>
    <w:rsid w:val="00362887"/>
    <w:rsid w:val="00366EB0"/>
    <w:rsid w:val="00375B0E"/>
    <w:rsid w:val="00383A20"/>
    <w:rsid w:val="003936CB"/>
    <w:rsid w:val="003A4CA9"/>
    <w:rsid w:val="003A7FC7"/>
    <w:rsid w:val="003B0555"/>
    <w:rsid w:val="003B333C"/>
    <w:rsid w:val="003C52C3"/>
    <w:rsid w:val="003D2B45"/>
    <w:rsid w:val="003E22D0"/>
    <w:rsid w:val="003E60B6"/>
    <w:rsid w:val="003F3DC9"/>
    <w:rsid w:val="003F699E"/>
    <w:rsid w:val="0040620A"/>
    <w:rsid w:val="00407AAA"/>
    <w:rsid w:val="00415F77"/>
    <w:rsid w:val="0042107E"/>
    <w:rsid w:val="00427682"/>
    <w:rsid w:val="00452D18"/>
    <w:rsid w:val="00455E82"/>
    <w:rsid w:val="004736CF"/>
    <w:rsid w:val="00486698"/>
    <w:rsid w:val="004875BD"/>
    <w:rsid w:val="004949E4"/>
    <w:rsid w:val="004A1005"/>
    <w:rsid w:val="004A2B9D"/>
    <w:rsid w:val="004A64A1"/>
    <w:rsid w:val="004B1799"/>
    <w:rsid w:val="004B2032"/>
    <w:rsid w:val="004F7066"/>
    <w:rsid w:val="00501594"/>
    <w:rsid w:val="00503C64"/>
    <w:rsid w:val="0053166C"/>
    <w:rsid w:val="005358CF"/>
    <w:rsid w:val="00553C18"/>
    <w:rsid w:val="0057171C"/>
    <w:rsid w:val="005A7A03"/>
    <w:rsid w:val="005D1E61"/>
    <w:rsid w:val="005F00D3"/>
    <w:rsid w:val="005F4112"/>
    <w:rsid w:val="005F5D7B"/>
    <w:rsid w:val="005F6DC4"/>
    <w:rsid w:val="006006A9"/>
    <w:rsid w:val="006079A1"/>
    <w:rsid w:val="00641839"/>
    <w:rsid w:val="00641D5F"/>
    <w:rsid w:val="00647BB0"/>
    <w:rsid w:val="00665C42"/>
    <w:rsid w:val="00670DB3"/>
    <w:rsid w:val="00697D1E"/>
    <w:rsid w:val="00697EFD"/>
    <w:rsid w:val="006A10CB"/>
    <w:rsid w:val="006A64A0"/>
    <w:rsid w:val="006B286C"/>
    <w:rsid w:val="006C7F46"/>
    <w:rsid w:val="007005DE"/>
    <w:rsid w:val="00702125"/>
    <w:rsid w:val="0071144C"/>
    <w:rsid w:val="0071586F"/>
    <w:rsid w:val="00716D09"/>
    <w:rsid w:val="00723B60"/>
    <w:rsid w:val="0073704E"/>
    <w:rsid w:val="00756975"/>
    <w:rsid w:val="00761069"/>
    <w:rsid w:val="007746FB"/>
    <w:rsid w:val="007818EB"/>
    <w:rsid w:val="00785B04"/>
    <w:rsid w:val="007872A5"/>
    <w:rsid w:val="007B16B2"/>
    <w:rsid w:val="007C5DD5"/>
    <w:rsid w:val="007C6E33"/>
    <w:rsid w:val="007D2737"/>
    <w:rsid w:val="00826334"/>
    <w:rsid w:val="00844682"/>
    <w:rsid w:val="008536E4"/>
    <w:rsid w:val="00863C70"/>
    <w:rsid w:val="008642B2"/>
    <w:rsid w:val="008C2403"/>
    <w:rsid w:val="008C497B"/>
    <w:rsid w:val="008D7B58"/>
    <w:rsid w:val="008E2AA0"/>
    <w:rsid w:val="0090128C"/>
    <w:rsid w:val="00933074"/>
    <w:rsid w:val="0093311C"/>
    <w:rsid w:val="009565BE"/>
    <w:rsid w:val="0097678E"/>
    <w:rsid w:val="009B1CF7"/>
    <w:rsid w:val="009B6F51"/>
    <w:rsid w:val="009C1F99"/>
    <w:rsid w:val="009C7EEB"/>
    <w:rsid w:val="009D0CBD"/>
    <w:rsid w:val="009D4C50"/>
    <w:rsid w:val="009E6451"/>
    <w:rsid w:val="009E7DE9"/>
    <w:rsid w:val="009F1D83"/>
    <w:rsid w:val="009F5D88"/>
    <w:rsid w:val="00A00EEC"/>
    <w:rsid w:val="00A054C8"/>
    <w:rsid w:val="00A10683"/>
    <w:rsid w:val="00A1666C"/>
    <w:rsid w:val="00A205BC"/>
    <w:rsid w:val="00A2228C"/>
    <w:rsid w:val="00A62AEB"/>
    <w:rsid w:val="00A63668"/>
    <w:rsid w:val="00A64689"/>
    <w:rsid w:val="00A67E26"/>
    <w:rsid w:val="00A746C1"/>
    <w:rsid w:val="00AD2653"/>
    <w:rsid w:val="00AD7790"/>
    <w:rsid w:val="00B22A02"/>
    <w:rsid w:val="00B84169"/>
    <w:rsid w:val="00B927D9"/>
    <w:rsid w:val="00BB0586"/>
    <w:rsid w:val="00C104B9"/>
    <w:rsid w:val="00C2533E"/>
    <w:rsid w:val="00C259D3"/>
    <w:rsid w:val="00C26154"/>
    <w:rsid w:val="00C409E6"/>
    <w:rsid w:val="00C7282A"/>
    <w:rsid w:val="00C85724"/>
    <w:rsid w:val="00C94B10"/>
    <w:rsid w:val="00CB6586"/>
    <w:rsid w:val="00D0529D"/>
    <w:rsid w:val="00D26A27"/>
    <w:rsid w:val="00D42918"/>
    <w:rsid w:val="00D456AC"/>
    <w:rsid w:val="00D62128"/>
    <w:rsid w:val="00D64084"/>
    <w:rsid w:val="00D73402"/>
    <w:rsid w:val="00D7399F"/>
    <w:rsid w:val="00D86622"/>
    <w:rsid w:val="00DA0A46"/>
    <w:rsid w:val="00DA0E57"/>
    <w:rsid w:val="00DA25AA"/>
    <w:rsid w:val="00DB171B"/>
    <w:rsid w:val="00DE3872"/>
    <w:rsid w:val="00E000B7"/>
    <w:rsid w:val="00E0155D"/>
    <w:rsid w:val="00E12A42"/>
    <w:rsid w:val="00E5350E"/>
    <w:rsid w:val="00E56787"/>
    <w:rsid w:val="00E7247E"/>
    <w:rsid w:val="00E80722"/>
    <w:rsid w:val="00E87040"/>
    <w:rsid w:val="00EB5A6E"/>
    <w:rsid w:val="00F05D99"/>
    <w:rsid w:val="00F15B87"/>
    <w:rsid w:val="00F17B34"/>
    <w:rsid w:val="00F248CF"/>
    <w:rsid w:val="00F24D9D"/>
    <w:rsid w:val="00F460C6"/>
    <w:rsid w:val="00F54432"/>
    <w:rsid w:val="00F6570F"/>
    <w:rsid w:val="00F66113"/>
    <w:rsid w:val="00F67F5C"/>
    <w:rsid w:val="00F90F44"/>
    <w:rsid w:val="00FD45CF"/>
    <w:rsid w:val="00FF46D0"/>
    <w:rsid w:val="103A04BC"/>
    <w:rsid w:val="10F1501F"/>
    <w:rsid w:val="118063A3"/>
    <w:rsid w:val="17971B6E"/>
    <w:rsid w:val="1C4E77C9"/>
    <w:rsid w:val="1CA26D17"/>
    <w:rsid w:val="1DEC729A"/>
    <w:rsid w:val="21322C42"/>
    <w:rsid w:val="22941CAE"/>
    <w:rsid w:val="232A43C0"/>
    <w:rsid w:val="23445482"/>
    <w:rsid w:val="23825FAA"/>
    <w:rsid w:val="24A87C93"/>
    <w:rsid w:val="24C83E91"/>
    <w:rsid w:val="25150E9E"/>
    <w:rsid w:val="2B5A3EBA"/>
    <w:rsid w:val="2FBE6AE0"/>
    <w:rsid w:val="32EB76C8"/>
    <w:rsid w:val="3A281202"/>
    <w:rsid w:val="3C0337A5"/>
    <w:rsid w:val="3F182904"/>
    <w:rsid w:val="40640ABA"/>
    <w:rsid w:val="40970E8F"/>
    <w:rsid w:val="443D3AFC"/>
    <w:rsid w:val="45DB35CC"/>
    <w:rsid w:val="49FF517B"/>
    <w:rsid w:val="4D3718C5"/>
    <w:rsid w:val="4EA27BDF"/>
    <w:rsid w:val="504A1A7A"/>
    <w:rsid w:val="53A5521A"/>
    <w:rsid w:val="53CE4770"/>
    <w:rsid w:val="58C46E3D"/>
    <w:rsid w:val="5A080108"/>
    <w:rsid w:val="5AB92961"/>
    <w:rsid w:val="5F9A7BFD"/>
    <w:rsid w:val="634405AB"/>
    <w:rsid w:val="63E92F01"/>
    <w:rsid w:val="675C41EF"/>
    <w:rsid w:val="6AD86852"/>
    <w:rsid w:val="71B72225"/>
    <w:rsid w:val="76944F4E"/>
    <w:rsid w:val="77440722"/>
    <w:rsid w:val="79032705"/>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560" w:lineRule="exact"/>
      <w:ind w:left="180" w:right="-242" w:firstLine="538" w:firstLineChars="192"/>
    </w:pPr>
    <w:rPr>
      <w:rFonts w:ascii="宋体" w:hAnsi="宋体"/>
      <w:sz w:val="28"/>
      <w:szCs w:val="20"/>
    </w:rPr>
  </w:style>
  <w:style w:type="paragraph" w:styleId="3">
    <w:name w:val="footer"/>
    <w:basedOn w:val="1"/>
    <w:link w:val="8"/>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11092</Words>
  <Characters>11661</Characters>
  <Lines>85</Lines>
  <Paragraphs>23</Paragraphs>
  <TotalTime>22</TotalTime>
  <ScaleCrop>false</ScaleCrop>
  <LinksUpToDate>false</LinksUpToDate>
  <CharactersWithSpaces>11661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2019-03-20T09:35:00Z</dcterms:created>
  <dc:creator>dell</dc:creator>
  <cp:lastModifiedBy>GXC-2022</cp:lastModifiedBy>
  <dcterms:modified xsi:type="dcterms:W3CDTF">2023-03-23T03:51:28Z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09EACFDDA52442A5AB4D8BCDEAAB3E71</vt:lpwstr>
  </property>
</Properties>
</file>