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宋体" w:cs="黑体" w:asciiTheme="minorHAnsi" w:hAnsiTheme="minorHAnsi"/>
          <w:b/>
          <w:sz w:val="36"/>
          <w:szCs w:val="32"/>
          <w:highlight w:val="none"/>
          <w:lang w:val="en-US" w:eastAsia="zh-CN"/>
        </w:rPr>
      </w:pPr>
      <w:r>
        <w:rPr>
          <w:rFonts w:hint="eastAsia" w:cs="黑体" w:asciiTheme="minorHAnsi" w:hAnsiTheme="minorHAnsi"/>
          <w:b/>
          <w:sz w:val="36"/>
          <w:szCs w:val="32"/>
          <w:highlight w:val="none"/>
          <w:lang w:val="en-US" w:eastAsia="zh-CN"/>
        </w:rPr>
        <w:t xml:space="preserve"> </w:t>
      </w:r>
    </w:p>
    <w:p>
      <w:pPr>
        <w:keepNext/>
        <w:keepLines w:val="0"/>
        <w:pageBreakBefore w:val="0"/>
        <w:widowControl w:val="0"/>
        <w:kinsoku/>
        <w:wordWrap w:val="0"/>
        <w:overflowPunct/>
        <w:topLinePunct w:val="0"/>
        <w:autoSpaceDE/>
        <w:autoSpaceDN/>
        <w:bidi w:val="0"/>
        <w:snapToGrid w:val="0"/>
        <w:spacing w:line="540" w:lineRule="exact"/>
        <w:jc w:val="center"/>
        <w:textAlignment w:val="auto"/>
        <w:rPr>
          <w:rFonts w:hint="eastAsia" w:ascii="方正小标宋_GBK" w:hAnsi="方正小标宋_GBK" w:eastAsia="方正小标宋_GBK" w:cs="方正小标宋_GBK"/>
          <w:b/>
          <w:bCs/>
          <w:sz w:val="36"/>
          <w:szCs w:val="36"/>
          <w:highlight w:val="none"/>
          <w:lang w:val="en-US" w:eastAsia="zh-CN"/>
        </w:rPr>
      </w:pPr>
      <w:r>
        <w:rPr>
          <w:rFonts w:hint="eastAsia" w:ascii="方正小标宋_GBK" w:hAnsi="方正小标宋_GBK" w:eastAsia="方正小标宋_GBK" w:cs="方正小标宋_GBK"/>
          <w:b/>
          <w:bCs/>
          <w:sz w:val="36"/>
          <w:szCs w:val="36"/>
          <w:highlight w:val="none"/>
          <w:lang w:val="en-US" w:eastAsia="zh-CN"/>
        </w:rPr>
        <w:t>2024年河北省职业院校技能大赛</w:t>
      </w:r>
    </w:p>
    <w:p>
      <w:pPr>
        <w:keepNext/>
        <w:keepLines w:val="0"/>
        <w:pageBreakBefore w:val="0"/>
        <w:widowControl w:val="0"/>
        <w:kinsoku/>
        <w:wordWrap w:val="0"/>
        <w:overflowPunct/>
        <w:topLinePunct w:val="0"/>
        <w:autoSpaceDE/>
        <w:autoSpaceDN/>
        <w:bidi w:val="0"/>
        <w:snapToGrid w:val="0"/>
        <w:spacing w:line="540" w:lineRule="exact"/>
        <w:jc w:val="center"/>
        <w:textAlignment w:val="auto"/>
        <w:rPr>
          <w:rFonts w:hint="eastAsia" w:ascii="方正小标宋_GBK" w:hAnsi="方正小标宋_GBK" w:eastAsia="方正小标宋_GBK" w:cs="方正小标宋_GBK"/>
          <w:b/>
          <w:bCs/>
          <w:sz w:val="36"/>
          <w:szCs w:val="36"/>
          <w:highlight w:val="yellow"/>
          <w:lang w:val="ru-RU"/>
        </w:rPr>
      </w:pPr>
      <w:r>
        <w:rPr>
          <w:rFonts w:hint="eastAsia" w:ascii="方正小标宋_GBK" w:hAnsi="方正小标宋_GBK" w:eastAsia="方正小标宋_GBK" w:cs="方正小标宋_GBK"/>
          <w:b/>
          <w:bCs/>
          <w:sz w:val="36"/>
          <w:szCs w:val="36"/>
          <w:highlight w:val="none"/>
          <w:lang w:val="en-US" w:eastAsia="zh-CN"/>
        </w:rPr>
        <w:t>高职组“区块链技术应用”赛项规程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00" w:lineRule="exact"/>
        <w:textAlignment w:val="auto"/>
        <w:outlineLvl w:val="0"/>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赛项名称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赛项名称：</w:t>
      </w:r>
      <w:r>
        <w:rPr>
          <w:rFonts w:hint="eastAsia" w:ascii="仿宋" w:hAnsi="仿宋" w:eastAsia="仿宋" w:cs="仿宋"/>
          <w:sz w:val="24"/>
          <w:szCs w:val="24"/>
          <w:highlight w:val="none"/>
          <w:lang w:val="en-US" w:eastAsia="zh-CN"/>
        </w:rPr>
        <w:t>区块链技术应用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赛项组别：高职组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赛项归属</w:t>
      </w:r>
      <w:r>
        <w:rPr>
          <w:rFonts w:hint="eastAsia" w:ascii="仿宋" w:hAnsi="仿宋" w:eastAsia="仿宋" w:cs="仿宋"/>
          <w:sz w:val="24"/>
          <w:szCs w:val="24"/>
          <w:highlight w:val="none"/>
          <w:lang w:val="en-US" w:eastAsia="zh-CN"/>
        </w:rPr>
        <w:t>专业大类</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电子与信息大类</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outlineLvl w:val="0"/>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二、竞赛目的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党的二十大提出了“强化国家战略科技力量、坚决打赢关键核心技术攻坚战”战略部署，国家“十四五”规划提出了“加快推动数字产业化”要求。区块链作为新兴数字产业，在产品溯源、数据流通、供应链管理等领域具有广泛的应用前景，在推动国家经济体系实现技术变革、重构数字产业体系中发挥了重要作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区块链技术应用赛项围绕区块链技术在产业应用中的工作岗位技能要求而设计，赛项内容覆盖区块链产业主流的技术方向。通过大赛培养参赛选手在企业真实项目环境下进行区块链平台框架搭建、区块链产品需求分析与方案设计、区块链系统部署、区块链系统运维与监测、智能合约开发、区块链应用软件前端与后端开发、区块链系统测试及调优等方面的能力，形成良好的职业素养，全面提升学生自主解决综合问题的能力，达到“以赛促教、以赛促学、以赛促改、赛课融通、赛训结合”目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通过赛项的设置，加强职业院校与区块链产业的衔接，引导院校与企业共同开发区块链课程和资源，促进教师开展区块链关键应用技术研究，推进区块链技术技能人才培养，实现产业链、创新链与教育链协同创新，促进产教融合和科教融汇，服务国家“网络强国、数字中国”战略。</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outlineLvl w:val="0"/>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rPr>
        <w:t>三、竞赛内容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区块链技术应用赛项根据《全国职业院校技能大赛执行规划（2023—2027年）》，结合高职区块链技术应用专业简介，针对区块链新兴数字产业所需的技术技能，面向区块链应用开发、智能合约开发、区块链测试、区块链运维、区块链运营等岗位，区块链应用设计与开发、区块链平台部署与运维、智能合约开发与测试、区块链应用软件开发等典型工作任务，基于企业实际项目，要求选手在规定时间内完成指定任务的区块链应用开发。赛项主要考查选手对区块链系统应用需求分析与方案设计，区块链应用及智能合约设计与开发，区块链系统测试设计、执行与分析，区块链系统部署、维护和监控，基于区块链系统的应用软件前端与后端开发等专业核心能力及职业素养，全面检验学生在区块链技术应用的工程实践能力和创新能力，展现高职区块链人才培养成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竞赛时间6小时，竞赛连续进行。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竞赛内容构成如下：</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71"/>
        <w:gridCol w:w="1949"/>
        <w:gridCol w:w="5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trPr>
        <w:tc>
          <w:tcPr>
            <w:tcW w:w="1905" w:type="pct"/>
            <w:gridSpan w:val="2"/>
            <w:noWrap w:val="0"/>
            <w:tcMar>
              <w:top w:w="0" w:type="dxa"/>
              <w:left w:w="86" w:type="dxa"/>
              <w:bottom w:w="0" w:type="dxa"/>
              <w:right w:w="86" w:type="dxa"/>
            </w:tcMar>
            <w:vAlign w:val="center"/>
          </w:tcPr>
          <w:p>
            <w:pPr>
              <w:pStyle w:val="10"/>
              <w:widowControl/>
              <w:jc w:val="center"/>
              <w:rPr>
                <w:rFonts w:hint="eastAsia" w:ascii="仿宋_GB2312" w:hAnsi="宋体" w:eastAsia="仿宋_GB2312" w:cs="Times New Roman"/>
                <w:b/>
                <w:bCs/>
                <w:sz w:val="24"/>
                <w:szCs w:val="24"/>
                <w:highlight w:val="none"/>
                <w:lang w:val="en-US" w:eastAsia="zh-CN" w:bidi="ar-SA"/>
              </w:rPr>
            </w:pPr>
            <w:r>
              <w:rPr>
                <w:rFonts w:hint="eastAsia" w:ascii="仿宋" w:hAnsi="仿宋" w:eastAsia="仿宋" w:cs="仿宋"/>
                <w:b/>
                <w:bCs/>
                <w:sz w:val="24"/>
                <w:szCs w:val="24"/>
                <w:highlight w:val="none"/>
                <w:lang w:val="en-US" w:eastAsia="zh-CN" w:bidi="ar-SA"/>
              </w:rPr>
              <w:t>模块</w:t>
            </w:r>
          </w:p>
        </w:tc>
        <w:tc>
          <w:tcPr>
            <w:tcW w:w="3094" w:type="pct"/>
            <w:noWrap w:val="0"/>
            <w:tcMar>
              <w:top w:w="0" w:type="dxa"/>
              <w:left w:w="86" w:type="dxa"/>
              <w:bottom w:w="0" w:type="dxa"/>
              <w:right w:w="86" w:type="dxa"/>
            </w:tcMar>
            <w:vAlign w:val="center"/>
          </w:tcPr>
          <w:p>
            <w:pPr>
              <w:pStyle w:val="10"/>
              <w:widowControl/>
              <w:jc w:val="center"/>
              <w:rPr>
                <w:rFonts w:hint="eastAsia" w:ascii="仿宋_GB2312" w:hAnsi="宋体" w:eastAsia="仿宋_GB2312" w:cs="Times New Roman"/>
                <w:b/>
                <w:bCs/>
                <w:sz w:val="24"/>
                <w:szCs w:val="24"/>
                <w:highlight w:val="none"/>
                <w:lang w:val="en-US" w:eastAsia="zh-CN" w:bidi="ar-SA"/>
              </w:rPr>
            </w:pPr>
            <w:r>
              <w:rPr>
                <w:rFonts w:hint="eastAsia" w:ascii="仿宋" w:hAnsi="仿宋" w:eastAsia="仿宋" w:cs="仿宋"/>
                <w:b/>
                <w:bCs/>
                <w:sz w:val="24"/>
                <w:szCs w:val="24"/>
                <w:highlight w:val="none"/>
                <w:lang w:val="en-US" w:eastAsia="zh-CN" w:bidi="ar-SA"/>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 w:type="pct"/>
            <w:noWrap w:val="0"/>
            <w:tcMar>
              <w:top w:w="0" w:type="dxa"/>
              <w:left w:w="86" w:type="dxa"/>
              <w:bottom w:w="0" w:type="dxa"/>
              <w:right w:w="86" w:type="dxa"/>
            </w:tcMar>
            <w:vAlign w:val="center"/>
          </w:tcPr>
          <w:p>
            <w:pPr>
              <w:pStyle w:val="10"/>
              <w:widowControl/>
              <w:spacing w:line="400" w:lineRule="exact"/>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模块一</w:t>
            </w:r>
          </w:p>
        </w:tc>
        <w:tc>
          <w:tcPr>
            <w:tcW w:w="1949" w:type="dxa"/>
            <w:noWrap w:val="0"/>
            <w:tcMar>
              <w:top w:w="0" w:type="dxa"/>
              <w:left w:w="86" w:type="dxa"/>
              <w:bottom w:w="0" w:type="dxa"/>
              <w:right w:w="86" w:type="dxa"/>
            </w:tcMar>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leftChars="0"/>
              <w:jc w:val="center"/>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区块链产品方案设计与系统运维</w:t>
            </w:r>
          </w:p>
        </w:tc>
        <w:tc>
          <w:tcPr>
            <w:tcW w:w="5717" w:type="dxa"/>
            <w:noWrap w:val="0"/>
            <w:tcMar>
              <w:top w:w="0" w:type="dxa"/>
              <w:left w:w="86" w:type="dxa"/>
              <w:bottom w:w="0" w:type="dxa"/>
              <w:right w:w="86" w:type="dxa"/>
            </w:tcMar>
            <w:vAlign w:val="top"/>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leftChars="0"/>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根据项目背景描述完成区块链产品的需求分析与方案设计，在Linux环境下完成区块链系统的部署、运维及测试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 w:type="pct"/>
            <w:noWrap w:val="0"/>
            <w:tcMar>
              <w:top w:w="0" w:type="dxa"/>
              <w:left w:w="86" w:type="dxa"/>
              <w:bottom w:w="0" w:type="dxa"/>
              <w:right w:w="86" w:type="dxa"/>
            </w:tcMar>
            <w:vAlign w:val="center"/>
          </w:tcPr>
          <w:p>
            <w:pPr>
              <w:pStyle w:val="10"/>
              <w:widowControl/>
              <w:spacing w:line="400" w:lineRule="exact"/>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模块二</w:t>
            </w:r>
          </w:p>
        </w:tc>
        <w:tc>
          <w:tcPr>
            <w:tcW w:w="1949" w:type="dxa"/>
            <w:noWrap w:val="0"/>
            <w:tcMar>
              <w:top w:w="0" w:type="dxa"/>
              <w:left w:w="86" w:type="dxa"/>
              <w:bottom w:w="0" w:type="dxa"/>
              <w:right w:w="86" w:type="dxa"/>
            </w:tcMar>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智能合约开</w:t>
            </w:r>
          </w:p>
          <w:p>
            <w:pPr>
              <w:pStyle w:val="27"/>
              <w:keepNext/>
              <w:keepLines w:val="0"/>
              <w:pageBreakBefore w:val="0"/>
              <w:widowControl w:val="0"/>
              <w:kinsoku/>
              <w:wordWrap w:val="0"/>
              <w:overflowPunct/>
              <w:topLinePunct w:val="0"/>
              <w:autoSpaceDE/>
              <w:autoSpaceDN/>
              <w:bidi w:val="0"/>
              <w:adjustRightInd w:val="0"/>
              <w:snapToGrid w:val="0"/>
              <w:spacing w:line="288" w:lineRule="auto"/>
              <w:ind w:left="0" w:leftChars="0"/>
              <w:jc w:val="center"/>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发与测试</w:t>
            </w:r>
          </w:p>
        </w:tc>
        <w:tc>
          <w:tcPr>
            <w:tcW w:w="5717" w:type="dxa"/>
            <w:noWrap w:val="0"/>
            <w:tcMar>
              <w:top w:w="0" w:type="dxa"/>
              <w:left w:w="86" w:type="dxa"/>
              <w:bottom w:w="0" w:type="dxa"/>
              <w:right w:w="86" w:type="dxa"/>
            </w:tcMar>
            <w:vAlign w:val="top"/>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leftChars="0"/>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根据给定的区块链业务需求编写功能需求文档和智能合约设计文档；使用Solidity编程语言开发智能合约，设计符合需求的合约接口，完成合约功能的开发，对智能合约进行编译、部署和调用；进行智能合约测试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 w:type="pct"/>
            <w:noWrap w:val="0"/>
            <w:tcMar>
              <w:top w:w="0" w:type="dxa"/>
              <w:left w:w="86" w:type="dxa"/>
              <w:bottom w:w="0" w:type="dxa"/>
              <w:right w:w="86" w:type="dxa"/>
            </w:tcMar>
            <w:vAlign w:val="center"/>
          </w:tcPr>
          <w:p>
            <w:pPr>
              <w:pStyle w:val="10"/>
              <w:widowControl/>
              <w:spacing w:line="400" w:lineRule="exact"/>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模块三</w:t>
            </w:r>
          </w:p>
        </w:tc>
        <w:tc>
          <w:tcPr>
            <w:tcW w:w="1949" w:type="dxa"/>
            <w:noWrap w:val="0"/>
            <w:tcMar>
              <w:top w:w="0" w:type="dxa"/>
              <w:left w:w="86" w:type="dxa"/>
              <w:bottom w:w="0" w:type="dxa"/>
              <w:right w:w="86" w:type="dxa"/>
            </w:tcMar>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leftChars="0"/>
              <w:jc w:val="center"/>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区块链应用系统开发</w:t>
            </w:r>
          </w:p>
        </w:tc>
        <w:tc>
          <w:tcPr>
            <w:tcW w:w="5717" w:type="dxa"/>
            <w:noWrap w:val="0"/>
            <w:tcMar>
              <w:top w:w="0" w:type="dxa"/>
              <w:left w:w="86" w:type="dxa"/>
              <w:bottom w:w="0" w:type="dxa"/>
              <w:right w:w="86" w:type="dxa"/>
            </w:tcMar>
            <w:vAlign w:val="top"/>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leftChars="0"/>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利用前端开发语言及框架完成页面逻辑设计和展示；利用Java等后端开发语言及框架，实现应用程序接口，完善区块链应用系统，调用智能合约实现链上信息的查询和结果展示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4" w:hRule="atLeast"/>
        </w:trPr>
        <w:tc>
          <w:tcPr>
            <w:tcW w:w="1905" w:type="pct"/>
            <w:gridSpan w:val="2"/>
            <w:noWrap w:val="0"/>
            <w:tcMar>
              <w:top w:w="0" w:type="dxa"/>
              <w:left w:w="86" w:type="dxa"/>
              <w:bottom w:w="0" w:type="dxa"/>
              <w:right w:w="86" w:type="dxa"/>
            </w:tcMar>
            <w:vAlign w:val="center"/>
          </w:tcPr>
          <w:p>
            <w:pPr>
              <w:pStyle w:val="10"/>
              <w:widowControl/>
              <w:spacing w:line="400" w:lineRule="exact"/>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职业素养</w:t>
            </w:r>
          </w:p>
        </w:tc>
        <w:tc>
          <w:tcPr>
            <w:tcW w:w="3094" w:type="pct"/>
            <w:noWrap w:val="0"/>
            <w:tcMar>
              <w:top w:w="0" w:type="dxa"/>
              <w:left w:w="86" w:type="dxa"/>
              <w:bottom w:w="0" w:type="dxa"/>
              <w:right w:w="86" w:type="dxa"/>
            </w:tcMar>
            <w:vAlign w:val="center"/>
          </w:tcPr>
          <w:p>
            <w:pPr>
              <w:pStyle w:val="10"/>
              <w:widowControl/>
              <w:spacing w:line="400" w:lineRule="exact"/>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团队分工合理、操作规范、文明竞赛</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bookmarkStart w:id="7" w:name="_GoBack"/>
      <w:bookmarkEnd w:id="7"/>
      <w:r>
        <w:rPr>
          <w:rFonts w:hint="eastAsia" w:ascii="仿宋" w:hAnsi="仿宋" w:eastAsia="仿宋" w:cs="仿宋"/>
          <w:sz w:val="24"/>
          <w:szCs w:val="24"/>
          <w:highlight w:val="none"/>
          <w:lang w:val="en-US" w:eastAsia="zh-CN"/>
        </w:rPr>
        <w:t>竞赛各阶段分值权重和时间分布如下：</w:t>
      </w:r>
    </w:p>
    <w:tbl>
      <w:tblPr>
        <w:tblStyle w:val="11"/>
        <w:tblW w:w="4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13"/>
        <w:gridCol w:w="2922"/>
        <w:gridCol w:w="233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2592" w:type="pct"/>
            <w:gridSpan w:val="2"/>
            <w:noWrap w:val="0"/>
            <w:tcMar>
              <w:top w:w="0" w:type="dxa"/>
              <w:left w:w="86" w:type="dxa"/>
              <w:bottom w:w="0" w:type="dxa"/>
              <w:right w:w="86" w:type="dxa"/>
            </w:tcMar>
            <w:vAlign w:val="center"/>
          </w:tcPr>
          <w:p>
            <w:pPr>
              <w:pStyle w:val="10"/>
              <w:widowControl/>
              <w:jc w:val="center"/>
              <w:rPr>
                <w:highlight w:val="none"/>
              </w:rPr>
            </w:pPr>
            <w:r>
              <w:rPr>
                <w:rFonts w:hint="eastAsia" w:ascii="仿宋_GB2312" w:eastAsia="仿宋_GB2312" w:cs="仿宋_GB2312"/>
                <w:b/>
                <w:bCs/>
                <w:color w:val="000000"/>
                <w:highlight w:val="none"/>
              </w:rPr>
              <w:t>模块</w:t>
            </w:r>
          </w:p>
        </w:tc>
        <w:tc>
          <w:tcPr>
            <w:tcW w:w="1500" w:type="pct"/>
            <w:noWrap w:val="0"/>
            <w:tcMar>
              <w:top w:w="0" w:type="dxa"/>
              <w:left w:w="86" w:type="dxa"/>
              <w:bottom w:w="0" w:type="dxa"/>
              <w:right w:w="86" w:type="dxa"/>
            </w:tcMar>
            <w:vAlign w:val="center"/>
          </w:tcPr>
          <w:p>
            <w:pPr>
              <w:pStyle w:val="10"/>
              <w:widowControl/>
              <w:jc w:val="center"/>
              <w:rPr>
                <w:rFonts w:ascii="仿宋_GB2312" w:eastAsia="仿宋_GB2312" w:cs="仿宋_GB2312"/>
                <w:b/>
                <w:bCs/>
                <w:color w:val="000000"/>
                <w:highlight w:val="none"/>
              </w:rPr>
            </w:pPr>
            <w:r>
              <w:rPr>
                <w:rFonts w:hint="eastAsia" w:ascii="仿宋_GB2312" w:eastAsia="仿宋_GB2312" w:cs="仿宋_GB2312"/>
                <w:b/>
                <w:bCs/>
                <w:color w:val="000000"/>
                <w:highlight w:val="none"/>
              </w:rPr>
              <w:t>比赛</w:t>
            </w:r>
          </w:p>
          <w:p>
            <w:pPr>
              <w:pStyle w:val="10"/>
              <w:widowControl/>
              <w:jc w:val="center"/>
              <w:rPr>
                <w:highlight w:val="none"/>
              </w:rPr>
            </w:pPr>
            <w:r>
              <w:rPr>
                <w:rFonts w:hint="eastAsia" w:ascii="仿宋_GB2312" w:eastAsia="仿宋_GB2312" w:cs="仿宋_GB2312"/>
                <w:b/>
                <w:bCs/>
                <w:color w:val="000000"/>
                <w:highlight w:val="none"/>
              </w:rPr>
              <w:t>时长</w:t>
            </w:r>
          </w:p>
        </w:tc>
        <w:tc>
          <w:tcPr>
            <w:tcW w:w="906" w:type="pct"/>
            <w:noWrap w:val="0"/>
            <w:tcMar>
              <w:top w:w="0" w:type="dxa"/>
              <w:left w:w="86" w:type="dxa"/>
              <w:bottom w:w="0" w:type="dxa"/>
              <w:right w:w="86" w:type="dxa"/>
            </w:tcMar>
            <w:vAlign w:val="center"/>
          </w:tcPr>
          <w:p>
            <w:pPr>
              <w:pStyle w:val="10"/>
              <w:widowControl/>
              <w:jc w:val="center"/>
              <w:rPr>
                <w:highlight w:val="none"/>
              </w:rPr>
            </w:pPr>
            <w:r>
              <w:rPr>
                <w:rFonts w:hint="eastAsia" w:ascii="仿宋_GB2312" w:eastAsia="仿宋_GB2312" w:cs="仿宋_GB2312"/>
                <w:b/>
                <w:bCs/>
                <w:color w:val="00000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15" w:type="pct"/>
            <w:noWrap w:val="0"/>
            <w:tcMar>
              <w:top w:w="0" w:type="dxa"/>
              <w:left w:w="86" w:type="dxa"/>
              <w:bottom w:w="0" w:type="dxa"/>
              <w:right w:w="86" w:type="dxa"/>
            </w:tcMar>
            <w:vAlign w:val="center"/>
          </w:tcPr>
          <w:p>
            <w:pPr>
              <w:pStyle w:val="10"/>
              <w:widowControl/>
              <w:spacing w:line="400" w:lineRule="exact"/>
              <w:jc w:val="center"/>
              <w:rPr>
                <w:highlight w:val="none"/>
              </w:rPr>
            </w:pPr>
            <w:r>
              <w:rPr>
                <w:rFonts w:hint="eastAsia" w:ascii="仿宋_GB2312" w:eastAsia="仿宋_GB2312" w:cs="仿宋_GB2312"/>
                <w:color w:val="000000"/>
                <w:highlight w:val="none"/>
              </w:rPr>
              <w:t>模块一</w:t>
            </w:r>
          </w:p>
        </w:tc>
        <w:tc>
          <w:tcPr>
            <w:tcW w:w="1877" w:type="pct"/>
            <w:noWrap w:val="0"/>
            <w:tcMar>
              <w:top w:w="0" w:type="dxa"/>
              <w:left w:w="86" w:type="dxa"/>
              <w:bottom w:w="0" w:type="dxa"/>
              <w:right w:w="86" w:type="dxa"/>
            </w:tcMar>
            <w:vAlign w:val="center"/>
          </w:tcPr>
          <w:p>
            <w:pPr>
              <w:pStyle w:val="10"/>
              <w:widowControl/>
              <w:spacing w:line="400" w:lineRule="exact"/>
              <w:jc w:val="center"/>
              <w:rPr>
                <w:highlight w:val="none"/>
              </w:rPr>
            </w:pPr>
            <w:r>
              <w:rPr>
                <w:rFonts w:hint="eastAsia" w:ascii="仿宋_GB2312" w:eastAsia="仿宋_GB2312" w:cs="仿宋_GB2312"/>
                <w:color w:val="000000"/>
                <w:highlight w:val="none"/>
              </w:rPr>
              <w:t>区块链产品方案设计与系统运维</w:t>
            </w:r>
          </w:p>
        </w:tc>
        <w:tc>
          <w:tcPr>
            <w:tcW w:w="1500" w:type="pct"/>
            <w:noWrap w:val="0"/>
            <w:tcMar>
              <w:top w:w="0" w:type="dxa"/>
              <w:left w:w="86" w:type="dxa"/>
              <w:bottom w:w="0" w:type="dxa"/>
              <w:right w:w="86" w:type="dxa"/>
            </w:tcMar>
            <w:vAlign w:val="center"/>
          </w:tcPr>
          <w:p>
            <w:pPr>
              <w:pStyle w:val="10"/>
              <w:widowControl/>
              <w:spacing w:line="360" w:lineRule="auto"/>
              <w:jc w:val="center"/>
              <w:rPr>
                <w:highlight w:val="none"/>
              </w:rPr>
            </w:pPr>
            <w:r>
              <w:rPr>
                <w:rFonts w:hint="eastAsia" w:ascii="仿宋_GB2312" w:eastAsia="仿宋_GB2312" w:cs="仿宋_GB2312"/>
                <w:color w:val="000000"/>
                <w:highlight w:val="none"/>
                <w:lang w:val="en-US" w:eastAsia="zh-CN"/>
              </w:rPr>
              <w:t>2.5</w:t>
            </w:r>
            <w:r>
              <w:rPr>
                <w:rFonts w:hint="eastAsia" w:ascii="仿宋_GB2312" w:eastAsia="仿宋_GB2312" w:cs="仿宋_GB2312"/>
                <w:color w:val="000000"/>
                <w:highlight w:val="none"/>
              </w:rPr>
              <w:t>小时</w:t>
            </w:r>
          </w:p>
        </w:tc>
        <w:tc>
          <w:tcPr>
            <w:tcW w:w="906" w:type="pct"/>
            <w:noWrap w:val="0"/>
            <w:tcMar>
              <w:top w:w="0" w:type="dxa"/>
              <w:left w:w="86" w:type="dxa"/>
              <w:bottom w:w="0" w:type="dxa"/>
              <w:right w:w="86" w:type="dxa"/>
            </w:tcMar>
            <w:vAlign w:val="center"/>
          </w:tcPr>
          <w:p>
            <w:pPr>
              <w:pStyle w:val="10"/>
              <w:widowControl/>
              <w:spacing w:line="360" w:lineRule="auto"/>
              <w:jc w:val="center"/>
              <w:rPr>
                <w:highlight w:val="none"/>
              </w:rPr>
            </w:pPr>
            <w:r>
              <w:rPr>
                <w:rFonts w:hint="eastAsia" w:ascii="仿宋_GB2312" w:eastAsia="仿宋_GB2312" w:cs="仿宋_GB2312"/>
                <w:color w:val="000000"/>
                <w:highlight w:val="none"/>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8" w:hRule="atLeast"/>
          <w:jc w:val="center"/>
        </w:trPr>
        <w:tc>
          <w:tcPr>
            <w:tcW w:w="715" w:type="pct"/>
            <w:noWrap w:val="0"/>
            <w:tcMar>
              <w:top w:w="0" w:type="dxa"/>
              <w:left w:w="86" w:type="dxa"/>
              <w:bottom w:w="0" w:type="dxa"/>
              <w:right w:w="86" w:type="dxa"/>
            </w:tcMar>
            <w:vAlign w:val="center"/>
          </w:tcPr>
          <w:p>
            <w:pPr>
              <w:pStyle w:val="10"/>
              <w:widowControl/>
              <w:spacing w:line="400" w:lineRule="exact"/>
              <w:jc w:val="center"/>
              <w:rPr>
                <w:highlight w:val="none"/>
              </w:rPr>
            </w:pPr>
            <w:r>
              <w:rPr>
                <w:rFonts w:hint="eastAsia" w:ascii="仿宋_GB2312" w:eastAsia="仿宋_GB2312" w:cs="仿宋_GB2312"/>
                <w:color w:val="000000"/>
                <w:highlight w:val="none"/>
              </w:rPr>
              <w:t>模块二</w:t>
            </w:r>
          </w:p>
        </w:tc>
        <w:tc>
          <w:tcPr>
            <w:tcW w:w="1877" w:type="pct"/>
            <w:noWrap w:val="0"/>
            <w:tcMar>
              <w:top w:w="0" w:type="dxa"/>
              <w:left w:w="86" w:type="dxa"/>
              <w:bottom w:w="0" w:type="dxa"/>
              <w:right w:w="86" w:type="dxa"/>
            </w:tcMar>
            <w:vAlign w:val="center"/>
          </w:tcPr>
          <w:p>
            <w:pPr>
              <w:pStyle w:val="10"/>
              <w:widowControl/>
              <w:spacing w:line="400" w:lineRule="exact"/>
              <w:jc w:val="center"/>
              <w:rPr>
                <w:highlight w:val="none"/>
              </w:rPr>
            </w:pPr>
            <w:r>
              <w:rPr>
                <w:rFonts w:hint="eastAsia" w:ascii="仿宋_GB2312" w:eastAsia="仿宋_GB2312" w:cs="仿宋_GB2312"/>
                <w:color w:val="000000"/>
                <w:highlight w:val="none"/>
              </w:rPr>
              <w:t>智能合约开发与测试</w:t>
            </w:r>
          </w:p>
        </w:tc>
        <w:tc>
          <w:tcPr>
            <w:tcW w:w="1500" w:type="pct"/>
            <w:noWrap w:val="0"/>
            <w:tcMar>
              <w:top w:w="0" w:type="dxa"/>
              <w:left w:w="86" w:type="dxa"/>
              <w:bottom w:w="0" w:type="dxa"/>
              <w:right w:w="86" w:type="dxa"/>
            </w:tcMar>
            <w:vAlign w:val="center"/>
          </w:tcPr>
          <w:p>
            <w:pPr>
              <w:widowControl/>
              <w:spacing w:line="360" w:lineRule="auto"/>
              <w:jc w:val="center"/>
              <w:rPr>
                <w:highlight w:val="none"/>
              </w:rPr>
            </w:pPr>
            <w:r>
              <w:rPr>
                <w:rFonts w:hint="eastAsia" w:ascii="仿宋_GB2312" w:eastAsia="仿宋_GB2312" w:cs="仿宋_GB2312"/>
                <w:color w:val="000000"/>
                <w:highlight w:val="none"/>
                <w:lang w:val="en-US" w:eastAsia="zh-CN"/>
              </w:rPr>
              <w:t>1.5</w:t>
            </w:r>
            <w:r>
              <w:rPr>
                <w:rFonts w:hint="eastAsia" w:ascii="仿宋_GB2312" w:eastAsia="仿宋_GB2312" w:cs="仿宋_GB2312"/>
                <w:color w:val="000000"/>
                <w:highlight w:val="none"/>
              </w:rPr>
              <w:t>小时</w:t>
            </w:r>
          </w:p>
        </w:tc>
        <w:tc>
          <w:tcPr>
            <w:tcW w:w="906" w:type="pct"/>
            <w:noWrap w:val="0"/>
            <w:tcMar>
              <w:top w:w="0" w:type="dxa"/>
              <w:left w:w="86" w:type="dxa"/>
              <w:bottom w:w="0" w:type="dxa"/>
              <w:right w:w="86" w:type="dxa"/>
            </w:tcMar>
            <w:vAlign w:val="center"/>
          </w:tcPr>
          <w:p>
            <w:pPr>
              <w:pStyle w:val="10"/>
              <w:widowControl/>
              <w:spacing w:line="360" w:lineRule="auto"/>
              <w:jc w:val="center"/>
              <w:rPr>
                <w:highlight w:val="none"/>
              </w:rPr>
            </w:pPr>
            <w:r>
              <w:rPr>
                <w:rFonts w:hint="eastAsia" w:ascii="仿宋_GB2312" w:eastAsia="仿宋_GB2312" w:cs="仿宋_GB2312"/>
                <w:color w:val="000000"/>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jc w:val="center"/>
        </w:trPr>
        <w:tc>
          <w:tcPr>
            <w:tcW w:w="715" w:type="pct"/>
            <w:noWrap w:val="0"/>
            <w:tcMar>
              <w:top w:w="0" w:type="dxa"/>
              <w:left w:w="86" w:type="dxa"/>
              <w:bottom w:w="0" w:type="dxa"/>
              <w:right w:w="86" w:type="dxa"/>
            </w:tcMar>
            <w:vAlign w:val="center"/>
          </w:tcPr>
          <w:p>
            <w:pPr>
              <w:pStyle w:val="10"/>
              <w:widowControl/>
              <w:spacing w:line="400" w:lineRule="exact"/>
              <w:jc w:val="center"/>
              <w:rPr>
                <w:highlight w:val="none"/>
              </w:rPr>
            </w:pPr>
            <w:r>
              <w:rPr>
                <w:rFonts w:hint="eastAsia" w:ascii="仿宋_GB2312" w:eastAsia="仿宋_GB2312" w:cs="仿宋_GB2312"/>
                <w:color w:val="000000"/>
                <w:highlight w:val="none"/>
              </w:rPr>
              <w:t>模块三</w:t>
            </w:r>
          </w:p>
        </w:tc>
        <w:tc>
          <w:tcPr>
            <w:tcW w:w="1877" w:type="pct"/>
            <w:noWrap w:val="0"/>
            <w:tcMar>
              <w:top w:w="0" w:type="dxa"/>
              <w:left w:w="86" w:type="dxa"/>
              <w:bottom w:w="0" w:type="dxa"/>
              <w:right w:w="86" w:type="dxa"/>
            </w:tcMar>
            <w:vAlign w:val="center"/>
          </w:tcPr>
          <w:p>
            <w:pPr>
              <w:pStyle w:val="10"/>
              <w:widowControl/>
              <w:spacing w:line="400" w:lineRule="exact"/>
              <w:jc w:val="center"/>
              <w:rPr>
                <w:highlight w:val="none"/>
              </w:rPr>
            </w:pPr>
            <w:r>
              <w:rPr>
                <w:rFonts w:hint="eastAsia" w:ascii="仿宋_GB2312" w:eastAsia="仿宋_GB2312" w:cs="仿宋_GB2312"/>
                <w:color w:val="000000"/>
                <w:highlight w:val="none"/>
              </w:rPr>
              <w:t>区块链应用系统开发</w:t>
            </w:r>
          </w:p>
        </w:tc>
        <w:tc>
          <w:tcPr>
            <w:tcW w:w="1500" w:type="pct"/>
            <w:noWrap w:val="0"/>
            <w:tcMar>
              <w:top w:w="0" w:type="dxa"/>
              <w:left w:w="86" w:type="dxa"/>
              <w:bottom w:w="0" w:type="dxa"/>
              <w:right w:w="86" w:type="dxa"/>
            </w:tcMar>
            <w:vAlign w:val="center"/>
          </w:tcPr>
          <w:p>
            <w:pPr>
              <w:widowControl/>
              <w:spacing w:line="360" w:lineRule="auto"/>
              <w:jc w:val="center"/>
              <w:rPr>
                <w:highlight w:val="none"/>
              </w:rPr>
            </w:pPr>
            <w:r>
              <w:rPr>
                <w:rFonts w:hint="eastAsia" w:ascii="仿宋_GB2312" w:eastAsia="仿宋_GB2312" w:cs="仿宋_GB2312"/>
                <w:color w:val="000000"/>
                <w:highlight w:val="none"/>
                <w:lang w:val="en-US" w:eastAsia="zh-CN"/>
              </w:rPr>
              <w:t>2</w:t>
            </w:r>
            <w:r>
              <w:rPr>
                <w:rFonts w:hint="eastAsia" w:ascii="仿宋_GB2312" w:eastAsia="仿宋_GB2312" w:cs="仿宋_GB2312"/>
                <w:color w:val="000000"/>
                <w:highlight w:val="none"/>
              </w:rPr>
              <w:t>小时</w:t>
            </w:r>
          </w:p>
        </w:tc>
        <w:tc>
          <w:tcPr>
            <w:tcW w:w="906" w:type="pct"/>
            <w:noWrap w:val="0"/>
            <w:tcMar>
              <w:top w:w="0" w:type="dxa"/>
              <w:left w:w="86" w:type="dxa"/>
              <w:bottom w:w="0" w:type="dxa"/>
              <w:right w:w="86" w:type="dxa"/>
            </w:tcMar>
            <w:vAlign w:val="center"/>
          </w:tcPr>
          <w:p>
            <w:pPr>
              <w:pStyle w:val="10"/>
              <w:widowControl/>
              <w:spacing w:line="360" w:lineRule="auto"/>
              <w:jc w:val="center"/>
              <w:rPr>
                <w:highlight w:val="none"/>
              </w:rPr>
            </w:pPr>
            <w:r>
              <w:rPr>
                <w:rFonts w:hint="eastAsia" w:ascii="仿宋_GB2312" w:eastAsia="仿宋_GB2312" w:cs="仿宋_GB2312"/>
                <w:color w:val="000000"/>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4" w:hRule="atLeast"/>
          <w:jc w:val="center"/>
        </w:trPr>
        <w:tc>
          <w:tcPr>
            <w:tcW w:w="4093" w:type="pct"/>
            <w:gridSpan w:val="3"/>
            <w:noWrap w:val="0"/>
            <w:tcMar>
              <w:top w:w="0" w:type="dxa"/>
              <w:left w:w="86" w:type="dxa"/>
              <w:bottom w:w="0" w:type="dxa"/>
              <w:right w:w="86" w:type="dxa"/>
            </w:tcMar>
            <w:vAlign w:val="center"/>
          </w:tcPr>
          <w:p>
            <w:pPr>
              <w:widowControl/>
              <w:jc w:val="center"/>
              <w:rPr>
                <w:rFonts w:hint="eastAsia" w:ascii="宋体"/>
                <w:sz w:val="24"/>
                <w:highlight w:val="none"/>
              </w:rPr>
            </w:pPr>
            <w:r>
              <w:rPr>
                <w:rFonts w:hint="eastAsia" w:ascii="仿宋_GB2312" w:eastAsia="仿宋_GB2312" w:cs="仿宋_GB2312"/>
                <w:color w:val="000000"/>
                <w:highlight w:val="none"/>
              </w:rPr>
              <w:t>职业素养</w:t>
            </w:r>
          </w:p>
        </w:tc>
        <w:tc>
          <w:tcPr>
            <w:tcW w:w="906" w:type="pct"/>
            <w:noWrap w:val="0"/>
            <w:tcMar>
              <w:top w:w="0" w:type="dxa"/>
              <w:left w:w="86" w:type="dxa"/>
              <w:bottom w:w="0" w:type="dxa"/>
              <w:right w:w="86" w:type="dxa"/>
            </w:tcMar>
            <w:vAlign w:val="center"/>
          </w:tcPr>
          <w:p>
            <w:pPr>
              <w:pStyle w:val="10"/>
              <w:widowControl/>
              <w:spacing w:line="360" w:lineRule="auto"/>
              <w:jc w:val="center"/>
              <w:rPr>
                <w:highlight w:val="none"/>
              </w:rPr>
            </w:pPr>
            <w:r>
              <w:rPr>
                <w:rFonts w:hint="eastAsia" w:ascii="仿宋_GB2312" w:eastAsia="仿宋_GB2312" w:cs="仿宋_GB2312"/>
                <w:color w:val="000000"/>
                <w:highlight w:val="none"/>
              </w:rPr>
              <w:t>5分</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outlineLvl w:val="0"/>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四、竞赛方式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（一）竞赛形式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线下比赛。</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26" w:leftChars="11" w:firstLine="480" w:firstLineChars="200"/>
        <w:textAlignment w:val="auto"/>
        <w:rPr>
          <w:rFonts w:hint="eastAsia" w:ascii="仿宋" w:hAnsi="仿宋" w:eastAsia="仿宋" w:cs="仿宋"/>
          <w:b w:val="0"/>
          <w:bCs w:val="0"/>
          <w:highlight w:val="none"/>
        </w:rPr>
      </w:pPr>
      <w:r>
        <w:rPr>
          <w:rFonts w:hint="eastAsia" w:ascii="仿宋" w:hAnsi="仿宋" w:eastAsia="仿宋" w:cs="仿宋"/>
          <w:b w:val="0"/>
          <w:bCs w:val="0"/>
          <w:highlight w:val="none"/>
        </w:rPr>
        <w:t>组队方式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竞赛以团体赛方式进行，以院校为单位参赛，每支参赛队由2名选手组成，不得跨校组队，同一学校参赛队不超过2队。参赛队可配指导教师，指导教师须为本校专兼职教师，每队限报2名指导教师，竞赛期间不允许指导教师进入赛场进行现场指导。指导教师负责参赛选手的报名、训练指导、服务和比赛期间参赛选手的日常管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2.参赛选手须为高等职业学校专科、高等职业学校本科全日制在籍学生（以报名时的学籍信息为准）、五年制高职（四、五年级）在籍注册学生。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outlineLvl w:val="0"/>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五、竞赛流程</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根据竞赛任务要求，参赛队伍在6小时竞赛时间内须完成竞赛任务，每项任务用时可自行掌握。</w:t>
      </w:r>
      <w:bookmarkStart w:id="0" w:name="_Toc13745"/>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（一）竞赛时间安排</w:t>
      </w:r>
      <w:bookmarkEnd w:id="0"/>
    </w:p>
    <w:tbl>
      <w:tblPr>
        <w:tblStyle w:val="1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18" w:type="dxa"/>
            <w:shd w:val="clear" w:color="auto" w:fill="auto"/>
            <w:vAlign w:val="center"/>
          </w:tcPr>
          <w:p>
            <w:pPr>
              <w:pStyle w:val="22"/>
              <w:ind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日期</w:t>
            </w:r>
          </w:p>
        </w:tc>
        <w:tc>
          <w:tcPr>
            <w:tcW w:w="1701" w:type="dxa"/>
            <w:shd w:val="clear" w:color="auto" w:fill="auto"/>
            <w:vAlign w:val="center"/>
          </w:tcPr>
          <w:p>
            <w:pPr>
              <w:pStyle w:val="22"/>
              <w:ind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时间</w:t>
            </w:r>
          </w:p>
        </w:tc>
        <w:tc>
          <w:tcPr>
            <w:tcW w:w="5549" w:type="dxa"/>
            <w:shd w:val="clear" w:color="auto" w:fill="auto"/>
            <w:vAlign w:val="center"/>
          </w:tcPr>
          <w:p>
            <w:pPr>
              <w:pStyle w:val="22"/>
              <w:ind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restart"/>
            <w:shd w:val="clear" w:color="auto" w:fill="auto"/>
            <w:vAlign w:val="center"/>
          </w:tcPr>
          <w:p>
            <w:pPr>
              <w:widowControl w:val="0"/>
              <w:jc w:val="center"/>
              <w:rPr>
                <w:rFonts w:hint="default" w:ascii="仿宋_GB2312" w:hAnsi="宋体" w:eastAsia="仿宋_GB2312" w:cs="Calibri"/>
                <w:highlight w:val="none"/>
                <w:lang w:val="en-US" w:eastAsia="zh-CN"/>
              </w:rPr>
            </w:pPr>
            <w:r>
              <w:rPr>
                <w:rFonts w:hint="eastAsia" w:ascii="仿宋_GB2312" w:hAnsi="宋体" w:eastAsia="仿宋_GB2312" w:cs="宋体"/>
                <w:highlight w:val="none"/>
                <w:lang w:val="en-US" w:eastAsia="zh-CN"/>
              </w:rPr>
              <w:t>比赛前一日</w:t>
            </w:r>
          </w:p>
        </w:tc>
        <w:tc>
          <w:tcPr>
            <w:tcW w:w="1701" w:type="dxa"/>
            <w:shd w:val="clear" w:color="auto" w:fill="auto"/>
            <w:vAlign w:val="center"/>
          </w:tcPr>
          <w:p>
            <w:pPr>
              <w:widowControl w:val="0"/>
              <w:jc w:val="center"/>
              <w:rPr>
                <w:rFonts w:ascii="仿宋_GB2312" w:hAnsi="宋体" w:eastAsia="仿宋_GB2312" w:cs="Calibri"/>
                <w:highlight w:val="none"/>
              </w:rPr>
            </w:pPr>
            <w:r>
              <w:rPr>
                <w:rFonts w:hint="eastAsia" w:ascii="仿宋_GB2312" w:hAnsi="宋体" w:eastAsia="仿宋_GB2312" w:cs="Calibri"/>
                <w:highlight w:val="none"/>
              </w:rPr>
              <w:t>14:00-18:00</w:t>
            </w:r>
          </w:p>
        </w:tc>
        <w:tc>
          <w:tcPr>
            <w:tcW w:w="5549" w:type="dxa"/>
            <w:shd w:val="clear" w:color="auto" w:fill="auto"/>
            <w:vAlign w:val="center"/>
          </w:tcPr>
          <w:p>
            <w:pPr>
              <w:widowControl w:val="0"/>
              <w:rPr>
                <w:rFonts w:ascii="仿宋_GB2312" w:hAnsi="宋体" w:eastAsia="仿宋_GB2312" w:cs="Calibri"/>
                <w:highlight w:val="none"/>
              </w:rPr>
            </w:pPr>
            <w:r>
              <w:rPr>
                <w:rFonts w:hint="eastAsia" w:ascii="仿宋_GB2312" w:hAnsi="宋体" w:eastAsia="仿宋_GB2312" w:cs="Calibri"/>
                <w:highlight w:val="none"/>
              </w:rPr>
              <w:t>各参赛队报到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continue"/>
            <w:shd w:val="clear" w:color="auto" w:fill="auto"/>
            <w:vAlign w:val="center"/>
          </w:tcPr>
          <w:p>
            <w:pPr>
              <w:widowControl w:val="0"/>
              <w:jc w:val="center"/>
              <w:rPr>
                <w:rFonts w:ascii="仿宋_GB2312" w:hAnsi="宋体" w:eastAsia="仿宋_GB2312" w:cs="Calibri"/>
                <w:highlight w:val="none"/>
              </w:rPr>
            </w:pPr>
          </w:p>
        </w:tc>
        <w:tc>
          <w:tcPr>
            <w:tcW w:w="1701" w:type="dxa"/>
            <w:shd w:val="clear" w:color="auto" w:fill="auto"/>
            <w:vAlign w:val="center"/>
          </w:tcPr>
          <w:p>
            <w:pPr>
              <w:widowControl w:val="0"/>
              <w:jc w:val="center"/>
              <w:rPr>
                <w:rFonts w:ascii="仿宋_GB2312" w:hAnsi="宋体" w:eastAsia="仿宋_GB2312" w:cs="Calibri"/>
                <w:highlight w:val="none"/>
              </w:rPr>
            </w:pPr>
            <w:r>
              <w:rPr>
                <w:rFonts w:hint="eastAsia" w:ascii="仿宋_GB2312" w:hAnsi="宋体" w:eastAsia="仿宋_GB2312" w:cs="Calibri"/>
                <w:highlight w:val="none"/>
              </w:rPr>
              <w:t>15:00-16:00</w:t>
            </w:r>
          </w:p>
        </w:tc>
        <w:tc>
          <w:tcPr>
            <w:tcW w:w="5549" w:type="dxa"/>
            <w:shd w:val="clear" w:color="auto" w:fill="auto"/>
            <w:vAlign w:val="center"/>
          </w:tcPr>
          <w:p>
            <w:pPr>
              <w:widowControl w:val="0"/>
              <w:rPr>
                <w:rFonts w:ascii="仿宋_GB2312" w:hAnsi="宋体" w:eastAsia="仿宋_GB2312" w:cs="Calibri"/>
                <w:highlight w:val="none"/>
              </w:rPr>
            </w:pPr>
            <w:r>
              <w:rPr>
                <w:rFonts w:hint="eastAsia" w:ascii="仿宋_GB2312" w:hAnsi="宋体" w:eastAsia="仿宋_GB2312" w:cs="Calibri"/>
                <w:highlight w:val="none"/>
              </w:rPr>
              <w:t>领队会、赛前说明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continue"/>
            <w:shd w:val="clear" w:color="auto" w:fill="auto"/>
            <w:vAlign w:val="center"/>
          </w:tcPr>
          <w:p>
            <w:pPr>
              <w:widowControl w:val="0"/>
              <w:jc w:val="center"/>
              <w:rPr>
                <w:rFonts w:ascii="仿宋_GB2312" w:hAnsi="宋体" w:eastAsia="仿宋_GB2312" w:cs="Calibri"/>
                <w:highlight w:val="none"/>
              </w:rPr>
            </w:pPr>
          </w:p>
        </w:tc>
        <w:tc>
          <w:tcPr>
            <w:tcW w:w="1701" w:type="dxa"/>
            <w:shd w:val="clear" w:color="auto" w:fill="auto"/>
            <w:vAlign w:val="center"/>
          </w:tcPr>
          <w:p>
            <w:pPr>
              <w:widowControl w:val="0"/>
              <w:jc w:val="center"/>
              <w:rPr>
                <w:rFonts w:ascii="仿宋_GB2312" w:hAnsi="宋体" w:eastAsia="仿宋_GB2312" w:cs="Calibri"/>
                <w:highlight w:val="none"/>
              </w:rPr>
            </w:pPr>
            <w:r>
              <w:rPr>
                <w:rFonts w:hint="eastAsia" w:ascii="仿宋_GB2312" w:hAnsi="宋体" w:eastAsia="仿宋_GB2312" w:cs="Calibri"/>
                <w:highlight w:val="none"/>
              </w:rPr>
              <w:t>16:00-16:30</w:t>
            </w:r>
          </w:p>
        </w:tc>
        <w:tc>
          <w:tcPr>
            <w:tcW w:w="5549" w:type="dxa"/>
            <w:shd w:val="clear" w:color="auto" w:fill="auto"/>
            <w:vAlign w:val="center"/>
          </w:tcPr>
          <w:p>
            <w:pPr>
              <w:widowControl w:val="0"/>
              <w:rPr>
                <w:rFonts w:ascii="仿宋_GB2312" w:hAnsi="宋体" w:eastAsia="仿宋_GB2312" w:cs="Calibri"/>
                <w:highlight w:val="none"/>
              </w:rPr>
            </w:pPr>
            <w:r>
              <w:rPr>
                <w:rFonts w:hint="eastAsia" w:ascii="仿宋_GB2312" w:hAnsi="宋体" w:eastAsia="仿宋_GB2312" w:cs="Calibri"/>
                <w:highlight w:val="none"/>
              </w:rPr>
              <w:t>选手熟悉赛场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restart"/>
            <w:shd w:val="clear" w:color="auto" w:fill="auto"/>
            <w:vAlign w:val="center"/>
          </w:tcPr>
          <w:p>
            <w:pPr>
              <w:widowControl w:val="0"/>
              <w:jc w:val="center"/>
              <w:rPr>
                <w:rFonts w:hint="default" w:ascii="仿宋_GB2312" w:hAnsi="宋体" w:eastAsia="仿宋_GB2312" w:cs="Calibri"/>
                <w:highlight w:val="none"/>
                <w:lang w:val="en-US" w:eastAsia="zh-CN"/>
              </w:rPr>
            </w:pPr>
            <w:r>
              <w:rPr>
                <w:rFonts w:hint="eastAsia" w:ascii="仿宋_GB2312" w:hAnsi="宋体" w:eastAsia="仿宋_GB2312" w:cs="宋体"/>
                <w:highlight w:val="none"/>
                <w:lang w:val="en-US" w:eastAsia="zh-CN"/>
              </w:rPr>
              <w:t>比赛当日</w:t>
            </w:r>
          </w:p>
        </w:tc>
        <w:tc>
          <w:tcPr>
            <w:tcW w:w="1701" w:type="dxa"/>
            <w:shd w:val="clear" w:color="auto" w:fill="auto"/>
            <w:vAlign w:val="center"/>
          </w:tcPr>
          <w:p>
            <w:pPr>
              <w:widowControl w:val="0"/>
              <w:jc w:val="center"/>
              <w:rPr>
                <w:rFonts w:ascii="仿宋_GB2312" w:hAnsi="宋体" w:eastAsia="仿宋_GB2312" w:cs="Calibri"/>
                <w:highlight w:val="none"/>
              </w:rPr>
            </w:pPr>
            <w:r>
              <w:rPr>
                <w:rFonts w:hint="eastAsia" w:ascii="仿宋_GB2312" w:hAnsi="宋体" w:eastAsia="仿宋_GB2312" w:cs="Calibri"/>
                <w:highlight w:val="none"/>
              </w:rPr>
              <w:t>8:00-9:00</w:t>
            </w:r>
          </w:p>
        </w:tc>
        <w:tc>
          <w:tcPr>
            <w:tcW w:w="5549" w:type="dxa"/>
            <w:shd w:val="clear" w:color="auto" w:fill="auto"/>
            <w:vAlign w:val="center"/>
          </w:tcPr>
          <w:p>
            <w:pPr>
              <w:widowControl w:val="0"/>
              <w:rPr>
                <w:rFonts w:ascii="仿宋_GB2312" w:hAnsi="宋体" w:eastAsia="仿宋_GB2312" w:cs="Calibri"/>
                <w:highlight w:val="none"/>
              </w:rPr>
            </w:pPr>
            <w:r>
              <w:rPr>
                <w:rFonts w:hint="eastAsia" w:ascii="仿宋_GB2312" w:hAnsi="宋体" w:eastAsia="仿宋_GB2312" w:cs="Calibri"/>
                <w:highlight w:val="none"/>
              </w:rPr>
              <w:t>赛场检录，竞赛选手进入赛位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18" w:type="dxa"/>
            <w:vMerge w:val="continue"/>
            <w:shd w:val="clear" w:color="auto" w:fill="auto"/>
            <w:vAlign w:val="center"/>
          </w:tcPr>
          <w:p>
            <w:pPr>
              <w:widowControl w:val="0"/>
              <w:jc w:val="center"/>
              <w:rPr>
                <w:rFonts w:ascii="仿宋_GB2312" w:hAnsi="宋体" w:eastAsia="仿宋_GB2312" w:cs="Calibri"/>
                <w:highlight w:val="none"/>
              </w:rPr>
            </w:pPr>
          </w:p>
        </w:tc>
        <w:tc>
          <w:tcPr>
            <w:tcW w:w="1701" w:type="dxa"/>
            <w:shd w:val="clear" w:color="auto" w:fill="auto"/>
            <w:vAlign w:val="center"/>
          </w:tcPr>
          <w:p>
            <w:pPr>
              <w:widowControl w:val="0"/>
              <w:jc w:val="center"/>
              <w:rPr>
                <w:rFonts w:ascii="仿宋_GB2312" w:hAnsi="宋体" w:eastAsia="仿宋_GB2312" w:cs="Calibri"/>
                <w:highlight w:val="none"/>
              </w:rPr>
            </w:pPr>
            <w:r>
              <w:rPr>
                <w:rFonts w:hint="eastAsia" w:ascii="仿宋_GB2312" w:hAnsi="宋体" w:eastAsia="仿宋_GB2312" w:cs="Calibri"/>
                <w:highlight w:val="none"/>
              </w:rPr>
              <w:t>9:00-1</w:t>
            </w:r>
            <w:r>
              <w:rPr>
                <w:rFonts w:ascii="仿宋_GB2312" w:hAnsi="宋体" w:eastAsia="仿宋_GB2312" w:cs="Calibri"/>
                <w:highlight w:val="none"/>
              </w:rPr>
              <w:t>5</w:t>
            </w:r>
            <w:r>
              <w:rPr>
                <w:rFonts w:hint="eastAsia" w:ascii="仿宋_GB2312" w:hAnsi="宋体" w:eastAsia="仿宋_GB2312" w:cs="Calibri"/>
                <w:highlight w:val="none"/>
              </w:rPr>
              <w:t>:00</w:t>
            </w:r>
          </w:p>
        </w:tc>
        <w:tc>
          <w:tcPr>
            <w:tcW w:w="5549" w:type="dxa"/>
            <w:shd w:val="clear" w:color="auto" w:fill="auto"/>
            <w:vAlign w:val="center"/>
          </w:tcPr>
          <w:p>
            <w:pPr>
              <w:widowControl w:val="0"/>
              <w:rPr>
                <w:rFonts w:ascii="仿宋_GB2312" w:hAnsi="宋体" w:eastAsia="仿宋_GB2312" w:cs="Calibri"/>
                <w:highlight w:val="none"/>
              </w:rPr>
            </w:pPr>
            <w:r>
              <w:rPr>
                <w:rFonts w:hint="eastAsia" w:ascii="仿宋_GB2312" w:hAnsi="宋体" w:eastAsia="仿宋_GB2312" w:cs="Calibri"/>
                <w:highlight w:val="none"/>
              </w:rPr>
              <w:t>竞赛选手完成竞赛任务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continue"/>
            <w:shd w:val="clear" w:color="auto" w:fill="auto"/>
            <w:vAlign w:val="center"/>
          </w:tcPr>
          <w:p>
            <w:pPr>
              <w:widowControl w:val="0"/>
              <w:jc w:val="center"/>
              <w:rPr>
                <w:rFonts w:ascii="仿宋_GB2312" w:hAnsi="宋体" w:eastAsia="仿宋_GB2312" w:cs="Calibri"/>
                <w:highlight w:val="none"/>
              </w:rPr>
            </w:pPr>
          </w:p>
        </w:tc>
        <w:tc>
          <w:tcPr>
            <w:tcW w:w="1701" w:type="dxa"/>
            <w:shd w:val="clear" w:color="auto" w:fill="auto"/>
            <w:vAlign w:val="center"/>
          </w:tcPr>
          <w:p>
            <w:pPr>
              <w:widowControl w:val="0"/>
              <w:jc w:val="center"/>
              <w:rPr>
                <w:rFonts w:ascii="仿宋_GB2312" w:hAnsi="宋体" w:eastAsia="仿宋_GB2312" w:cs="Calibri"/>
                <w:highlight w:val="none"/>
              </w:rPr>
            </w:pPr>
            <w:r>
              <w:rPr>
                <w:rFonts w:hint="eastAsia" w:ascii="仿宋_GB2312" w:hAnsi="宋体" w:eastAsia="仿宋_GB2312" w:cs="Calibri"/>
                <w:highlight w:val="none"/>
              </w:rPr>
              <w:t>1</w:t>
            </w:r>
            <w:r>
              <w:rPr>
                <w:rFonts w:ascii="仿宋_GB2312" w:hAnsi="宋体" w:eastAsia="仿宋_GB2312" w:cs="Calibri"/>
                <w:highlight w:val="none"/>
              </w:rPr>
              <w:t>6</w:t>
            </w:r>
            <w:r>
              <w:rPr>
                <w:rFonts w:hint="eastAsia" w:ascii="仿宋_GB2312" w:hAnsi="宋体" w:eastAsia="仿宋_GB2312" w:cs="Calibri"/>
                <w:highlight w:val="none"/>
              </w:rPr>
              <w:t>:00-1</w:t>
            </w:r>
            <w:r>
              <w:rPr>
                <w:rFonts w:ascii="仿宋_GB2312" w:hAnsi="宋体" w:eastAsia="仿宋_GB2312" w:cs="Calibri"/>
                <w:highlight w:val="none"/>
              </w:rPr>
              <w:t>9</w:t>
            </w:r>
            <w:r>
              <w:rPr>
                <w:rFonts w:hint="eastAsia" w:ascii="仿宋_GB2312" w:hAnsi="宋体" w:eastAsia="仿宋_GB2312" w:cs="Calibri"/>
                <w:highlight w:val="none"/>
              </w:rPr>
              <w:t>:00</w:t>
            </w:r>
          </w:p>
        </w:tc>
        <w:tc>
          <w:tcPr>
            <w:tcW w:w="5549" w:type="dxa"/>
            <w:shd w:val="clear" w:color="auto" w:fill="auto"/>
            <w:vAlign w:val="center"/>
          </w:tcPr>
          <w:p>
            <w:pPr>
              <w:widowControl w:val="0"/>
              <w:rPr>
                <w:rFonts w:ascii="仿宋_GB2312" w:hAnsi="宋体" w:eastAsia="仿宋_GB2312" w:cs="Calibri"/>
                <w:highlight w:val="none"/>
              </w:rPr>
            </w:pPr>
            <w:r>
              <w:rPr>
                <w:rFonts w:hint="eastAsia" w:ascii="仿宋_GB2312" w:hAnsi="宋体" w:eastAsia="仿宋_GB2312" w:cs="Calibri"/>
                <w:highlight w:val="none"/>
              </w:rPr>
              <w:t>对选手提交的结果文件进行评分</w:t>
            </w:r>
          </w:p>
        </w:tc>
      </w:tr>
    </w:tbl>
    <w:p>
      <w:pPr>
        <w:pStyle w:val="22"/>
        <w:numPr>
          <w:ilvl w:val="0"/>
          <w:numId w:val="0"/>
        </w:numPr>
        <w:spacing w:line="500" w:lineRule="exact"/>
        <w:ind w:left="240" w:leftChars="0"/>
        <w:outlineLvl w:val="1"/>
        <w:rPr>
          <w:rFonts w:ascii="仿宋_GB2312" w:hAnsi="仿宋" w:eastAsia="仿宋_GB2312"/>
          <w:b w:val="0"/>
          <w:bCs w:val="0"/>
          <w:kern w:val="0"/>
          <w:sz w:val="24"/>
          <w:szCs w:val="24"/>
          <w:highlight w:val="none"/>
        </w:rPr>
      </w:pPr>
      <w:bookmarkStart w:id="1" w:name="_Toc24338"/>
      <w:r>
        <w:rPr>
          <w:rFonts w:hint="eastAsia" w:ascii="仿宋_GB2312" w:hAnsi="仿宋" w:eastAsia="仿宋_GB2312"/>
          <w:b w:val="0"/>
          <w:bCs w:val="0"/>
          <w:kern w:val="0"/>
          <w:sz w:val="24"/>
          <w:szCs w:val="24"/>
          <w:highlight w:val="none"/>
        </w:rPr>
        <w:t>（</w:t>
      </w:r>
      <w:r>
        <w:rPr>
          <w:rFonts w:hint="eastAsia" w:ascii="仿宋_GB2312" w:hAnsi="仿宋" w:eastAsia="仿宋_GB2312"/>
          <w:b w:val="0"/>
          <w:bCs w:val="0"/>
          <w:kern w:val="0"/>
          <w:sz w:val="24"/>
          <w:szCs w:val="24"/>
          <w:highlight w:val="none"/>
          <w:lang w:val="en-US" w:eastAsia="zh-CN"/>
        </w:rPr>
        <w:t>二</w:t>
      </w:r>
      <w:r>
        <w:rPr>
          <w:rFonts w:hint="eastAsia" w:ascii="仿宋_GB2312" w:hAnsi="仿宋" w:eastAsia="仿宋_GB2312"/>
          <w:b w:val="0"/>
          <w:bCs w:val="0"/>
          <w:kern w:val="0"/>
          <w:sz w:val="24"/>
          <w:szCs w:val="24"/>
          <w:highlight w:val="none"/>
        </w:rPr>
        <w:t>）</w:t>
      </w:r>
      <w:r>
        <w:rPr>
          <w:rFonts w:ascii="Times New Roman" w:hAnsi="Times New Roman" w:eastAsia="仿宋_GB2312" w:cs="Times New Roman"/>
          <w:b w:val="0"/>
          <w:bCs w:val="0"/>
          <w:sz w:val="24"/>
          <w:szCs w:val="24"/>
          <w:highlight w:val="none"/>
        </w:rPr>
        <w:drawing>
          <wp:anchor distT="0" distB="0" distL="114300" distR="114300" simplePos="0" relativeHeight="251659264" behindDoc="0" locked="0" layoutInCell="1" allowOverlap="1">
            <wp:simplePos x="0" y="0"/>
            <wp:positionH relativeFrom="margin">
              <wp:posOffset>1235710</wp:posOffset>
            </wp:positionH>
            <wp:positionV relativeFrom="paragraph">
              <wp:posOffset>713740</wp:posOffset>
            </wp:positionV>
            <wp:extent cx="2850515" cy="3200400"/>
            <wp:effectExtent l="0" t="0" r="6985" b="0"/>
            <wp:wrapTopAndBottom/>
            <wp:docPr id="4" name="图片 3" descr="1"/>
            <wp:cNvGraphicFramePr/>
            <a:graphic xmlns:a="http://schemas.openxmlformats.org/drawingml/2006/main">
              <a:graphicData uri="http://schemas.openxmlformats.org/drawingml/2006/picture">
                <pic:pic xmlns:pic="http://schemas.openxmlformats.org/drawingml/2006/picture">
                  <pic:nvPicPr>
                    <pic:cNvPr id="4" name="图片 3" descr="1"/>
                    <pic:cNvPicPr/>
                  </pic:nvPicPr>
                  <pic:blipFill>
                    <a:blip r:embed="rId5"/>
                    <a:stretch>
                      <a:fillRect/>
                    </a:stretch>
                  </pic:blipFill>
                  <pic:spPr>
                    <a:xfrm>
                      <a:off x="0" y="0"/>
                      <a:ext cx="2850515" cy="3200400"/>
                    </a:xfrm>
                    <a:prstGeom prst="rect">
                      <a:avLst/>
                    </a:prstGeom>
                    <a:noFill/>
                    <a:ln>
                      <a:noFill/>
                    </a:ln>
                  </pic:spPr>
                </pic:pic>
              </a:graphicData>
            </a:graphic>
          </wp:anchor>
        </w:drawing>
      </w:r>
      <w:r>
        <w:rPr>
          <w:rFonts w:hint="eastAsia" w:ascii="仿宋_GB2312" w:hAnsi="仿宋" w:eastAsia="仿宋_GB2312"/>
          <w:b w:val="0"/>
          <w:bCs w:val="0"/>
          <w:kern w:val="0"/>
          <w:sz w:val="24"/>
          <w:szCs w:val="24"/>
          <w:highlight w:val="none"/>
        </w:rPr>
        <w:t>竞赛流程</w:t>
      </w:r>
      <w:bookmarkEnd w:id="1"/>
    </w:p>
    <w:p>
      <w:pPr>
        <w:rPr>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outlineLvl w:val="0"/>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六、竞赛命题</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技能大赛的命题工作由赛项执委会指定的命题专家组负责，样题见附件4。</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七、竞赛规则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1.参赛选手须为高等职业学校专科、高等职业学校本科、技师学院全日制在籍学生，五年制高职四、五年级学生也可报名参赛。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2.竞赛前1日安排各参赛队领队、参赛选手熟悉赛场。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3.严禁参赛选手、赛项裁判、工作人员私自携带通讯、摄录设备进入比赛场地。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4.参赛选手所需的硬件、软件和辅助工具统一提供，参赛队不得使用自带的任何有存储功能的设备，如硬盘、光盘、U盘、手机、平板电脑等。</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5.所有参赛选手都必须携带参赛证件进行检录。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6.参赛队在赛前领取比赛任务并进入比赛工位，比赛正式开始后方可进行相关操作。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作出裁决。</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8.竞赛开始时统一发放本阶段赛卷，竞赛结束后，参赛选手要确认已成功提交竞赛要求的配置文件和文档，裁判员与参赛选手一起签字确认，参赛选手在确认后不得再进行任何操作。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b/>
          <w:bCs/>
          <w:sz w:val="30"/>
          <w:szCs w:val="30"/>
          <w:highlight w:val="none"/>
        </w:rPr>
      </w:pPr>
      <w:r>
        <w:rPr>
          <w:rFonts w:hint="eastAsia" w:ascii="仿宋" w:hAnsi="仿宋" w:eastAsia="仿宋" w:cs="仿宋"/>
          <w:sz w:val="24"/>
          <w:szCs w:val="24"/>
          <w:highlight w:val="none"/>
          <w:lang w:val="en-US" w:eastAsia="zh-CN"/>
        </w:rPr>
        <w:t>9.赛项成绩解密后，在比赛相关群中，以纸质盖章照片形式向全体参赛队进行公布。</w:t>
      </w:r>
      <w:r>
        <w:rPr>
          <w:rFonts w:hint="eastAsia" w:asciiTheme="minorEastAsia" w:hAnsiTheme="minorEastAsia" w:eastAsiaTheme="minorEastAsia" w:cstheme="minorEastAsia"/>
          <w:b/>
          <w:bCs/>
          <w:sz w:val="30"/>
          <w:szCs w:val="30"/>
          <w:highlight w:val="none"/>
        </w:rPr>
        <w:t>八、竞赛环境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bookmarkStart w:id="2" w:name="_Hlk1489515"/>
      <w:r>
        <w:rPr>
          <w:rFonts w:hint="eastAsia" w:ascii="仿宋" w:hAnsi="仿宋" w:eastAsia="仿宋" w:cs="仿宋"/>
          <w:sz w:val="24"/>
          <w:szCs w:val="24"/>
          <w:highlight w:val="none"/>
          <w:lang w:val="en-US" w:eastAsia="zh-CN"/>
        </w:rPr>
        <w:t>1.竞赛场地。竞赛场地分为：竞赛现场、裁判休息区、指导老师休息区、服务区。其中，竞赛现场又划分为：检录区、场内竞赛区、技术支持区。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2.竞赛设备。场内竞赛区按照参赛队数量准备比赛所需的软硬件平台，为参赛队提供统一竞赛设备和备用设备。选手无需自带任何工具及附件。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3.竞赛工位。竞赛现场各个工作区配备单相220V/3A以上交流电源。每个比赛工位上标明编号。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4.技术支持区。为技术支持人员提供固定工位、电源保障。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5.服务区。提供医疗等服务保障。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竞赛场地应符合消防安全规定，现场消防器材和消防栓合格有效，应急照明设施状态合格，赛场明显位置张贴紧急疏散图，赛场出入口专人负责。现场临时用电满足《施工现场临时用电安全技术规范》JGJ46-2005的要求。竞赛现场通风良好、照明需符合教室采光规范。</w:t>
      </w:r>
      <w:bookmarkEnd w:id="2"/>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九、技术规范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本赛项的技术规范将包括：相关专业的教育教学要求、行业、职业技术标准，以及根据高职目录修订后的区块链技术应用相关专业人才培养标准和规范，适时地修订本赛项遵循的技术规范。</w:t>
      </w:r>
    </w:p>
    <w:tbl>
      <w:tblPr>
        <w:tblStyle w:val="11"/>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8"/>
        <w:gridCol w:w="2413"/>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hint="eastAsia" w:ascii="仿宋_GB2312" w:hAnsi="仿宋_GB2312" w:eastAsia="仿宋_GB2312" w:cs="仿宋_GB2312"/>
                <w:b/>
                <w:bCs/>
                <w:color w:val="0C0C0C"/>
                <w:kern w:val="0"/>
                <w:sz w:val="24"/>
                <w:highlight w:val="none"/>
                <w:lang w:bidi="ar"/>
              </w:rPr>
            </w:pPr>
            <w:r>
              <w:rPr>
                <w:rFonts w:hint="eastAsia" w:ascii="仿宋_GB2312" w:hAnsi="仿宋_GB2312" w:eastAsia="仿宋_GB2312" w:cs="仿宋_GB2312"/>
                <w:b/>
                <w:bCs/>
                <w:color w:val="0C0C0C"/>
                <w:kern w:val="0"/>
                <w:sz w:val="24"/>
                <w:highlight w:val="none"/>
                <w:lang w:bidi="ar"/>
              </w:rPr>
              <w:t>序号</w:t>
            </w:r>
          </w:p>
        </w:tc>
        <w:tc>
          <w:tcPr>
            <w:tcW w:w="2413" w:type="dxa"/>
            <w:noWrap w:val="0"/>
            <w:vAlign w:val="center"/>
          </w:tcPr>
          <w:p>
            <w:pPr>
              <w:widowControl/>
              <w:spacing w:line="360" w:lineRule="auto"/>
              <w:jc w:val="center"/>
              <w:rPr>
                <w:rFonts w:hint="eastAsia" w:ascii="仿宋_GB2312" w:hAnsi="仿宋_GB2312" w:eastAsia="仿宋_GB2312" w:cs="仿宋_GB2312"/>
                <w:b/>
                <w:bCs/>
                <w:color w:val="0C0C0C"/>
                <w:kern w:val="0"/>
                <w:sz w:val="24"/>
                <w:highlight w:val="none"/>
                <w:lang w:bidi="ar"/>
              </w:rPr>
            </w:pPr>
            <w:r>
              <w:rPr>
                <w:rFonts w:hint="eastAsia" w:ascii="仿宋_GB2312" w:hAnsi="仿宋_GB2312" w:eastAsia="仿宋_GB2312" w:cs="仿宋_GB2312"/>
                <w:b/>
                <w:bCs/>
                <w:color w:val="0C0C0C"/>
                <w:kern w:val="0"/>
                <w:sz w:val="24"/>
                <w:highlight w:val="none"/>
                <w:lang w:bidi="ar"/>
              </w:rPr>
              <w:t>标准</w:t>
            </w:r>
            <w:r>
              <w:rPr>
                <w:rFonts w:hint="eastAsia" w:ascii="仿宋_GB2312" w:hAnsi="仿宋_GB2312" w:eastAsia="仿宋_GB2312" w:cs="仿宋_GB2312"/>
                <w:b/>
                <w:bCs/>
                <w:color w:val="0C0C0C"/>
                <w:kern w:val="0"/>
                <w:sz w:val="24"/>
                <w:highlight w:val="none"/>
                <w:lang w:eastAsia="zh-Hans" w:bidi="ar"/>
              </w:rPr>
              <w:t>号</w:t>
            </w:r>
          </w:p>
        </w:tc>
        <w:tc>
          <w:tcPr>
            <w:tcW w:w="4677" w:type="dxa"/>
            <w:noWrap w:val="0"/>
            <w:vAlign w:val="center"/>
          </w:tcPr>
          <w:p>
            <w:pPr>
              <w:widowControl/>
              <w:spacing w:line="360" w:lineRule="auto"/>
              <w:jc w:val="center"/>
              <w:rPr>
                <w:rFonts w:hint="eastAsia" w:ascii="仿宋_GB2312" w:hAnsi="仿宋_GB2312" w:eastAsia="仿宋_GB2312" w:cs="仿宋_GB2312"/>
                <w:b/>
                <w:bCs/>
                <w:color w:val="0C0C0C"/>
                <w:kern w:val="0"/>
                <w:sz w:val="24"/>
                <w:highlight w:val="none"/>
                <w:lang w:bidi="ar"/>
              </w:rPr>
            </w:pPr>
            <w:r>
              <w:rPr>
                <w:rFonts w:hint="eastAsia" w:ascii="仿宋_GB2312" w:hAnsi="仿宋_GB2312" w:eastAsia="仿宋_GB2312" w:cs="仿宋_GB2312"/>
                <w:b/>
                <w:bCs/>
                <w:color w:val="0C0C0C"/>
                <w:kern w:val="0"/>
                <w:sz w:val="24"/>
                <w:highlight w:val="none"/>
                <w:lang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1</w:t>
            </w:r>
          </w:p>
        </w:tc>
        <w:tc>
          <w:tcPr>
            <w:tcW w:w="2413"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GB/T 11457-2006</w:t>
            </w:r>
          </w:p>
        </w:tc>
        <w:tc>
          <w:tcPr>
            <w:tcW w:w="4677"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信息技术、软件工程术语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2</w:t>
            </w:r>
          </w:p>
        </w:tc>
        <w:tc>
          <w:tcPr>
            <w:tcW w:w="2413"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LD/T81.1-2006</w:t>
            </w:r>
          </w:p>
        </w:tc>
        <w:tc>
          <w:tcPr>
            <w:tcW w:w="4677"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职业技能实训和鉴定设备技术规范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3</w:t>
            </w:r>
          </w:p>
        </w:tc>
        <w:tc>
          <w:tcPr>
            <w:tcW w:w="2413"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 xml:space="preserve">GB/T 25069-2010 </w:t>
            </w:r>
          </w:p>
        </w:tc>
        <w:tc>
          <w:tcPr>
            <w:tcW w:w="4677"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信息安全技术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4</w:t>
            </w:r>
          </w:p>
        </w:tc>
        <w:tc>
          <w:tcPr>
            <w:tcW w:w="2413"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ISO 22739-2020</w:t>
            </w:r>
          </w:p>
        </w:tc>
        <w:tc>
          <w:tcPr>
            <w:tcW w:w="4677"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Blockchain and distributed ledger technologies — Vocabulary（区块链和分布式账本技术 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5</w:t>
            </w:r>
          </w:p>
        </w:tc>
        <w:tc>
          <w:tcPr>
            <w:tcW w:w="2413"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GBZ2-02-10-15</w:t>
            </w:r>
          </w:p>
        </w:tc>
        <w:tc>
          <w:tcPr>
            <w:tcW w:w="4677"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区块链工程技术人员国家职业技术技能标准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6</w:t>
            </w:r>
          </w:p>
        </w:tc>
        <w:tc>
          <w:tcPr>
            <w:tcW w:w="2413"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GBZ4-04-05-06</w:t>
            </w:r>
          </w:p>
        </w:tc>
        <w:tc>
          <w:tcPr>
            <w:tcW w:w="4677"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eastAsia="zh-Hans" w:bidi="ar"/>
              </w:rPr>
              <w:t>区块链应用操作员国家职业</w:t>
            </w:r>
            <w:r>
              <w:rPr>
                <w:rFonts w:hint="eastAsia" w:ascii="仿宋_GB2312" w:hAnsi="仿宋_GB2312" w:eastAsia="仿宋_GB2312" w:cs="仿宋_GB2312"/>
                <w:color w:val="0C0C0C"/>
                <w:kern w:val="0"/>
                <w:sz w:val="24"/>
                <w:highlight w:val="none"/>
                <w:lang w:bidi="ar"/>
              </w:rPr>
              <w:t>技术技能</w:t>
            </w:r>
            <w:r>
              <w:rPr>
                <w:rFonts w:hint="eastAsia" w:ascii="仿宋_GB2312" w:hAnsi="仿宋_GB2312" w:eastAsia="仿宋_GB2312" w:cs="仿宋_GB2312"/>
                <w:color w:val="0C0C0C"/>
                <w:kern w:val="0"/>
                <w:sz w:val="24"/>
                <w:highlight w:val="none"/>
                <w:lang w:eastAsia="zh-Hans"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7</w:t>
            </w:r>
          </w:p>
        </w:tc>
        <w:tc>
          <w:tcPr>
            <w:tcW w:w="2413"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CBD-Forum-001-2017</w:t>
            </w:r>
          </w:p>
        </w:tc>
        <w:tc>
          <w:tcPr>
            <w:tcW w:w="4677"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区块链参考架构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8</w:t>
            </w:r>
          </w:p>
        </w:tc>
        <w:tc>
          <w:tcPr>
            <w:tcW w:w="2413"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CBD-Forum-002-2017</w:t>
            </w:r>
          </w:p>
        </w:tc>
        <w:tc>
          <w:tcPr>
            <w:tcW w:w="4677"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区块链数据格式规范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9</w:t>
            </w:r>
          </w:p>
        </w:tc>
        <w:tc>
          <w:tcPr>
            <w:tcW w:w="2413"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T/SIA 007-2018</w:t>
            </w:r>
          </w:p>
        </w:tc>
        <w:tc>
          <w:tcPr>
            <w:tcW w:w="4677"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区块链平台基础技术要求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8" w:type="dxa"/>
            <w:noWrap w:val="0"/>
            <w:vAlign w:val="center"/>
          </w:tcPr>
          <w:p>
            <w:pPr>
              <w:widowControl/>
              <w:spacing w:line="360" w:lineRule="auto"/>
              <w:jc w:val="center"/>
              <w:rPr>
                <w:rFonts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10</w:t>
            </w:r>
          </w:p>
        </w:tc>
        <w:tc>
          <w:tcPr>
            <w:tcW w:w="2413"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CIET-2018-04</w:t>
            </w:r>
          </w:p>
        </w:tc>
        <w:tc>
          <w:tcPr>
            <w:tcW w:w="4677" w:type="dxa"/>
            <w:noWrap w:val="0"/>
            <w:vAlign w:val="center"/>
          </w:tcPr>
          <w:p>
            <w:pPr>
              <w:widowControl/>
              <w:spacing w:line="360" w:lineRule="auto"/>
              <w:jc w:val="center"/>
              <w:rPr>
                <w:rFonts w:hint="eastAsia" w:ascii="仿宋_GB2312" w:hAnsi="仿宋_GB2312" w:eastAsia="仿宋_GB2312" w:cs="仿宋_GB2312"/>
                <w:color w:val="0C0C0C"/>
                <w:kern w:val="0"/>
                <w:sz w:val="24"/>
                <w:highlight w:val="none"/>
                <w:lang w:bidi="ar"/>
              </w:rPr>
            </w:pPr>
            <w:r>
              <w:rPr>
                <w:rFonts w:hint="eastAsia" w:ascii="仿宋_GB2312" w:hAnsi="仿宋_GB2312" w:eastAsia="仿宋_GB2312" w:cs="仿宋_GB2312"/>
                <w:color w:val="0C0C0C"/>
                <w:kern w:val="0"/>
                <w:sz w:val="24"/>
                <w:highlight w:val="none"/>
                <w:lang w:bidi="ar"/>
              </w:rPr>
              <w:t>区块链技术人才培养标准</w:t>
            </w:r>
          </w:p>
        </w:tc>
      </w:tr>
    </w:tbl>
    <w:p>
      <w:pPr>
        <w:bidi w:val="0"/>
        <w:rPr>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十、技术平台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（一）竞赛设备</w:t>
      </w:r>
    </w:p>
    <w:tbl>
      <w:tblPr>
        <w:tblStyle w:val="11"/>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2472"/>
        <w:gridCol w:w="2313"/>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79" w:type="pct"/>
            <w:shd w:val="clear" w:color="auto" w:fill="auto"/>
            <w:vAlign w:val="center"/>
          </w:tcPr>
          <w:p>
            <w:pPr>
              <w:adjustRightInd w:val="0"/>
              <w:snapToGrid w:val="0"/>
              <w:jc w:val="center"/>
              <w:rPr>
                <w:rFonts w:ascii="仿宋_GB2312" w:hAnsi="宋体" w:eastAsia="仿宋_GB2312" w:cs="仿宋_GB2312"/>
                <w:b/>
                <w:highlight w:val="none"/>
              </w:rPr>
            </w:pPr>
            <w:r>
              <w:rPr>
                <w:rFonts w:hint="eastAsia" w:ascii="仿宋_GB2312" w:hAnsi="宋体" w:eastAsia="仿宋_GB2312" w:cs="仿宋_GB2312"/>
                <w:b/>
                <w:highlight w:val="none"/>
              </w:rPr>
              <w:t>设备类别</w:t>
            </w:r>
          </w:p>
        </w:tc>
        <w:tc>
          <w:tcPr>
            <w:tcW w:w="1309" w:type="pct"/>
            <w:shd w:val="clear" w:color="auto" w:fill="auto"/>
            <w:vAlign w:val="center"/>
          </w:tcPr>
          <w:p>
            <w:pPr>
              <w:adjustRightInd w:val="0"/>
              <w:snapToGrid w:val="0"/>
              <w:jc w:val="center"/>
              <w:rPr>
                <w:rFonts w:ascii="仿宋_GB2312" w:hAnsi="宋体" w:eastAsia="仿宋_GB2312"/>
                <w:b/>
                <w:highlight w:val="none"/>
              </w:rPr>
            </w:pPr>
            <w:r>
              <w:rPr>
                <w:rFonts w:hint="eastAsia" w:ascii="仿宋_GB2312" w:hAnsi="宋体" w:eastAsia="仿宋_GB2312"/>
                <w:b/>
                <w:highlight w:val="none"/>
              </w:rPr>
              <w:t>数量</w:t>
            </w:r>
          </w:p>
        </w:tc>
        <w:tc>
          <w:tcPr>
            <w:tcW w:w="1225" w:type="pct"/>
            <w:shd w:val="clear" w:color="auto" w:fill="auto"/>
            <w:vAlign w:val="center"/>
          </w:tcPr>
          <w:p>
            <w:pPr>
              <w:adjustRightInd w:val="0"/>
              <w:snapToGrid w:val="0"/>
              <w:jc w:val="center"/>
              <w:rPr>
                <w:rFonts w:ascii="仿宋_GB2312" w:hAnsi="宋体" w:eastAsia="仿宋_GB2312"/>
                <w:b/>
                <w:highlight w:val="none"/>
              </w:rPr>
            </w:pPr>
            <w:r>
              <w:rPr>
                <w:rFonts w:hint="eastAsia" w:ascii="仿宋_GB2312" w:hAnsi="宋体" w:eastAsia="仿宋_GB2312"/>
                <w:b/>
                <w:highlight w:val="none"/>
              </w:rPr>
              <w:t>设备用途</w:t>
            </w:r>
          </w:p>
        </w:tc>
        <w:tc>
          <w:tcPr>
            <w:tcW w:w="1585" w:type="pct"/>
            <w:shd w:val="clear" w:color="auto" w:fill="auto"/>
            <w:vAlign w:val="center"/>
          </w:tcPr>
          <w:p>
            <w:pPr>
              <w:adjustRightInd w:val="0"/>
              <w:snapToGrid w:val="0"/>
              <w:jc w:val="center"/>
              <w:rPr>
                <w:rFonts w:ascii="仿宋_GB2312" w:hAnsi="宋体" w:eastAsia="仿宋_GB2312"/>
                <w:b/>
                <w:highlight w:val="none"/>
              </w:rPr>
            </w:pPr>
            <w:r>
              <w:rPr>
                <w:rFonts w:hint="eastAsia" w:ascii="仿宋_GB2312" w:hAnsi="宋体" w:eastAsia="仿宋_GB2312"/>
                <w:b/>
                <w:highlight w:val="none"/>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79" w:type="pct"/>
            <w:vAlign w:val="center"/>
          </w:tcPr>
          <w:p>
            <w:pPr>
              <w:adjustRightInd w:val="0"/>
              <w:snapToGrid w:val="0"/>
              <w:jc w:val="center"/>
              <w:rPr>
                <w:rFonts w:ascii="仿宋_GB2312" w:hAnsi="宋体" w:eastAsia="仿宋_GB2312"/>
                <w:highlight w:val="none"/>
              </w:rPr>
            </w:pPr>
            <w:r>
              <w:rPr>
                <w:rFonts w:hint="eastAsia" w:ascii="仿宋_GB2312" w:hAnsi="宋体" w:eastAsia="仿宋_GB2312"/>
                <w:highlight w:val="none"/>
              </w:rPr>
              <w:t>竞赛服务器</w:t>
            </w:r>
          </w:p>
        </w:tc>
        <w:tc>
          <w:tcPr>
            <w:tcW w:w="1309" w:type="pct"/>
            <w:vAlign w:val="center"/>
          </w:tcPr>
          <w:p>
            <w:pPr>
              <w:adjustRightInd w:val="0"/>
              <w:snapToGrid w:val="0"/>
              <w:rPr>
                <w:rFonts w:ascii="仿宋_GB2312" w:hAnsi="宋体" w:eastAsia="仿宋_GB2312"/>
                <w:highlight w:val="none"/>
              </w:rPr>
            </w:pPr>
            <w:r>
              <w:rPr>
                <w:rFonts w:hint="eastAsia" w:ascii="仿宋_GB2312" w:hAnsi="宋体" w:eastAsia="仿宋_GB2312"/>
                <w:highlight w:val="none"/>
              </w:rPr>
              <w:t>每支参赛队伍1</w:t>
            </w:r>
            <w:r>
              <w:rPr>
                <w:rFonts w:hint="eastAsia" w:ascii="仿宋_GB2312" w:hAnsi="宋体" w:eastAsia="仿宋_GB2312"/>
                <w:highlight w:val="none"/>
                <w:lang w:val="en-US" w:eastAsia="zh-CN"/>
              </w:rPr>
              <w:t>套</w:t>
            </w:r>
            <w:r>
              <w:rPr>
                <w:rFonts w:hint="eastAsia" w:ascii="仿宋_GB2312" w:hAnsi="宋体" w:eastAsia="仿宋_GB2312"/>
                <w:highlight w:val="none"/>
              </w:rPr>
              <w:t>。</w:t>
            </w:r>
          </w:p>
          <w:p>
            <w:pPr>
              <w:adjustRightInd w:val="0"/>
              <w:snapToGrid w:val="0"/>
              <w:rPr>
                <w:rFonts w:ascii="仿宋_GB2312" w:hAnsi="宋体" w:eastAsia="仿宋_GB2312"/>
                <w:highlight w:val="none"/>
              </w:rPr>
            </w:pPr>
            <w:r>
              <w:rPr>
                <w:rFonts w:hint="eastAsia" w:ascii="仿宋_GB2312" w:hAnsi="宋体" w:eastAsia="仿宋_GB2312"/>
                <w:highlight w:val="none"/>
              </w:rPr>
              <w:t>根据参赛队数量，配备10%的备份机器。</w:t>
            </w:r>
          </w:p>
        </w:tc>
        <w:tc>
          <w:tcPr>
            <w:tcW w:w="1225" w:type="pct"/>
            <w:vAlign w:val="center"/>
          </w:tcPr>
          <w:p>
            <w:pPr>
              <w:adjustRightInd w:val="0"/>
              <w:snapToGrid w:val="0"/>
              <w:jc w:val="center"/>
              <w:rPr>
                <w:rFonts w:hint="eastAsia" w:ascii="仿宋_GB2312" w:hAnsi="宋体" w:eastAsia="仿宋_GB2312"/>
                <w:highlight w:val="none"/>
                <w:lang w:val="en-US" w:eastAsia="zh-CN"/>
              </w:rPr>
            </w:pPr>
            <w:r>
              <w:rPr>
                <w:rFonts w:hint="eastAsia" w:ascii="仿宋_GB2312" w:hAnsi="宋体" w:eastAsia="仿宋_GB2312"/>
                <w:highlight w:val="none"/>
                <w:lang w:val="en-US" w:eastAsia="zh-CN"/>
              </w:rPr>
              <w:t>支撑区块链</w:t>
            </w:r>
            <w:r>
              <w:rPr>
                <w:rFonts w:hint="eastAsia" w:ascii="仿宋_GB2312" w:hAnsi="宋体" w:eastAsia="仿宋_GB2312"/>
                <w:highlight w:val="none"/>
              </w:rPr>
              <w:t>平台</w:t>
            </w:r>
            <w:r>
              <w:rPr>
                <w:rFonts w:hint="eastAsia" w:ascii="仿宋_GB2312" w:hAnsi="宋体" w:eastAsia="仿宋_GB2312"/>
                <w:highlight w:val="none"/>
                <w:lang w:val="en-US" w:eastAsia="zh-CN"/>
              </w:rPr>
              <w:t>运行</w:t>
            </w:r>
          </w:p>
        </w:tc>
        <w:tc>
          <w:tcPr>
            <w:tcW w:w="1585" w:type="pct"/>
            <w:vAlign w:val="center"/>
          </w:tcPr>
          <w:p>
            <w:pPr>
              <w:adjustRightInd w:val="0"/>
              <w:snapToGrid w:val="0"/>
              <w:rPr>
                <w:rFonts w:hint="eastAsia" w:ascii="仿宋_GB2312" w:hAnsi="宋体" w:eastAsia="仿宋_GB2312"/>
                <w:highlight w:val="none"/>
                <w:lang w:eastAsia="zh-CN"/>
              </w:rPr>
            </w:pPr>
            <w:r>
              <w:rPr>
                <w:rFonts w:hint="eastAsia" w:ascii="仿宋_GB2312" w:hAnsi="宋体" w:eastAsia="仿宋_GB2312"/>
                <w:highlight w:val="none"/>
                <w:lang w:val="en-US" w:eastAsia="zh-CN"/>
              </w:rPr>
              <w:t>性能相当于i5</w:t>
            </w:r>
            <w:r>
              <w:rPr>
                <w:rFonts w:hint="eastAsia" w:ascii="仿宋_GB2312" w:hAnsi="宋体" w:eastAsia="仿宋_GB2312"/>
                <w:highlight w:val="none"/>
              </w:rPr>
              <w:t>处理</w:t>
            </w:r>
            <w:r>
              <w:rPr>
                <w:rFonts w:hint="eastAsia" w:ascii="仿宋_GB2312" w:hAnsi="宋体" w:eastAsia="仿宋_GB2312"/>
                <w:highlight w:val="none"/>
                <w:lang w:val="en-US" w:eastAsia="zh-CN"/>
              </w:rPr>
              <w:t>器,</w:t>
            </w:r>
            <w:r>
              <w:rPr>
                <w:rFonts w:hint="eastAsia" w:ascii="仿宋_GB2312" w:hAnsi="宋体" w:eastAsia="仿宋_GB2312"/>
                <w:highlight w:val="none"/>
              </w:rPr>
              <w:t>64G内存</w:t>
            </w:r>
            <w:r>
              <w:rPr>
                <w:rFonts w:hint="eastAsia" w:ascii="仿宋_GB2312" w:hAnsi="宋体" w:eastAsia="仿宋_GB2312"/>
                <w:highlight w:val="none"/>
                <w:lang w:val="en-US" w:eastAsia="zh-CN"/>
              </w:rPr>
              <w:t>以上，1TB</w:t>
            </w:r>
            <w:r>
              <w:rPr>
                <w:rFonts w:hint="eastAsia" w:ascii="仿宋_GB2312" w:hAnsi="宋体" w:eastAsia="仿宋_GB2312"/>
                <w:highlight w:val="none"/>
              </w:rPr>
              <w:t>硬盘以上、USB3.0接口、千兆及以上网卡</w:t>
            </w:r>
            <w:r>
              <w:rPr>
                <w:rFonts w:hint="eastAsia" w:ascii="仿宋_GB2312" w:hAnsi="宋体" w:eastAsia="仿宋_GB2312"/>
                <w:highlight w:val="none"/>
                <w:lang w:eastAsia="zh-CN"/>
              </w:rPr>
              <w:t>，</w:t>
            </w:r>
            <w:r>
              <w:rPr>
                <w:rFonts w:hint="eastAsia" w:ascii="仿宋_GB2312" w:hAnsi="宋体" w:eastAsia="仿宋_GB2312"/>
                <w:highlight w:val="none"/>
              </w:rPr>
              <w:t>显示器要求1024*768以上。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79" w:type="pct"/>
            <w:tcBorders>
              <w:right w:val="single" w:color="auto" w:sz="4" w:space="0"/>
            </w:tcBorders>
            <w:vAlign w:val="center"/>
          </w:tcPr>
          <w:p>
            <w:pPr>
              <w:adjustRightInd w:val="0"/>
              <w:snapToGrid w:val="0"/>
              <w:jc w:val="center"/>
              <w:rPr>
                <w:rFonts w:ascii="仿宋_GB2312" w:hAnsi="宋体" w:eastAsia="仿宋_GB2312"/>
                <w:highlight w:val="none"/>
              </w:rPr>
            </w:pPr>
            <w:r>
              <w:rPr>
                <w:rFonts w:hint="eastAsia" w:ascii="仿宋_GB2312" w:hAnsi="宋体" w:eastAsia="仿宋_GB2312"/>
                <w:highlight w:val="none"/>
              </w:rPr>
              <w:t>竞赛客户机</w:t>
            </w:r>
          </w:p>
        </w:tc>
        <w:tc>
          <w:tcPr>
            <w:tcW w:w="1309"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highlight w:val="none"/>
              </w:rPr>
            </w:pPr>
            <w:r>
              <w:rPr>
                <w:rFonts w:hint="eastAsia" w:ascii="仿宋_GB2312" w:hAnsi="宋体" w:eastAsia="仿宋_GB2312"/>
                <w:highlight w:val="none"/>
              </w:rPr>
              <w:t>每支参赛队伍</w:t>
            </w:r>
            <w:r>
              <w:rPr>
                <w:rFonts w:hint="eastAsia" w:ascii="仿宋_GB2312" w:hAnsi="宋体" w:eastAsia="仿宋_GB2312"/>
                <w:highlight w:val="none"/>
                <w:lang w:val="en-US" w:eastAsia="zh-CN"/>
              </w:rPr>
              <w:t>2</w:t>
            </w:r>
            <w:r>
              <w:rPr>
                <w:rFonts w:hint="eastAsia" w:ascii="仿宋_GB2312" w:hAnsi="宋体" w:eastAsia="仿宋_GB2312"/>
                <w:highlight w:val="none"/>
              </w:rPr>
              <w:t>台。</w:t>
            </w:r>
          </w:p>
          <w:p>
            <w:pPr>
              <w:adjustRightInd w:val="0"/>
              <w:snapToGrid w:val="0"/>
              <w:rPr>
                <w:rFonts w:ascii="仿宋_GB2312" w:hAnsi="宋体" w:eastAsia="仿宋_GB2312"/>
                <w:highlight w:val="none"/>
              </w:rPr>
            </w:pPr>
            <w:r>
              <w:rPr>
                <w:rFonts w:hint="eastAsia" w:ascii="仿宋_GB2312" w:hAnsi="宋体" w:eastAsia="仿宋_GB2312"/>
                <w:highlight w:val="none"/>
              </w:rPr>
              <w:t>根据参赛团队数量，配备10%的备份机器。</w:t>
            </w:r>
          </w:p>
        </w:tc>
        <w:tc>
          <w:tcPr>
            <w:tcW w:w="1225" w:type="pct"/>
            <w:tcBorders>
              <w:left w:val="single" w:color="auto" w:sz="4" w:space="0"/>
            </w:tcBorders>
            <w:vAlign w:val="center"/>
          </w:tcPr>
          <w:p>
            <w:pPr>
              <w:adjustRightInd w:val="0"/>
              <w:snapToGrid w:val="0"/>
              <w:rPr>
                <w:rFonts w:ascii="仿宋_GB2312" w:hAnsi="宋体" w:eastAsia="仿宋_GB2312"/>
                <w:highlight w:val="none"/>
              </w:rPr>
            </w:pPr>
            <w:r>
              <w:rPr>
                <w:rFonts w:hint="eastAsia" w:ascii="仿宋_GB2312" w:hAnsi="宋体" w:eastAsia="仿宋_GB2312"/>
                <w:highlight w:val="none"/>
              </w:rPr>
              <w:t>竞赛选手比赛使用</w:t>
            </w:r>
          </w:p>
        </w:tc>
        <w:tc>
          <w:tcPr>
            <w:tcW w:w="1585" w:type="pct"/>
            <w:vAlign w:val="center"/>
          </w:tcPr>
          <w:p>
            <w:pPr>
              <w:adjustRightInd w:val="0"/>
              <w:snapToGrid w:val="0"/>
              <w:rPr>
                <w:rFonts w:ascii="仿宋_GB2312" w:hAnsi="宋体" w:eastAsia="仿宋_GB2312"/>
                <w:highlight w:val="none"/>
              </w:rPr>
            </w:pPr>
            <w:r>
              <w:rPr>
                <w:rFonts w:hint="eastAsia" w:ascii="仿宋_GB2312" w:hAnsi="宋体" w:eastAsia="仿宋_GB2312"/>
                <w:highlight w:val="none"/>
              </w:rPr>
              <w:t>性能相当于i5处理器，</w:t>
            </w:r>
            <w:r>
              <w:rPr>
                <w:rFonts w:hint="eastAsia" w:ascii="仿宋_GB2312" w:hAnsi="宋体" w:eastAsia="仿宋_GB2312"/>
                <w:highlight w:val="none"/>
                <w:lang w:val="en-US" w:eastAsia="zh-CN"/>
              </w:rPr>
              <w:t>16</w:t>
            </w:r>
            <w:r>
              <w:rPr>
                <w:rFonts w:hint="eastAsia" w:ascii="仿宋_GB2312" w:hAnsi="宋体" w:eastAsia="仿宋_GB2312"/>
                <w:highlight w:val="none"/>
              </w:rPr>
              <w:t>G</w:t>
            </w:r>
            <w:r>
              <w:rPr>
                <w:rFonts w:ascii="仿宋_GB2312" w:hAnsi="宋体" w:eastAsia="仿宋_GB2312"/>
                <w:highlight w:val="none"/>
              </w:rPr>
              <w:t>B</w:t>
            </w:r>
            <w:r>
              <w:rPr>
                <w:rFonts w:hint="eastAsia" w:ascii="仿宋_GB2312" w:hAnsi="宋体" w:eastAsia="仿宋_GB2312"/>
                <w:highlight w:val="none"/>
              </w:rPr>
              <w:t>以上内存，1TB以上硬盘，显示器要求1024*768以上。</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（二）软件平台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根据国赛入选企业名单，参赛校报名参赛后为承办校提交所选企业竞赛平台，承办校按照参赛院校提交的企业平台数量合理划分竞赛设备和区域，邀请企业技术人员进场部署竞赛平台。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（三）软件环境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由于组件、软件的通用性以及更新迭代，竞赛所使用的软件版本可与规程规定的版本不一致，只要高于规程规定的版本即可。</w:t>
      </w:r>
    </w:p>
    <w:tbl>
      <w:tblPr>
        <w:tblStyle w:val="11"/>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2546"/>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40" w:lineRule="auto"/>
              <w:ind w:left="0"/>
              <w:jc w:val="center"/>
              <w:textAlignment w:val="baseline"/>
              <w:rPr>
                <w:rFonts w:hint="eastAsia" w:ascii="Times New Roman" w:hAnsi="Times New Roman" w:eastAsia="仿宋_GB2312" w:cs="Times New Roman"/>
                <w:b/>
                <w:bCs/>
                <w:color w:val="auto"/>
                <w:kern w:val="2"/>
                <w:sz w:val="24"/>
                <w:szCs w:val="24"/>
                <w:highlight w:val="none"/>
                <w:lang w:val="en-US" w:eastAsia="en-US" w:bidi="ar-SA"/>
              </w:rPr>
            </w:pPr>
            <w:r>
              <w:rPr>
                <w:rFonts w:hint="eastAsia" w:ascii="Times New Roman" w:hAnsi="Times New Roman" w:eastAsia="仿宋_GB2312" w:cs="Times New Roman"/>
                <w:b/>
                <w:bCs/>
                <w:color w:val="auto"/>
                <w:kern w:val="2"/>
                <w:sz w:val="24"/>
                <w:szCs w:val="24"/>
                <w:highlight w:val="none"/>
                <w:lang w:val="en-US" w:eastAsia="zh-CN" w:bidi="ar-SA"/>
              </w:rPr>
              <w:t>设备类型</w:t>
            </w: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40" w:lineRule="auto"/>
              <w:ind w:left="0"/>
              <w:jc w:val="center"/>
              <w:textAlignment w:val="baseline"/>
              <w:rPr>
                <w:rFonts w:hint="eastAsia" w:ascii="Times New Roman" w:hAnsi="Times New Roman" w:eastAsia="仿宋_GB2312" w:cs="Times New Roman"/>
                <w:b/>
                <w:bCs/>
                <w:color w:val="auto"/>
                <w:kern w:val="2"/>
                <w:sz w:val="24"/>
                <w:szCs w:val="24"/>
                <w:highlight w:val="none"/>
                <w:lang w:val="en-US" w:eastAsia="en-US" w:bidi="ar-SA"/>
              </w:rPr>
            </w:pPr>
            <w:r>
              <w:rPr>
                <w:rFonts w:hint="eastAsia" w:ascii="Times New Roman" w:hAnsi="Times New Roman" w:eastAsia="仿宋_GB2312" w:cs="Times New Roman"/>
                <w:b/>
                <w:bCs/>
                <w:color w:val="auto"/>
                <w:kern w:val="2"/>
                <w:sz w:val="24"/>
                <w:szCs w:val="24"/>
                <w:highlight w:val="none"/>
                <w:lang w:val="en-US" w:eastAsia="zh-CN" w:bidi="ar-SA"/>
              </w:rPr>
              <w:t>软件类别</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40" w:lineRule="auto"/>
              <w:ind w:left="0"/>
              <w:jc w:val="center"/>
              <w:textAlignment w:val="baseline"/>
              <w:rPr>
                <w:rFonts w:hint="eastAsia" w:ascii="Times New Roman" w:hAnsi="Times New Roman" w:eastAsia="仿宋_GB2312" w:cs="Times New Roman"/>
                <w:b/>
                <w:bCs/>
                <w:color w:val="auto"/>
                <w:kern w:val="2"/>
                <w:sz w:val="24"/>
                <w:szCs w:val="24"/>
                <w:highlight w:val="none"/>
                <w:lang w:val="en-US" w:eastAsia="en-US" w:bidi="ar-SA"/>
              </w:rPr>
            </w:pPr>
            <w:r>
              <w:rPr>
                <w:rFonts w:hint="eastAsia" w:ascii="Times New Roman" w:hAnsi="Times New Roman" w:eastAsia="仿宋_GB2312" w:cs="Times New Roman"/>
                <w:b/>
                <w:bCs/>
                <w:color w:val="auto"/>
                <w:kern w:val="2"/>
                <w:sz w:val="24"/>
                <w:szCs w:val="24"/>
                <w:highlight w:val="none"/>
                <w:lang w:val="en-US" w:eastAsia="zh-CN" w:bidi="ar-SA"/>
              </w:rPr>
              <w:t>软件名称、版本号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restart"/>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服务器</w:t>
            </w: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区块链服务端操作系统</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Ubuntu20.04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区块链底层平台</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FISCO BCOS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区块链管理平台</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WeBASE 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关系型数据库</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MySQL 5.7及以上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Web应用服务器</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Nginx 1.8及以上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区块链性能测试工具</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Caliper 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restart"/>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PC机</w:t>
            </w: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虚拟化工具</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VMware Workstation16及以上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PC操作系统</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Windows 10 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浏览器</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Chrome 100及以上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vMerge w:val="restart"/>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开发语言</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Java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Solidity 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JavaScript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vMerge w:val="restart"/>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开发工具</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Visual Studio Code 1.69及以上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Intellij IDEA community Edition 2023.x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Truffle 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构建工具</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Maven 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SSH工具</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MobaXterm 22及以上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数据库连接工具</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Navicat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接口测试工具</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Postman v10.22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前端框架</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Vue.js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绘图工具</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Office Visio 2013及以上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截图工具</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Windows系统自带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文档编辑器</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WPS 2019及以上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18" w:type="dxa"/>
            <w:vMerge w:val="continue"/>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p>
        </w:tc>
        <w:tc>
          <w:tcPr>
            <w:tcW w:w="2546"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输入法</w:t>
            </w:r>
          </w:p>
        </w:tc>
        <w:tc>
          <w:tcPr>
            <w:tcW w:w="4539" w:type="dxa"/>
            <w:noWrap w:val="0"/>
            <w:vAlign w:val="center"/>
          </w:tcPr>
          <w:p>
            <w:pPr>
              <w:pStyle w:val="27"/>
              <w:keepNext/>
              <w:keepLines w:val="0"/>
              <w:pageBreakBefore w:val="0"/>
              <w:widowControl w:val="0"/>
              <w:kinsoku/>
              <w:wordWrap w:val="0"/>
              <w:overflowPunct/>
              <w:topLinePunct w:val="0"/>
              <w:autoSpaceDE/>
              <w:autoSpaceDN/>
              <w:bidi w:val="0"/>
              <w:adjustRightInd w:val="0"/>
              <w:snapToGrid w:val="0"/>
              <w:spacing w:line="288" w:lineRule="auto"/>
              <w:ind w:left="0"/>
              <w:jc w:val="center"/>
              <w:textAlignment w:val="baseline"/>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搜狗拼音输入法</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十一、成绩评定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（一）奖项设定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竞赛设参赛选手团体奖。奖项设置按参赛队数量确定，其中一等奖10%，二等奖20%，三等奖30%。为团队一等奖选手的指导教师设优秀指导教师奖。</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（二）评分标准制定原则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bookmarkStart w:id="3" w:name="_Hlk1489544"/>
      <w:r>
        <w:rPr>
          <w:rFonts w:hint="eastAsia" w:ascii="仿宋" w:hAnsi="仿宋" w:eastAsia="仿宋" w:cs="仿宋"/>
          <w:sz w:val="24"/>
          <w:szCs w:val="24"/>
          <w:highlight w:val="none"/>
          <w:lang w:val="en-US" w:eastAsia="zh-CN"/>
        </w:rPr>
        <w:t>竞赛评分制定严格遵守公平、公正的原则，区块链技术应用赛项评分采用赛项结果评分方法，始终贯彻落实竞赛一贯坚持的公平、公正和公开原则。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参与竞赛成绩管理的组织机构包括裁判组、监督组和仲裁组等。裁判组实行“裁判长负责制”。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裁判员根据竞赛工作需要分为检录裁判、加密裁判、现场裁判和评分裁判。检录裁判负责对参赛队伍（选手）进行点名登记、身份核对等工作；加密裁判负责组织参赛队伍（选手）抽签并对参赛队伍（选手）的信息进行加密、解密；现场裁判按规定做好赛场记录，维护赛场纪律；评分裁判负责对参赛队伍（选手）的技能展示、操作规范和竞赛成果等按赛项评分标准进行评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监督组对裁判组的工作进行全程监督，并对竞赛成绩抽检复核。</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仲裁组负责接受由参赛队领队提出的对裁判结果的申诉，组织复议并及时反馈复议结果。</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（三）评分方法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bookmarkStart w:id="4" w:name="_Hlk1489568"/>
      <w:r>
        <w:rPr>
          <w:rFonts w:hint="eastAsia" w:ascii="仿宋" w:hAnsi="仿宋" w:eastAsia="仿宋" w:cs="仿宋"/>
          <w:sz w:val="24"/>
          <w:szCs w:val="24"/>
          <w:highlight w:val="none"/>
          <w:lang w:val="en-US" w:eastAsia="zh-CN"/>
        </w:rPr>
        <w:t>选手在完成任务之后，将任务通过竞赛提交系统将结果提交服务器，由参赛选手队长签字确认（签工位号）。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评分采取分步得分、累计总分的计分方式。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不计参赛选手的个人得分，只记录团体得分。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参赛队提交比赛任务结束请求或者在比赛时间终止后，不得再进行任何操作。否则，视为比赛作弊，给参赛队记警告一次。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在竞赛过程中，选手如有不服从裁判判决、扰乱赛场秩序、舞弊等不文明行为，由裁判长按照规定扣减相应分数并且给予警告，情节严重的取消竞赛资格，竞赛成绩记0分，队员退出比赛现场。</w:t>
      </w:r>
      <w:bookmarkEnd w:id="4"/>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（四）成绩审核方法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bookmarkStart w:id="5" w:name="_Hlk1489623"/>
      <w:r>
        <w:rPr>
          <w:rFonts w:hint="eastAsia" w:ascii="仿宋" w:hAnsi="仿宋" w:eastAsia="仿宋" w:cs="仿宋"/>
          <w:sz w:val="24"/>
          <w:szCs w:val="24"/>
          <w:highlight w:val="none"/>
          <w:lang w:val="en-US" w:eastAsia="zh-CN"/>
        </w:rPr>
        <w:t>竞赛结束后，由裁判长向裁判员核实竞赛过程中有无异常。如无异常，成绩单由裁判长签字确认并封存直至公布成绩时开启。</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如有异常，在裁判长主持下，由专家组成员、裁判员、仲裁员和监督员共同处理。</w:t>
      </w:r>
      <w:bookmarkEnd w:id="5"/>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（五）成绩公布方法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bookmarkStart w:id="6" w:name="_Hlk1489632"/>
      <w:r>
        <w:rPr>
          <w:rFonts w:hint="eastAsia" w:ascii="仿宋" w:hAnsi="仿宋" w:eastAsia="仿宋" w:cs="仿宋"/>
          <w:sz w:val="24"/>
          <w:szCs w:val="24"/>
          <w:highlight w:val="none"/>
          <w:lang w:val="en-US" w:eastAsia="zh-CN"/>
        </w:rPr>
        <w:t>竞赛成绩经复核无误后，经裁判长、监督人员审核签字后，以赛项组委会最终公布结果为准。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竞赛结束后，如参赛队对比赛成绩有异议，提出异议申诉或仲裁，可按照相关规定进行申诉和仲裁，按照仲裁结果公布竞赛成绩。</w:t>
      </w:r>
      <w:bookmarkEnd w:id="6"/>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十二、赛场预案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赛场备用工位：赛场提供占总参赛队伍10%的备用工位。</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竞赛备用服务器：现场提供占总参赛队伍10%的备用服务器。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现场应急预案详情，如下：</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（一）服务器问题预案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若服务器在比赛过程中出现卡顿、死机等情况，参赛选手举手示意裁判，在裁判与技术支持人员确定情况后，可更换服务器。更换服务器的等待时间，可在比赛结束后延时。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（二）交换机问题预案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若交换机在比赛过程中出现传输速度慢或无故中断等情况，参赛选手举手示意裁判，在裁判与技术支持人员确定情况后，可更换交换机。更换交换机的等待时间，可在比赛结束后延时。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（三）PC机问题预案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若PC机在比赛过程中出现死机、蓝屏等现象（重启后无法解决），参赛选手举手示意裁判，在裁判与技术支持人员确定情况后，可更换备用工位或更换PC机进行答题。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十三、申诉与仲裁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（一）申诉</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1.参赛队对不符合竞赛规定的设备、工具、软件，有失公正的评判、奖励，以及对工作人员的违规行为等，均可提出申诉。</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申诉应在竞赛结束后1小时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3.赛项裁判委员会收到申诉报告后，应根据申诉事由进行审查，2小时内书面通知申诉方，告知申诉处理结果。如受理申诉，要通知申诉方举办听证会的时间和地点；如不受理申诉，要说明理由。</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4.申诉人不得无故拒不接受处理结果，不允许采取过激行为刁难、攻击工作人员，否则视为放弃申诉。申诉人不满意赛项裁委会的处理结果的，可向赛项仲裁工作组提出复议申请。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（二）仲裁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1.区块链技术应用赛项裁判委员会设仲裁工作组，负责受理竞赛中出现的申诉复议并进行仲裁，以保证竞赛的顺利进行和竞赛结果公平、公正。</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2.仲裁工作组的裁决为最终裁决，参赛队不得因对仲裁处理意见不服而停止比赛或滋事，否则按弃权处理。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十</w:t>
      </w:r>
      <w:r>
        <w:rPr>
          <w:rFonts w:hint="eastAsia" w:asciiTheme="minorEastAsia" w:hAnsiTheme="minorEastAsia" w:eastAsiaTheme="minorEastAsia" w:cstheme="minorEastAsia"/>
          <w:b/>
          <w:bCs/>
          <w:sz w:val="30"/>
          <w:szCs w:val="30"/>
          <w:highlight w:val="none"/>
          <w:lang w:val="en-US" w:eastAsia="zh-CN"/>
        </w:rPr>
        <w:t>四</w:t>
      </w:r>
      <w:r>
        <w:rPr>
          <w:rFonts w:hint="eastAsia" w:asciiTheme="minorEastAsia" w:hAnsiTheme="minorEastAsia" w:eastAsiaTheme="minorEastAsia" w:cstheme="minorEastAsia"/>
          <w:b/>
          <w:bCs/>
          <w:sz w:val="30"/>
          <w:szCs w:val="30"/>
          <w:highlight w:val="none"/>
        </w:rPr>
        <w:t>、竞赛须知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（一）参赛队须知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1.参赛队名称：统一使用规定的学校代表队名称，不使用其他组织、团体的名称；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2.参赛队组成：每支参赛队由2名参赛选手组成，须为同校在籍学生，其中队长1名。每支参赛队可配2名指导教师，指导教师须为本校专兼职教师。不接受跨校组队，同一学校的报名参赛队伍不超过2支；</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3.各参赛院校应指定1名负责人任赛项领队，全权负责该校参赛事务的组织、协调和领导工作。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参赛选手及指导教师在报名获得确认后，原则上不再更换。如在筹备过程中，参赛选手和指导教师因故不能参赛，须由其所在学校供职部门于赛项开赛前10个工作日之前出具书面说明，经赛项执委会办公室核实后予以更换。允许队员缺席比赛；允许指导教师缺席比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5.参赛队按照赛项竞赛规程安排，凭赛项执委会颁发的参赛证和有效身份证件参加比赛及相关活动。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6.赛项执委会统一安排各参赛队在比赛前一天进入赛场熟悉环境和设施情况。</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7.参赛队选手、领队和指导教师要有良好的职业道德，严格遵守比赛规则和比赛纪律，服从裁判，尊重裁判和赛场工作人员，自觉维护赛场秩序。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8.领队应负责赛事活动期间本队所有选手的人身及财产安全，如发现意外事故，应及时向赛项执委会报告。</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9.各学校组织代表队时，须为参赛选手购买竞赛期间的人身意外伤害保险。</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（二）领队和指导教师须知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1.严格遵守赛场的各项规定，服从裁判，文明竞赛。如发现弄虚作假者，取消参赛资格，名次无效。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2.领队和指导教师务必带好有效身份证件，在活动过程中佩戴“指导教师证”参加竞赛相关活动。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4.在比赛期间要严格遵守比赛规则，不得私自接触裁判人员。</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5.竞赛过程中，未经裁判许可，领队、指导教师及其他人员一律不得进入竞赛现场。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6.如对竞赛过程有疑议，由领队和指导教师负责以书面形式向赛项仲裁委员会反映，但不得影响竞赛进行。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8.领队和指导老师应及时查看有关赛项的通知和内容，认真研究和掌握本赛项竞赛的规程、技术规范和赛场要求，指导选手做好赛前的一切技术准备和竞赛准备。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（三）参赛选手须知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1.参赛选手应严格遵守赛场规章、操作规程和工艺准则，保证人身及设备安全，接受裁判员的监督和警示，文明竞赛。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2.参赛选手应按照规定时间抵达赛场，凭身份证、学生证，以及统一发放的参赛证，完成入场检录、抽签确定竞赛工位号，不得迟到早退。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3.参赛选手凭竞赛工位号进入赛场，不允许携带任何电子设备及其他资料、用品。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4.参赛选手应在规定的时间段进入赛场，认真核对竞赛工位号，在指定位置就座。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5.参赛选手入场后，迅速确认竞赛设备状况，填写相关确认文件，并由参赛队长确认签字（竞赛工位号）。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6.参赛选手在收到开赛信号前不得启动操作。在竞赛过程中，确因计算机软件或硬件故障，致使操作无法继续的，经裁判长确认，予以启用备用计算机。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7.参赛选手应在竞赛规定时间内完成任务书内容，并按照要求，将相应文档保存提交到相应位置。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8.参赛选手需及时保存工作记录。对于因各种原因造成的数据丢失，由参赛选手自行负责。</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9.参赛队所提交的答卷采用竞赛工位号进行标识，不得出现地名、校名、姓名、参赛证编号等信息，否则取消竞赛成绩。</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10.竞赛过程中，因严重操作失误或安全事故不能进行比赛的（例如因操作原因发生短路导致赛场断电的、造成设备不能正常工作的），现场裁判有权中止该队比赛。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11.在比赛中如遇非人为因素造成的设备故障，经裁判确认后，可向裁判长申请补足排除故障的时间。</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12.参赛选手不得因各种原因提前结束比赛。如确因不可抗因素需要离开赛场的，须向现场裁判举手示意，经裁判长许可并完成记录后，方可离开。凡在竞赛期间内提前离开的选手，不得返回赛场。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竞赛操作结束后，参赛选手需要根据任务书要求，将相关成果通过竞赛成果提交系统及时提交服务器，并通过填写结束比赛相关确认文件，并由参赛队长签字确认（竞赛工位号）。因参赛选手未能参加比赛，监考人员通过系统注明缺考，竞赛成绩计为零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14.竞赛时间结束，选手应全体起立，停止操作。将资料和工具整齐摆放在操作平台上，经工作人员清点后可离开赛场，离开赛场时不得带走任何资料。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15.在竞赛期间，未经执委会批准，参赛选手不得接受其他单位和个人进行的与竞赛内容相关的采访。参赛选手不得将竞赛的相关信息私自公布。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16.符合下列情形之一的参赛选手，经裁判组裁定后中止其竞赛: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（1）不服从裁判员/监考员管理、扰乱赛场秩序、干扰其他参赛选手比赛，裁判员应提出警告，二次警告后无效，或情节特别严重，造成竞赛中止的，经裁判长确认，中止比赛，并取消竞赛资格和竞赛成绩。</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（2）竞赛过程中，由于选手人为造成计算机、仪器设备及工具等严重损坏，负责赔偿其损失，并由裁判组裁定其竞赛结束与否、是否保留竞赛资格、是否累计其有效竞赛成绩。</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（3）竞赛过程中，产生重大安全事故、或有产生重大安全事故隐患，经裁判员提示没有采取措施的，裁判员可暂停其竞赛，由裁判组裁定其竞赛结束，保留竞赛资格和有效竞赛成绩。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（四）工作人员须知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1.竞赛现场设现场裁判组，裁判长1名，现场裁判若干名。裁判要秉公裁判，监督检查参赛队安全有序竞赛。如遇疑问或争议，须请示裁判长裁决，裁判长的决定为现场最终裁定。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2.赛场工作人员由赛项执委会统一聘用并进行工作分工，进入竞赛现场须佩戴赛项执委会统一提供的胸牌。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3.赛场工作人员需服从赛项执委会的管理，严格执行赛项各项比赛规则，执行各项工作安排，积极维护好赛场秩序，坚守岗位，为赛场提供有序的服务。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4.赛场工作人员进入现场，不得携带任何通讯工具或与竞赛无关的物品。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5.参赛队进入赛场，现场裁判应按规定审查参赛选手带入赛场的物品，如发现不允许带入赛场的物品，交由参赛队随行人员保管，赛场不提供保管服务。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6.赛场工作人员在竞赛过程中不回答选手提出的任何有关比赛技术问题，如遇争议问题，应及时报告裁判长。</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p>
    <w:sectPr>
      <w:footerReference r:id="rId3" w:type="default"/>
      <w:pgSz w:w="11906" w:h="16838"/>
      <w:pgMar w:top="2041" w:right="1417" w:bottom="198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22430"/>
    </w:sdtPr>
    <w:sdtContent>
      <w:p>
        <w:pPr>
          <w:pStyle w:val="8"/>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59F99"/>
    <w:multiLevelType w:val="singleLevel"/>
    <w:tmpl w:val="BF059F99"/>
    <w:lvl w:ilvl="0" w:tentative="0">
      <w:start w:val="2"/>
      <w:numFmt w:val="chineseCounting"/>
      <w:suff w:val="nothing"/>
      <w:lvlText w:val="（%1）"/>
      <w:lvlJc w:val="left"/>
      <w:rPr>
        <w:rFonts w:hint="eastAsia"/>
      </w:rPr>
    </w:lvl>
  </w:abstractNum>
  <w:abstractNum w:abstractNumId="1">
    <w:nsid w:val="1CA80459"/>
    <w:multiLevelType w:val="singleLevel"/>
    <w:tmpl w:val="1CA8045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YjliM2ZiYTg4ZmNlZmIxMzI3YjQwOTljYjFiYWEifQ=="/>
  </w:docVars>
  <w:rsids>
    <w:rsidRoot w:val="00BA732F"/>
    <w:rsid w:val="00027422"/>
    <w:rsid w:val="00030A81"/>
    <w:rsid w:val="000356C4"/>
    <w:rsid w:val="00044895"/>
    <w:rsid w:val="00044D18"/>
    <w:rsid w:val="00046287"/>
    <w:rsid w:val="000648D6"/>
    <w:rsid w:val="00081E99"/>
    <w:rsid w:val="00083F95"/>
    <w:rsid w:val="00093686"/>
    <w:rsid w:val="000A0781"/>
    <w:rsid w:val="000A63D3"/>
    <w:rsid w:val="000B63D4"/>
    <w:rsid w:val="000D6C84"/>
    <w:rsid w:val="000F3395"/>
    <w:rsid w:val="000F37F8"/>
    <w:rsid w:val="00100171"/>
    <w:rsid w:val="00126187"/>
    <w:rsid w:val="001312FC"/>
    <w:rsid w:val="001549DD"/>
    <w:rsid w:val="00176A43"/>
    <w:rsid w:val="00191C06"/>
    <w:rsid w:val="001931B6"/>
    <w:rsid w:val="001B7B3D"/>
    <w:rsid w:val="001C19D0"/>
    <w:rsid w:val="001D6EB3"/>
    <w:rsid w:val="001D7EA2"/>
    <w:rsid w:val="001E4BF0"/>
    <w:rsid w:val="00231337"/>
    <w:rsid w:val="0026078D"/>
    <w:rsid w:val="002628EA"/>
    <w:rsid w:val="00272409"/>
    <w:rsid w:val="00295F3B"/>
    <w:rsid w:val="002B0711"/>
    <w:rsid w:val="002B626E"/>
    <w:rsid w:val="002E0BC0"/>
    <w:rsid w:val="002E11EB"/>
    <w:rsid w:val="002E2C46"/>
    <w:rsid w:val="002E3AC7"/>
    <w:rsid w:val="002E5256"/>
    <w:rsid w:val="00303452"/>
    <w:rsid w:val="0030454E"/>
    <w:rsid w:val="00311E72"/>
    <w:rsid w:val="00314205"/>
    <w:rsid w:val="00320BFB"/>
    <w:rsid w:val="00361D06"/>
    <w:rsid w:val="00393BA7"/>
    <w:rsid w:val="003A2DCD"/>
    <w:rsid w:val="003C345A"/>
    <w:rsid w:val="003C4580"/>
    <w:rsid w:val="003D3DA5"/>
    <w:rsid w:val="003D57A4"/>
    <w:rsid w:val="003F47B9"/>
    <w:rsid w:val="003F6C3B"/>
    <w:rsid w:val="0040117A"/>
    <w:rsid w:val="00424FEB"/>
    <w:rsid w:val="00430549"/>
    <w:rsid w:val="00437B83"/>
    <w:rsid w:val="00444A73"/>
    <w:rsid w:val="00461503"/>
    <w:rsid w:val="00484502"/>
    <w:rsid w:val="0049724C"/>
    <w:rsid w:val="004B4EBC"/>
    <w:rsid w:val="004B5015"/>
    <w:rsid w:val="004D0846"/>
    <w:rsid w:val="004E447A"/>
    <w:rsid w:val="004F10EF"/>
    <w:rsid w:val="00546B1C"/>
    <w:rsid w:val="00562F25"/>
    <w:rsid w:val="005712C1"/>
    <w:rsid w:val="00575807"/>
    <w:rsid w:val="00577CE9"/>
    <w:rsid w:val="00580917"/>
    <w:rsid w:val="005A2A53"/>
    <w:rsid w:val="005A5CA6"/>
    <w:rsid w:val="00606867"/>
    <w:rsid w:val="00616629"/>
    <w:rsid w:val="00632392"/>
    <w:rsid w:val="00642686"/>
    <w:rsid w:val="006504C7"/>
    <w:rsid w:val="006667E5"/>
    <w:rsid w:val="006712DC"/>
    <w:rsid w:val="006735B5"/>
    <w:rsid w:val="006B0B99"/>
    <w:rsid w:val="006D609E"/>
    <w:rsid w:val="006E00C8"/>
    <w:rsid w:val="006F43DC"/>
    <w:rsid w:val="00702688"/>
    <w:rsid w:val="00714922"/>
    <w:rsid w:val="00715EB9"/>
    <w:rsid w:val="007305E1"/>
    <w:rsid w:val="00731202"/>
    <w:rsid w:val="00734102"/>
    <w:rsid w:val="007416AC"/>
    <w:rsid w:val="007F03F9"/>
    <w:rsid w:val="00825EA2"/>
    <w:rsid w:val="008275CE"/>
    <w:rsid w:val="0082777D"/>
    <w:rsid w:val="00832B45"/>
    <w:rsid w:val="008412E7"/>
    <w:rsid w:val="00864B68"/>
    <w:rsid w:val="00874D73"/>
    <w:rsid w:val="008836D3"/>
    <w:rsid w:val="00885E47"/>
    <w:rsid w:val="008919CE"/>
    <w:rsid w:val="008E4D5A"/>
    <w:rsid w:val="00902E18"/>
    <w:rsid w:val="00905C75"/>
    <w:rsid w:val="00907257"/>
    <w:rsid w:val="009141A6"/>
    <w:rsid w:val="00920900"/>
    <w:rsid w:val="00950D06"/>
    <w:rsid w:val="00966DDB"/>
    <w:rsid w:val="009737A6"/>
    <w:rsid w:val="009816CD"/>
    <w:rsid w:val="00991A92"/>
    <w:rsid w:val="009B5764"/>
    <w:rsid w:val="009C39CA"/>
    <w:rsid w:val="009E6D81"/>
    <w:rsid w:val="009F7E9E"/>
    <w:rsid w:val="00A30BF7"/>
    <w:rsid w:val="00A3798B"/>
    <w:rsid w:val="00A45752"/>
    <w:rsid w:val="00A46B29"/>
    <w:rsid w:val="00A76F47"/>
    <w:rsid w:val="00A828A2"/>
    <w:rsid w:val="00A858C9"/>
    <w:rsid w:val="00AA5EEB"/>
    <w:rsid w:val="00AC5BDF"/>
    <w:rsid w:val="00AD1274"/>
    <w:rsid w:val="00AD4D88"/>
    <w:rsid w:val="00AF1852"/>
    <w:rsid w:val="00B00C47"/>
    <w:rsid w:val="00B14755"/>
    <w:rsid w:val="00B20AC2"/>
    <w:rsid w:val="00B36C1A"/>
    <w:rsid w:val="00B46CD3"/>
    <w:rsid w:val="00B56816"/>
    <w:rsid w:val="00B70EB1"/>
    <w:rsid w:val="00B74BE5"/>
    <w:rsid w:val="00B97243"/>
    <w:rsid w:val="00BA6786"/>
    <w:rsid w:val="00BA68B1"/>
    <w:rsid w:val="00BA732F"/>
    <w:rsid w:val="00BB4A3D"/>
    <w:rsid w:val="00BE63FB"/>
    <w:rsid w:val="00C010B4"/>
    <w:rsid w:val="00C12857"/>
    <w:rsid w:val="00C13D37"/>
    <w:rsid w:val="00C664AC"/>
    <w:rsid w:val="00CB44C4"/>
    <w:rsid w:val="00CC6E70"/>
    <w:rsid w:val="00CF2FA7"/>
    <w:rsid w:val="00D25855"/>
    <w:rsid w:val="00D3656C"/>
    <w:rsid w:val="00D61DBE"/>
    <w:rsid w:val="00D710BF"/>
    <w:rsid w:val="00DB2859"/>
    <w:rsid w:val="00DD36B1"/>
    <w:rsid w:val="00DE5898"/>
    <w:rsid w:val="00E003F3"/>
    <w:rsid w:val="00E06587"/>
    <w:rsid w:val="00E07A51"/>
    <w:rsid w:val="00E2779E"/>
    <w:rsid w:val="00E84D36"/>
    <w:rsid w:val="00EC6BE2"/>
    <w:rsid w:val="00EC6F16"/>
    <w:rsid w:val="00ED00F3"/>
    <w:rsid w:val="00EF1A81"/>
    <w:rsid w:val="00F122CA"/>
    <w:rsid w:val="00F21ACB"/>
    <w:rsid w:val="00F251EA"/>
    <w:rsid w:val="00F25E40"/>
    <w:rsid w:val="00F532F8"/>
    <w:rsid w:val="00F553EF"/>
    <w:rsid w:val="00F60CC1"/>
    <w:rsid w:val="00FB0E35"/>
    <w:rsid w:val="00FB1254"/>
    <w:rsid w:val="00FE2972"/>
    <w:rsid w:val="00FF6AF5"/>
    <w:rsid w:val="0117255A"/>
    <w:rsid w:val="01237D69"/>
    <w:rsid w:val="018B0618"/>
    <w:rsid w:val="01F640A5"/>
    <w:rsid w:val="029D52AA"/>
    <w:rsid w:val="035A6E90"/>
    <w:rsid w:val="046A55D2"/>
    <w:rsid w:val="05743A98"/>
    <w:rsid w:val="07846BE4"/>
    <w:rsid w:val="0817778D"/>
    <w:rsid w:val="087C7C39"/>
    <w:rsid w:val="08E9380A"/>
    <w:rsid w:val="091B54AD"/>
    <w:rsid w:val="0A0A7605"/>
    <w:rsid w:val="0A5E799D"/>
    <w:rsid w:val="0C3F7709"/>
    <w:rsid w:val="0CD749EA"/>
    <w:rsid w:val="0DA0379D"/>
    <w:rsid w:val="0E393E3D"/>
    <w:rsid w:val="0E951AF3"/>
    <w:rsid w:val="0F9A55D3"/>
    <w:rsid w:val="0FE91A0F"/>
    <w:rsid w:val="103A41A7"/>
    <w:rsid w:val="1065497F"/>
    <w:rsid w:val="10656FAA"/>
    <w:rsid w:val="10C75000"/>
    <w:rsid w:val="12C7447D"/>
    <w:rsid w:val="14941C7B"/>
    <w:rsid w:val="15BD03CA"/>
    <w:rsid w:val="162F1015"/>
    <w:rsid w:val="16433426"/>
    <w:rsid w:val="16C47126"/>
    <w:rsid w:val="18A21C16"/>
    <w:rsid w:val="1984251C"/>
    <w:rsid w:val="1C7D7B19"/>
    <w:rsid w:val="1C8B734C"/>
    <w:rsid w:val="1D7F1092"/>
    <w:rsid w:val="1DDE5A21"/>
    <w:rsid w:val="1F875A37"/>
    <w:rsid w:val="1FCF3724"/>
    <w:rsid w:val="207D08B0"/>
    <w:rsid w:val="24927D8B"/>
    <w:rsid w:val="24E76F88"/>
    <w:rsid w:val="26797F3F"/>
    <w:rsid w:val="26B35F31"/>
    <w:rsid w:val="26B410B2"/>
    <w:rsid w:val="284827A1"/>
    <w:rsid w:val="295D54F0"/>
    <w:rsid w:val="2D4476D1"/>
    <w:rsid w:val="30AF316C"/>
    <w:rsid w:val="30ED1523"/>
    <w:rsid w:val="31242812"/>
    <w:rsid w:val="3152790A"/>
    <w:rsid w:val="318F58F7"/>
    <w:rsid w:val="321D2E06"/>
    <w:rsid w:val="332D6510"/>
    <w:rsid w:val="33622139"/>
    <w:rsid w:val="34807019"/>
    <w:rsid w:val="35550216"/>
    <w:rsid w:val="35646683"/>
    <w:rsid w:val="372667D7"/>
    <w:rsid w:val="3C753ED3"/>
    <w:rsid w:val="3E0351B6"/>
    <w:rsid w:val="3E330175"/>
    <w:rsid w:val="3E630EF3"/>
    <w:rsid w:val="3E980FDE"/>
    <w:rsid w:val="3F2A1578"/>
    <w:rsid w:val="3F41404F"/>
    <w:rsid w:val="400A6F71"/>
    <w:rsid w:val="413C6D29"/>
    <w:rsid w:val="416E3F78"/>
    <w:rsid w:val="417E45C9"/>
    <w:rsid w:val="41B8738A"/>
    <w:rsid w:val="4569218D"/>
    <w:rsid w:val="45A63316"/>
    <w:rsid w:val="46AF3052"/>
    <w:rsid w:val="46D52AA7"/>
    <w:rsid w:val="48D57619"/>
    <w:rsid w:val="49D7552F"/>
    <w:rsid w:val="4AD05F97"/>
    <w:rsid w:val="4C2E4627"/>
    <w:rsid w:val="509E6F85"/>
    <w:rsid w:val="52BB569C"/>
    <w:rsid w:val="52EB0010"/>
    <w:rsid w:val="53163259"/>
    <w:rsid w:val="53223693"/>
    <w:rsid w:val="537D1A12"/>
    <w:rsid w:val="53965384"/>
    <w:rsid w:val="552B79A7"/>
    <w:rsid w:val="566152D9"/>
    <w:rsid w:val="57AB2F06"/>
    <w:rsid w:val="58C838B7"/>
    <w:rsid w:val="58F072E3"/>
    <w:rsid w:val="5A401B62"/>
    <w:rsid w:val="5AF733E9"/>
    <w:rsid w:val="5B4D451F"/>
    <w:rsid w:val="5C9E0397"/>
    <w:rsid w:val="5CCD6B61"/>
    <w:rsid w:val="5E2A6D1C"/>
    <w:rsid w:val="5F265434"/>
    <w:rsid w:val="5F772D91"/>
    <w:rsid w:val="5F921CDC"/>
    <w:rsid w:val="60BC2A96"/>
    <w:rsid w:val="61C3608D"/>
    <w:rsid w:val="621E6D4C"/>
    <w:rsid w:val="624E2765"/>
    <w:rsid w:val="62767935"/>
    <w:rsid w:val="68632FDD"/>
    <w:rsid w:val="6898390A"/>
    <w:rsid w:val="689E467A"/>
    <w:rsid w:val="68A8338A"/>
    <w:rsid w:val="69415DE1"/>
    <w:rsid w:val="69CF4947"/>
    <w:rsid w:val="6B716125"/>
    <w:rsid w:val="6C7C3140"/>
    <w:rsid w:val="6C89077E"/>
    <w:rsid w:val="6D7D503E"/>
    <w:rsid w:val="70B876D6"/>
    <w:rsid w:val="71202148"/>
    <w:rsid w:val="71493676"/>
    <w:rsid w:val="71630A0D"/>
    <w:rsid w:val="71885D02"/>
    <w:rsid w:val="72563E57"/>
    <w:rsid w:val="72580950"/>
    <w:rsid w:val="7302115D"/>
    <w:rsid w:val="73547DC1"/>
    <w:rsid w:val="76476407"/>
    <w:rsid w:val="77721AB3"/>
    <w:rsid w:val="78CB5A16"/>
    <w:rsid w:val="7BBB0C1C"/>
    <w:rsid w:val="7D2162F5"/>
    <w:rsid w:val="7DCB6F61"/>
    <w:rsid w:val="7ECB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14"/>
    <w:qFormat/>
    <w:uiPriority w:val="9"/>
    <w:pPr>
      <w:keepNext/>
      <w:keepLines/>
      <w:widowControl w:val="0"/>
      <w:spacing w:before="340" w:after="330" w:line="578" w:lineRule="auto"/>
      <w:jc w:val="both"/>
      <w:outlineLvl w:val="0"/>
    </w:pPr>
    <w:rPr>
      <w:rFonts w:ascii="Calibri" w:hAnsi="Calibr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unhideWhenUsed/>
    <w:qFormat/>
    <w:uiPriority w:val="99"/>
    <w:pPr>
      <w:spacing w:after="120"/>
    </w:pPr>
  </w:style>
  <w:style w:type="paragraph" w:styleId="6">
    <w:name w:val="Body Text Indent"/>
    <w:basedOn w:val="1"/>
    <w:unhideWhenUsed/>
    <w:qFormat/>
    <w:uiPriority w:val="99"/>
    <w:pPr>
      <w:spacing w:beforeLines="0" w:after="120" w:afterLines="0"/>
      <w:ind w:left="420" w:leftChars="200"/>
    </w:pPr>
    <w:rPr>
      <w:rFonts w:hint="eastAsia"/>
      <w:sz w:val="21"/>
      <w:szCs w:val="24"/>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basedOn w:val="13"/>
    <w:link w:val="2"/>
    <w:qFormat/>
    <w:uiPriority w:val="9"/>
    <w:rPr>
      <w:rFonts w:ascii="Calibri" w:hAnsi="Calibri" w:eastAsia="宋体" w:cs="Times New Roman"/>
      <w:b/>
      <w:bCs/>
      <w:kern w:val="44"/>
      <w:sz w:val="44"/>
      <w:szCs w:val="44"/>
    </w:rPr>
  </w:style>
  <w:style w:type="character" w:customStyle="1" w:styleId="15">
    <w:name w:val="5-内文 Char"/>
    <w:link w:val="16"/>
    <w:qFormat/>
    <w:uiPriority w:val="99"/>
    <w:rPr>
      <w:rFonts w:eastAsia="仿宋_GB2312"/>
      <w:sz w:val="28"/>
      <w:szCs w:val="28"/>
    </w:rPr>
  </w:style>
  <w:style w:type="paragraph" w:customStyle="1" w:styleId="16">
    <w:name w:val="5-内文"/>
    <w:basedOn w:val="1"/>
    <w:link w:val="15"/>
    <w:qFormat/>
    <w:uiPriority w:val="99"/>
    <w:pPr>
      <w:widowControl w:val="0"/>
      <w:spacing w:beforeLines="25" w:afterLines="25" w:line="300" w:lineRule="auto"/>
      <w:ind w:firstLine="200" w:firstLineChars="200"/>
      <w:jc w:val="both"/>
    </w:pPr>
    <w:rPr>
      <w:rFonts w:eastAsia="仿宋_GB2312" w:asciiTheme="minorHAnsi" w:hAnsiTheme="minorHAnsi" w:cstheme="minorBidi"/>
      <w:kern w:val="2"/>
      <w:sz w:val="28"/>
      <w:szCs w:val="28"/>
    </w:rPr>
  </w:style>
  <w:style w:type="paragraph" w:customStyle="1" w:styleId="17">
    <w:name w:val="Normal_17"/>
    <w:qFormat/>
    <w:uiPriority w:val="0"/>
    <w:pPr>
      <w:spacing w:before="120" w:after="240"/>
      <w:jc w:val="both"/>
    </w:pPr>
    <w:rPr>
      <w:rFonts w:ascii="Calibri" w:hAnsi="Calibri" w:eastAsia="宋体" w:cs="Calibri"/>
      <w:sz w:val="22"/>
      <w:szCs w:val="22"/>
      <w:lang w:val="ru-RU" w:eastAsia="en-US" w:bidi="ar-SA"/>
    </w:rPr>
  </w:style>
  <w:style w:type="paragraph" w:styleId="18">
    <w:name w:val="List Paragraph"/>
    <w:basedOn w:val="1"/>
    <w:qFormat/>
    <w:uiPriority w:val="34"/>
    <w:pPr>
      <w:widowControl w:val="0"/>
      <w:ind w:firstLine="420" w:firstLineChars="200"/>
      <w:jc w:val="both"/>
    </w:pPr>
    <w:rPr>
      <w:kern w:val="2"/>
      <w:sz w:val="21"/>
    </w:rPr>
  </w:style>
  <w:style w:type="paragraph" w:customStyle="1" w:styleId="19">
    <w:name w:val="_Style 3"/>
    <w:basedOn w:val="1"/>
    <w:qFormat/>
    <w:uiPriority w:val="34"/>
    <w:pPr>
      <w:widowControl w:val="0"/>
      <w:ind w:firstLine="420"/>
      <w:jc w:val="both"/>
    </w:pPr>
    <w:rPr>
      <w:rFonts w:ascii="Calibri" w:hAnsi="Calibri"/>
      <w:kern w:val="2"/>
      <w:sz w:val="21"/>
    </w:rPr>
  </w:style>
  <w:style w:type="paragraph" w:customStyle="1" w:styleId="20">
    <w:name w:val="_Style 6"/>
    <w:basedOn w:val="1"/>
    <w:qFormat/>
    <w:uiPriority w:val="34"/>
    <w:pPr>
      <w:widowControl w:val="0"/>
      <w:ind w:firstLine="420" w:firstLineChars="200"/>
      <w:jc w:val="both"/>
    </w:pPr>
    <w:rPr>
      <w:kern w:val="2"/>
      <w:sz w:val="21"/>
    </w:rPr>
  </w:style>
  <w:style w:type="paragraph" w:customStyle="1" w:styleId="21">
    <w:name w:val="_Style 2"/>
    <w:basedOn w:val="1"/>
    <w:qFormat/>
    <w:uiPriority w:val="34"/>
    <w:pPr>
      <w:widowControl w:val="0"/>
      <w:ind w:firstLine="420" w:firstLineChars="200"/>
      <w:jc w:val="both"/>
    </w:pPr>
    <w:rPr>
      <w:rFonts w:ascii="Calibri" w:hAnsi="Calibri"/>
      <w:kern w:val="2"/>
      <w:sz w:val="21"/>
      <w:szCs w:val="22"/>
    </w:rPr>
  </w:style>
  <w:style w:type="paragraph" w:customStyle="1" w:styleId="22">
    <w:name w:val="列出段落1"/>
    <w:basedOn w:val="1"/>
    <w:qFormat/>
    <w:uiPriority w:val="99"/>
    <w:pPr>
      <w:widowControl w:val="0"/>
      <w:ind w:firstLine="420" w:firstLineChars="200"/>
      <w:jc w:val="both"/>
    </w:pPr>
    <w:rPr>
      <w:rFonts w:ascii="Calibri" w:hAnsi="Calibri" w:cs="Calibri"/>
      <w:kern w:val="2"/>
      <w:sz w:val="21"/>
      <w:szCs w:val="21"/>
    </w:rPr>
  </w:style>
  <w:style w:type="character" w:customStyle="1" w:styleId="23">
    <w:name w:val="页眉 字符"/>
    <w:basedOn w:val="13"/>
    <w:link w:val="9"/>
    <w:qFormat/>
    <w:uiPriority w:val="99"/>
    <w:rPr>
      <w:rFonts w:ascii="Times New Roman" w:hAnsi="Times New Roman" w:eastAsia="宋体" w:cs="Times New Roman"/>
      <w:kern w:val="0"/>
      <w:sz w:val="18"/>
      <w:szCs w:val="18"/>
    </w:rPr>
  </w:style>
  <w:style w:type="character" w:customStyle="1" w:styleId="24">
    <w:name w:val="页脚 字符"/>
    <w:basedOn w:val="13"/>
    <w:link w:val="8"/>
    <w:qFormat/>
    <w:uiPriority w:val="99"/>
    <w:rPr>
      <w:rFonts w:ascii="Times New Roman" w:hAnsi="Times New Roman" w:eastAsia="宋体" w:cs="Times New Roman"/>
      <w:kern w:val="0"/>
      <w:sz w:val="18"/>
      <w:szCs w:val="18"/>
    </w:rPr>
  </w:style>
  <w:style w:type="character" w:customStyle="1" w:styleId="25">
    <w:name w:val="批注框文本 字符"/>
    <w:basedOn w:val="13"/>
    <w:link w:val="7"/>
    <w:semiHidden/>
    <w:qFormat/>
    <w:uiPriority w:val="99"/>
    <w:rPr>
      <w:rFonts w:ascii="Times New Roman" w:hAnsi="Times New Roman" w:eastAsia="宋体" w:cs="Times New Roman"/>
      <w:sz w:val="18"/>
      <w:szCs w:val="18"/>
    </w:rPr>
  </w:style>
  <w:style w:type="paragraph" w:customStyle="1" w:styleId="26">
    <w:name w:val="正文首行缩进 21"/>
    <w:basedOn w:val="6"/>
    <w:unhideWhenUsed/>
    <w:qFormat/>
    <w:uiPriority w:val="0"/>
    <w:pPr>
      <w:spacing w:before="100" w:beforeLines="0" w:beforeAutospacing="1" w:after="0" w:afterLines="0"/>
      <w:ind w:firstLine="420" w:firstLineChars="200"/>
    </w:pPr>
    <w:rPr>
      <w:rFonts w:hint="eastAsia"/>
      <w:sz w:val="21"/>
      <w:szCs w:val="21"/>
    </w:rPr>
  </w:style>
  <w:style w:type="paragraph" w:customStyle="1" w:styleId="2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9A622-013A-4372-9C62-28170A36ABC0}">
  <ds:schemaRefs/>
</ds:datastoreItem>
</file>

<file path=docProps/app.xml><?xml version="1.0" encoding="utf-8"?>
<Properties xmlns="http://schemas.openxmlformats.org/officeDocument/2006/extended-properties" xmlns:vt="http://schemas.openxmlformats.org/officeDocument/2006/docPropsVTypes">
  <Template>Normal</Template>
  <Pages>15</Pages>
  <Words>7428</Words>
  <Characters>8066</Characters>
  <Lines>104</Lines>
  <Paragraphs>29</Paragraphs>
  <TotalTime>4</TotalTime>
  <ScaleCrop>false</ScaleCrop>
  <LinksUpToDate>false</LinksUpToDate>
  <CharactersWithSpaces>8108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2018-12-29T11:19:00Z</dcterms:created>
  <dc:creator>user</dc:creator>
  <cp:lastModifiedBy>hechen</cp:lastModifiedBy>
  <dcterms:modified xsi:type="dcterms:W3CDTF">2024-03-15T09:34:52Z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9908465E6E46496DB559DC6DE9CDFF55</vt:lpwstr>
  </property>
</Properties>
</file>