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rPr>
          <w:rFonts w:cs="宋体" w:asciiTheme="minorEastAsia" w:hAnsiTheme="minorEastAsia" w:eastAsiaTheme="minorEastAsia"/>
          <w:b/>
          <w:sz w:val="52"/>
          <w:szCs w:val="36"/>
        </w:rPr>
      </w:pPr>
    </w:p>
    <w:p>
      <w:pPr>
        <w:snapToGrid w:val="0"/>
        <w:spacing w:line="540" w:lineRule="exact"/>
        <w:jc w:val="center"/>
        <w:rPr>
          <w:rFonts w:cs="宋体" w:asciiTheme="minorEastAsia" w:hAnsiTheme="minorEastAsia" w:eastAsiaTheme="minorEastAsia"/>
          <w:b/>
          <w:sz w:val="52"/>
          <w:szCs w:val="36"/>
        </w:rPr>
      </w:pPr>
    </w:p>
    <w:p>
      <w:pPr>
        <w:snapToGrid w:val="0"/>
        <w:spacing w:line="540" w:lineRule="exact"/>
        <w:jc w:val="center"/>
        <w:rPr>
          <w:rFonts w:cs="宋体" w:asciiTheme="minorEastAsia" w:hAnsiTheme="minorEastAsia" w:eastAsiaTheme="minorEastAsia"/>
          <w:b/>
          <w:sz w:val="52"/>
          <w:szCs w:val="36"/>
        </w:rPr>
      </w:pPr>
    </w:p>
    <w:p>
      <w:pPr>
        <w:snapToGrid w:val="0"/>
        <w:spacing w:line="540" w:lineRule="exact"/>
        <w:jc w:val="center"/>
        <w:rPr>
          <w:rFonts w:cs="宋体" w:asciiTheme="minorEastAsia" w:hAnsiTheme="minorEastAsia" w:eastAsiaTheme="minorEastAsia"/>
          <w:b/>
          <w:sz w:val="52"/>
          <w:szCs w:val="36"/>
        </w:rPr>
      </w:pPr>
      <w:r>
        <w:rPr>
          <w:rFonts w:hint="eastAsia" w:cs="宋体" w:asciiTheme="minorEastAsia" w:hAnsiTheme="minorEastAsia" w:eastAsiaTheme="minorEastAsia"/>
          <w:b/>
          <w:sz w:val="52"/>
          <w:szCs w:val="36"/>
        </w:rPr>
        <w:t>202</w:t>
      </w:r>
      <w:r>
        <w:rPr>
          <w:rFonts w:cs="宋体" w:asciiTheme="minorEastAsia" w:hAnsiTheme="minorEastAsia" w:eastAsiaTheme="minorEastAsia"/>
          <w:b/>
          <w:sz w:val="52"/>
          <w:szCs w:val="36"/>
        </w:rPr>
        <w:t>4</w:t>
      </w:r>
      <w:r>
        <w:rPr>
          <w:rFonts w:hint="eastAsia" w:cs="宋体" w:asciiTheme="minorEastAsia" w:hAnsiTheme="minorEastAsia" w:eastAsiaTheme="minorEastAsia"/>
          <w:b/>
          <w:sz w:val="52"/>
          <w:szCs w:val="36"/>
        </w:rPr>
        <w:t>年河北省职业院校技能大赛</w:t>
      </w:r>
    </w:p>
    <w:p>
      <w:pPr>
        <w:snapToGrid w:val="0"/>
        <w:spacing w:line="540" w:lineRule="exact"/>
        <w:jc w:val="center"/>
        <w:rPr>
          <w:rFonts w:cs="宋体" w:asciiTheme="minorEastAsia" w:hAnsiTheme="minorEastAsia" w:eastAsiaTheme="minorEastAsia"/>
          <w:b/>
          <w:sz w:val="52"/>
          <w:szCs w:val="36"/>
        </w:rPr>
      </w:pPr>
    </w:p>
    <w:p>
      <w:pPr>
        <w:snapToGrid w:val="0"/>
        <w:spacing w:line="540" w:lineRule="exact"/>
        <w:jc w:val="center"/>
        <w:rPr>
          <w:rFonts w:asciiTheme="minorEastAsia" w:hAnsiTheme="minorEastAsia" w:eastAsiaTheme="minorEastAsia"/>
          <w:b/>
          <w:sz w:val="52"/>
          <w:szCs w:val="36"/>
        </w:rPr>
      </w:pPr>
      <w:r>
        <w:rPr>
          <w:rFonts w:cs="宋体" w:asciiTheme="minorEastAsia" w:hAnsiTheme="minorEastAsia" w:eastAsiaTheme="minorEastAsia"/>
          <w:b/>
          <w:sz w:val="52"/>
          <w:szCs w:val="36"/>
        </w:rPr>
        <w:t>中</w:t>
      </w:r>
      <w:r>
        <w:rPr>
          <w:rFonts w:hint="eastAsia" w:cs="宋体" w:asciiTheme="minorEastAsia" w:hAnsiTheme="minorEastAsia" w:eastAsiaTheme="minorEastAsia"/>
          <w:b/>
          <w:sz w:val="52"/>
          <w:szCs w:val="36"/>
        </w:rPr>
        <w:t>职</w:t>
      </w:r>
      <w:r>
        <w:rPr>
          <w:rFonts w:cs="宋体" w:asciiTheme="minorEastAsia" w:hAnsiTheme="minorEastAsia" w:eastAsiaTheme="minorEastAsia"/>
          <w:b/>
          <w:sz w:val="52"/>
          <w:szCs w:val="36"/>
        </w:rPr>
        <w:t>组</w:t>
      </w:r>
    </w:p>
    <w:p>
      <w:pPr>
        <w:snapToGrid w:val="0"/>
        <w:spacing w:line="540" w:lineRule="exact"/>
        <w:jc w:val="center"/>
        <w:rPr>
          <w:rFonts w:cs="宋体" w:asciiTheme="minorEastAsia" w:hAnsiTheme="minorEastAsia" w:eastAsiaTheme="minorEastAsia"/>
          <w:b/>
          <w:sz w:val="52"/>
          <w:szCs w:val="36"/>
        </w:rPr>
      </w:pPr>
    </w:p>
    <w:p>
      <w:pPr>
        <w:snapToGrid w:val="0"/>
        <w:spacing w:line="540" w:lineRule="exact"/>
        <w:jc w:val="center"/>
        <w:rPr>
          <w:rFonts w:cs="宋体" w:asciiTheme="minorEastAsia" w:hAnsiTheme="minorEastAsia" w:eastAsiaTheme="minorEastAsia"/>
          <w:b/>
          <w:sz w:val="52"/>
          <w:szCs w:val="36"/>
        </w:rPr>
      </w:pPr>
    </w:p>
    <w:p>
      <w:pPr>
        <w:snapToGrid w:val="0"/>
        <w:spacing w:line="540" w:lineRule="exact"/>
        <w:jc w:val="center"/>
        <w:rPr>
          <w:rFonts w:cs="宋体" w:asciiTheme="minorEastAsia" w:hAnsiTheme="minorEastAsia" w:eastAsiaTheme="minorEastAsia"/>
          <w:b/>
          <w:sz w:val="52"/>
          <w:szCs w:val="36"/>
        </w:rPr>
      </w:pPr>
      <w:r>
        <w:rPr>
          <w:rFonts w:cs="宋体" w:asciiTheme="minorEastAsia" w:hAnsiTheme="minorEastAsia" w:eastAsiaTheme="minorEastAsia"/>
          <w:b/>
          <w:sz w:val="52"/>
          <w:szCs w:val="36"/>
        </w:rPr>
        <w:t>物联网应用与</w:t>
      </w:r>
      <w:r>
        <w:rPr>
          <w:rFonts w:hint="eastAsia" w:cs="宋体" w:asciiTheme="minorEastAsia" w:hAnsiTheme="minorEastAsia" w:eastAsiaTheme="minorEastAsia"/>
          <w:b/>
          <w:sz w:val="52"/>
          <w:szCs w:val="36"/>
        </w:rPr>
        <w:t>服务</w:t>
      </w:r>
    </w:p>
    <w:p>
      <w:pPr>
        <w:snapToGrid w:val="0"/>
        <w:spacing w:line="540" w:lineRule="exact"/>
        <w:jc w:val="center"/>
        <w:rPr>
          <w:rFonts w:cs="宋体" w:asciiTheme="minorEastAsia" w:hAnsiTheme="minorEastAsia" w:eastAsiaTheme="minorEastAsia"/>
          <w:b/>
          <w:sz w:val="52"/>
          <w:szCs w:val="36"/>
        </w:rPr>
      </w:pPr>
    </w:p>
    <w:p>
      <w:pPr>
        <w:snapToGrid w:val="0"/>
        <w:spacing w:line="540" w:lineRule="exact"/>
        <w:jc w:val="center"/>
        <w:rPr>
          <w:rFonts w:cs="宋体" w:asciiTheme="minorEastAsia" w:hAnsiTheme="minorEastAsia" w:eastAsiaTheme="minorEastAsia"/>
          <w:b/>
          <w:sz w:val="52"/>
          <w:szCs w:val="36"/>
        </w:rPr>
      </w:pPr>
    </w:p>
    <w:p>
      <w:pPr>
        <w:snapToGrid w:val="0"/>
        <w:spacing w:line="540" w:lineRule="exact"/>
        <w:jc w:val="center"/>
        <w:rPr>
          <w:rFonts w:cs="宋体" w:asciiTheme="minorEastAsia" w:hAnsiTheme="minorEastAsia" w:eastAsiaTheme="minorEastAsia"/>
          <w:b/>
          <w:sz w:val="52"/>
          <w:szCs w:val="36"/>
        </w:rPr>
      </w:pPr>
    </w:p>
    <w:p>
      <w:pPr>
        <w:snapToGrid w:val="0"/>
        <w:spacing w:line="540" w:lineRule="exact"/>
        <w:jc w:val="center"/>
        <w:rPr>
          <w:rFonts w:cs="宋体" w:asciiTheme="minorEastAsia" w:hAnsiTheme="minorEastAsia" w:eastAsiaTheme="minorEastAsia"/>
          <w:b/>
          <w:sz w:val="52"/>
          <w:szCs w:val="36"/>
        </w:rPr>
      </w:pPr>
      <w:r>
        <w:rPr>
          <w:rFonts w:hint="eastAsia" w:cs="宋体" w:asciiTheme="minorEastAsia" w:hAnsiTheme="minorEastAsia" w:eastAsiaTheme="minorEastAsia"/>
          <w:b/>
          <w:sz w:val="52"/>
          <w:szCs w:val="36"/>
        </w:rPr>
        <w:t>赛</w:t>
      </w:r>
    </w:p>
    <w:p>
      <w:pPr>
        <w:snapToGrid w:val="0"/>
        <w:spacing w:line="540" w:lineRule="exact"/>
        <w:jc w:val="center"/>
        <w:rPr>
          <w:rFonts w:cs="宋体" w:asciiTheme="minorEastAsia" w:hAnsiTheme="minorEastAsia" w:eastAsiaTheme="minorEastAsia"/>
          <w:b/>
          <w:sz w:val="52"/>
          <w:szCs w:val="36"/>
        </w:rPr>
      </w:pPr>
    </w:p>
    <w:p>
      <w:pPr>
        <w:snapToGrid w:val="0"/>
        <w:spacing w:line="540" w:lineRule="exact"/>
        <w:jc w:val="center"/>
        <w:rPr>
          <w:rFonts w:cs="宋体" w:asciiTheme="minorEastAsia" w:hAnsiTheme="minorEastAsia" w:eastAsiaTheme="minorEastAsia"/>
          <w:b/>
          <w:sz w:val="52"/>
          <w:szCs w:val="36"/>
        </w:rPr>
      </w:pPr>
      <w:r>
        <w:rPr>
          <w:rFonts w:hint="eastAsia" w:cs="宋体" w:asciiTheme="minorEastAsia" w:hAnsiTheme="minorEastAsia" w:eastAsiaTheme="minorEastAsia"/>
          <w:b/>
          <w:sz w:val="52"/>
          <w:szCs w:val="36"/>
        </w:rPr>
        <w:t>项</w:t>
      </w:r>
    </w:p>
    <w:p>
      <w:pPr>
        <w:snapToGrid w:val="0"/>
        <w:spacing w:line="540" w:lineRule="exact"/>
        <w:jc w:val="center"/>
        <w:rPr>
          <w:rFonts w:cs="宋体" w:asciiTheme="minorEastAsia" w:hAnsiTheme="minorEastAsia" w:eastAsiaTheme="minorEastAsia"/>
          <w:b/>
          <w:sz w:val="52"/>
          <w:szCs w:val="36"/>
        </w:rPr>
      </w:pPr>
    </w:p>
    <w:p>
      <w:pPr>
        <w:snapToGrid w:val="0"/>
        <w:spacing w:line="540" w:lineRule="exact"/>
        <w:jc w:val="center"/>
        <w:rPr>
          <w:rFonts w:cs="宋体" w:asciiTheme="minorEastAsia" w:hAnsiTheme="minorEastAsia" w:eastAsiaTheme="minorEastAsia"/>
          <w:b/>
          <w:sz w:val="52"/>
          <w:szCs w:val="36"/>
        </w:rPr>
      </w:pPr>
      <w:r>
        <w:rPr>
          <w:rFonts w:hint="eastAsia" w:cs="宋体" w:asciiTheme="minorEastAsia" w:hAnsiTheme="minorEastAsia" w:eastAsiaTheme="minorEastAsia"/>
          <w:b/>
          <w:sz w:val="52"/>
          <w:szCs w:val="36"/>
        </w:rPr>
        <w:t>规</w:t>
      </w:r>
    </w:p>
    <w:p>
      <w:pPr>
        <w:snapToGrid w:val="0"/>
        <w:spacing w:line="540" w:lineRule="exact"/>
        <w:jc w:val="center"/>
        <w:rPr>
          <w:rFonts w:cs="宋体" w:asciiTheme="minorEastAsia" w:hAnsiTheme="minorEastAsia" w:eastAsiaTheme="minorEastAsia"/>
          <w:b/>
          <w:sz w:val="52"/>
          <w:szCs w:val="36"/>
        </w:rPr>
      </w:pPr>
    </w:p>
    <w:p>
      <w:pPr>
        <w:snapToGrid w:val="0"/>
        <w:spacing w:line="540" w:lineRule="exact"/>
        <w:jc w:val="center"/>
        <w:rPr>
          <w:rFonts w:ascii="Arial Narrow" w:hAnsi="黑体" w:eastAsia="黑体" w:cs="宋体"/>
          <w:b/>
          <w:sz w:val="36"/>
          <w:szCs w:val="36"/>
        </w:rPr>
      </w:pPr>
      <w:r>
        <w:rPr>
          <w:rFonts w:hint="eastAsia" w:cs="宋体" w:asciiTheme="minorEastAsia" w:hAnsiTheme="minorEastAsia" w:eastAsiaTheme="minorEastAsia"/>
          <w:b/>
          <w:sz w:val="52"/>
          <w:szCs w:val="36"/>
        </w:rPr>
        <w:t>程</w:t>
      </w:r>
    </w:p>
    <w:p>
      <w:pPr>
        <w:widowControl/>
        <w:jc w:val="left"/>
        <w:rPr>
          <w:rFonts w:ascii="Arial Narrow" w:hAnsi="黑体" w:eastAsia="黑体" w:cs="宋体"/>
          <w:b/>
          <w:sz w:val="36"/>
          <w:szCs w:val="36"/>
        </w:rPr>
      </w:pPr>
      <w:r>
        <w:rPr>
          <w:rFonts w:ascii="Arial Narrow" w:hAnsi="黑体" w:eastAsia="黑体" w:cs="宋体"/>
          <w:b/>
          <w:sz w:val="36"/>
          <w:szCs w:val="36"/>
        </w:rPr>
        <w:br w:type="page"/>
      </w:r>
    </w:p>
    <w:p>
      <w:pPr>
        <w:pStyle w:val="2"/>
        <w:rPr>
          <w:rFonts w:ascii="仿宋_GB2312" w:hAnsi="仿宋_GB2312" w:eastAsia="仿宋"/>
          <w:sz w:val="28"/>
          <w:szCs w:val="28"/>
        </w:rPr>
      </w:pPr>
      <w:bookmarkStart w:id="0" w:name="_Toc382406748"/>
      <w:r>
        <w:rPr>
          <w:rFonts w:ascii="Arial Narrow" w:hAnsi="Arial Narrow" w:eastAsia="仿宋_GB2312"/>
          <w:bCs w:val="0"/>
          <w:kern w:val="2"/>
          <w:sz w:val="30"/>
          <w:szCs w:val="30"/>
        </w:rPr>
        <w:t>一、赛项名称</w:t>
      </w:r>
      <w:bookmarkEnd w:id="0"/>
    </w:p>
    <w:p>
      <w:pPr>
        <w:spacing w:line="360" w:lineRule="auto"/>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赛项名称：物联网应用与</w:t>
      </w:r>
      <w:r>
        <w:rPr>
          <w:rFonts w:ascii="Arial Narrow" w:hAnsi="Arial Narrow" w:eastAsia="仿宋_GB2312" w:cs="宋体"/>
          <w:sz w:val="28"/>
          <w:szCs w:val="28"/>
        </w:rPr>
        <w:t>服务</w:t>
      </w:r>
    </w:p>
    <w:p>
      <w:pPr>
        <w:spacing w:line="360" w:lineRule="auto"/>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英文名</w:t>
      </w:r>
      <w:r>
        <w:rPr>
          <w:rFonts w:hint="eastAsia" w:cs="宋体" w:asciiTheme="minorEastAsia" w:hAnsiTheme="minorEastAsia" w:eastAsiaTheme="minorEastAsia"/>
          <w:sz w:val="28"/>
          <w:szCs w:val="28"/>
        </w:rPr>
        <w:t>称：</w:t>
      </w:r>
      <w:r>
        <w:rPr>
          <w:rFonts w:cs="宋体" w:asciiTheme="minorEastAsia" w:hAnsiTheme="minorEastAsia" w:eastAsiaTheme="minorEastAsia"/>
          <w:sz w:val="28"/>
          <w:szCs w:val="28"/>
        </w:rPr>
        <w:t>IoT Applications and Services</w:t>
      </w:r>
    </w:p>
    <w:p>
      <w:pPr>
        <w:spacing w:line="360" w:lineRule="auto"/>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赛项组别：中职组</w:t>
      </w:r>
    </w:p>
    <w:p>
      <w:pPr>
        <w:spacing w:line="360" w:lineRule="auto"/>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赛项归属产业：电子信息产业</w:t>
      </w:r>
    </w:p>
    <w:p>
      <w:pPr>
        <w:pStyle w:val="2"/>
        <w:rPr>
          <w:rFonts w:ascii="Arial Narrow" w:hAnsi="Arial Narrow" w:eastAsia="仿宋_GB2312"/>
          <w:bCs w:val="0"/>
          <w:kern w:val="2"/>
          <w:sz w:val="30"/>
          <w:szCs w:val="30"/>
        </w:rPr>
      </w:pPr>
      <w:bookmarkStart w:id="1" w:name="_Toc382406749"/>
      <w:r>
        <w:rPr>
          <w:rFonts w:hint="eastAsia" w:ascii="Arial Narrow" w:hAnsi="Arial Narrow" w:eastAsia="仿宋_GB2312"/>
          <w:bCs w:val="0"/>
          <w:kern w:val="2"/>
          <w:sz w:val="30"/>
          <w:szCs w:val="30"/>
        </w:rPr>
        <w:t>二、竞赛目的</w:t>
      </w:r>
      <w:bookmarkEnd w:id="1"/>
    </w:p>
    <w:p>
      <w:pPr>
        <w:widowControl/>
        <w:snapToGrid w:val="0"/>
        <w:spacing w:line="560" w:lineRule="exact"/>
        <w:ind w:firstLine="560" w:firstLineChars="200"/>
        <w:rPr>
          <w:rFonts w:ascii="Arial Narrow" w:hAnsi="Arial Narrow" w:eastAsia="仿宋_GB2312" w:cs="宋体"/>
          <w:sz w:val="28"/>
          <w:szCs w:val="28"/>
        </w:rPr>
      </w:pPr>
      <w:r>
        <w:rPr>
          <w:rFonts w:hint="eastAsia" w:ascii="仿宋_GB2312" w:hAnsi="仿宋" w:eastAsia="仿宋_GB2312"/>
          <w:kern w:val="0"/>
          <w:sz w:val="28"/>
          <w:szCs w:val="28"/>
        </w:rPr>
        <w:t>物联网应用与服务赛项致力于全面推动人才培养、产业发展、国家战略和创新融合，贯彻落实《国家职业教育改革实施方案》《关于推动现代职业教育高质量发展的意见》、全国职业教育大会精神和国家新职业教育法，服务国家科技创新、产业结构优化、国际竞争力提升和国家战略实施，探索新技术、新产业、新业态和新模式的创新融合，通过融入物联网行业发展的最新技术、创新应用和职业技能最新标准，产教融合、协同育人，引领职业院校物联网技术应用专业建设，推进“岗课赛证”育人模式改革，推动物联网“双师型”师资队伍建设，促进职普融通、产教融合、科教融汇，优化职业教育类型定位，提升专业人才培养质量，大力培养适应我国经济与社会发展的能从事物联网设备安装与调试、物联网系统运行与维护、物联网系统监控、物联网产品制造与测试、物联网项目辅助开发和售后技术支持的物联网技术技能型人才，为赋能产业转型升级，推动我国数字经济发展提供人才支持。</w:t>
      </w:r>
    </w:p>
    <w:p>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三、竞赛内容</w:t>
      </w:r>
    </w:p>
    <w:p>
      <w:pPr>
        <w:spacing w:line="360" w:lineRule="auto"/>
        <w:ind w:right="210" w:rightChars="100" w:firstLine="420"/>
        <w:jc w:val="left"/>
        <w:rPr>
          <w:rFonts w:eastAsia="楷体"/>
          <w:b/>
          <w:sz w:val="28"/>
          <w:szCs w:val="36"/>
        </w:rPr>
      </w:pPr>
      <w:r>
        <w:rPr>
          <w:rFonts w:hint="eastAsia" w:eastAsia="楷体"/>
          <w:b/>
          <w:sz w:val="32"/>
          <w:szCs w:val="40"/>
        </w:rPr>
        <w:t>（一）赛项考查的技术技能和涵盖的职业典型工作任务</w:t>
      </w:r>
      <w:r>
        <w:rPr>
          <w:rFonts w:eastAsia="楷体"/>
          <w:b/>
          <w:sz w:val="28"/>
          <w:szCs w:val="36"/>
        </w:rPr>
        <w:t xml:space="preserve">  </w:t>
      </w:r>
    </w:p>
    <w:p>
      <w:pPr>
        <w:spacing w:line="600" w:lineRule="exact"/>
        <w:ind w:firstLine="560" w:firstLineChars="200"/>
        <w:rPr>
          <w:rFonts w:eastAsia="仿宋_GB2312"/>
          <w:sz w:val="28"/>
          <w:szCs w:val="36"/>
        </w:rPr>
      </w:pPr>
      <w:r>
        <w:rPr>
          <w:rFonts w:hint="eastAsia" w:eastAsia="仿宋_GB2312"/>
          <w:sz w:val="28"/>
          <w:szCs w:val="36"/>
        </w:rPr>
        <w:t>本赛项通过还原真实的物联网应用场景，体现完整任务，主要考查选手传感器应用、网络通信等方面的知识；物联网生产施工、物联技术服务等方面的能力；职业道德、工作态度、人际交往、团队合作、工匠精神等方面的素养。同时，结合农业、交通、市政、医疗、能源等领域智能化应用，明确行业实际需求，创造性地利用竞赛技术平台资源，围绕问题开发创意，创新解决方案，进行真实项目的物联网工程设计与实施。</w:t>
      </w:r>
    </w:p>
    <w:p>
      <w:pPr>
        <w:spacing w:line="600" w:lineRule="exact"/>
        <w:ind w:firstLine="560" w:firstLineChars="200"/>
        <w:rPr>
          <w:rFonts w:eastAsia="仿宋_GB2312"/>
          <w:sz w:val="28"/>
          <w:szCs w:val="36"/>
        </w:rPr>
      </w:pPr>
      <w:r>
        <w:rPr>
          <w:rFonts w:hint="eastAsia" w:eastAsia="仿宋_GB2312"/>
          <w:sz w:val="28"/>
          <w:szCs w:val="36"/>
        </w:rPr>
        <w:t>本赛项分为三个模块，模块</w:t>
      </w:r>
      <w:r>
        <w:rPr>
          <w:rFonts w:eastAsia="仿宋_GB2312"/>
          <w:sz w:val="28"/>
          <w:szCs w:val="36"/>
        </w:rPr>
        <w:t>A</w:t>
      </w:r>
      <w:r>
        <w:rPr>
          <w:rFonts w:hint="eastAsia" w:eastAsia="仿宋_GB2312"/>
          <w:sz w:val="28"/>
          <w:szCs w:val="36"/>
        </w:rPr>
        <w:t>是物联网工程实施与网络搭建，占总成绩的</w:t>
      </w:r>
      <w:r>
        <w:rPr>
          <w:rFonts w:eastAsia="仿宋_GB2312"/>
          <w:sz w:val="28"/>
          <w:szCs w:val="36"/>
        </w:rPr>
        <w:t>50%</w:t>
      </w:r>
      <w:r>
        <w:rPr>
          <w:rFonts w:hint="eastAsia" w:eastAsia="仿宋_GB2312"/>
          <w:sz w:val="28"/>
          <w:szCs w:val="36"/>
        </w:rPr>
        <w:t>；模块</w:t>
      </w:r>
      <w:r>
        <w:rPr>
          <w:rFonts w:eastAsia="仿宋_GB2312"/>
          <w:sz w:val="28"/>
          <w:szCs w:val="36"/>
        </w:rPr>
        <w:t>B</w:t>
      </w:r>
      <w:r>
        <w:rPr>
          <w:rFonts w:hint="eastAsia" w:eastAsia="仿宋_GB2312"/>
          <w:sz w:val="28"/>
          <w:szCs w:val="36"/>
        </w:rPr>
        <w:t>是物联网应用部署与技术服务，占总成绩</w:t>
      </w:r>
      <w:r>
        <w:rPr>
          <w:rFonts w:eastAsia="仿宋_GB2312"/>
          <w:sz w:val="28"/>
          <w:szCs w:val="36"/>
        </w:rPr>
        <w:t>30%</w:t>
      </w:r>
      <w:r>
        <w:rPr>
          <w:rFonts w:hint="eastAsia" w:eastAsia="仿宋_GB2312"/>
          <w:sz w:val="28"/>
          <w:szCs w:val="36"/>
        </w:rPr>
        <w:t>；模块</w:t>
      </w:r>
      <w:r>
        <w:rPr>
          <w:rFonts w:eastAsia="仿宋_GB2312"/>
          <w:sz w:val="28"/>
          <w:szCs w:val="36"/>
        </w:rPr>
        <w:t>C</w:t>
      </w:r>
      <w:r>
        <w:rPr>
          <w:rFonts w:hint="eastAsia" w:eastAsia="仿宋_GB2312"/>
          <w:sz w:val="28"/>
          <w:szCs w:val="36"/>
        </w:rPr>
        <w:t>是物联网辅助开发和调试，占总成绩的</w:t>
      </w:r>
      <w:r>
        <w:rPr>
          <w:rFonts w:eastAsia="仿宋_GB2312"/>
          <w:sz w:val="28"/>
          <w:szCs w:val="36"/>
        </w:rPr>
        <w:t>20%</w:t>
      </w:r>
      <w:r>
        <w:rPr>
          <w:rFonts w:hint="eastAsia" w:eastAsia="仿宋_GB2312"/>
          <w:sz w:val="28"/>
          <w:szCs w:val="36"/>
        </w:rPr>
        <w:t>。涵盖的职业典型工作任务包括：</w:t>
      </w:r>
    </w:p>
    <w:p>
      <w:pPr>
        <w:spacing w:line="600" w:lineRule="exact"/>
        <w:ind w:firstLine="560" w:firstLineChars="200"/>
        <w:rPr>
          <w:rFonts w:eastAsia="仿宋_GB2312"/>
          <w:sz w:val="28"/>
          <w:szCs w:val="36"/>
        </w:rPr>
      </w:pPr>
      <w:r>
        <w:rPr>
          <w:rFonts w:eastAsia="仿宋_GB2312"/>
          <w:sz w:val="28"/>
          <w:szCs w:val="36"/>
        </w:rPr>
        <w:t>1.</w:t>
      </w:r>
      <w:r>
        <w:rPr>
          <w:rFonts w:hint="eastAsia" w:eastAsia="仿宋_GB2312"/>
          <w:sz w:val="28"/>
          <w:szCs w:val="36"/>
        </w:rPr>
        <w:t>建立物联网设备与设备、设备与网络的连接；</w:t>
      </w:r>
    </w:p>
    <w:p>
      <w:pPr>
        <w:spacing w:line="600" w:lineRule="exact"/>
        <w:ind w:firstLine="560" w:firstLineChars="200"/>
        <w:rPr>
          <w:rFonts w:eastAsia="仿宋_GB2312"/>
          <w:sz w:val="28"/>
          <w:szCs w:val="36"/>
        </w:rPr>
      </w:pPr>
      <w:r>
        <w:rPr>
          <w:rFonts w:eastAsia="仿宋_GB2312"/>
          <w:sz w:val="28"/>
          <w:szCs w:val="36"/>
        </w:rPr>
        <w:t>2.</w:t>
      </w:r>
      <w:r>
        <w:rPr>
          <w:rFonts w:hint="eastAsia" w:eastAsia="仿宋_GB2312"/>
          <w:sz w:val="28"/>
          <w:szCs w:val="36"/>
        </w:rPr>
        <w:t>布设、检修、维护信息通信线缆和无线网络，进行网络系统的局部调整设计和组网；</w:t>
      </w:r>
    </w:p>
    <w:p>
      <w:pPr>
        <w:spacing w:line="600" w:lineRule="exact"/>
        <w:ind w:firstLine="560" w:firstLineChars="200"/>
        <w:rPr>
          <w:rFonts w:eastAsia="仿宋_GB2312"/>
          <w:sz w:val="28"/>
          <w:szCs w:val="36"/>
        </w:rPr>
      </w:pPr>
      <w:r>
        <w:rPr>
          <w:rFonts w:eastAsia="仿宋_GB2312"/>
          <w:sz w:val="28"/>
          <w:szCs w:val="36"/>
        </w:rPr>
        <w:t>3.</w:t>
      </w:r>
      <w:r>
        <w:rPr>
          <w:rFonts w:hint="eastAsia" w:eastAsia="仿宋_GB2312"/>
          <w:sz w:val="28"/>
          <w:szCs w:val="36"/>
        </w:rPr>
        <w:t>安装测试、维护、管理综合布线系统；</w:t>
      </w:r>
    </w:p>
    <w:p>
      <w:pPr>
        <w:spacing w:line="600" w:lineRule="exact"/>
        <w:ind w:firstLine="560" w:firstLineChars="200"/>
        <w:rPr>
          <w:rFonts w:eastAsia="仿宋_GB2312"/>
          <w:sz w:val="28"/>
          <w:szCs w:val="36"/>
        </w:rPr>
      </w:pPr>
      <w:r>
        <w:rPr>
          <w:rFonts w:eastAsia="仿宋_GB2312"/>
          <w:sz w:val="28"/>
          <w:szCs w:val="36"/>
        </w:rPr>
        <w:t>4.</w:t>
      </w:r>
      <w:r>
        <w:rPr>
          <w:rFonts w:hint="eastAsia" w:eastAsia="仿宋_GB2312"/>
          <w:sz w:val="28"/>
          <w:szCs w:val="36"/>
        </w:rPr>
        <w:t>操作、调试、维护物联网系统；</w:t>
      </w:r>
    </w:p>
    <w:p>
      <w:pPr>
        <w:spacing w:line="600" w:lineRule="exact"/>
        <w:ind w:firstLine="560" w:firstLineChars="200"/>
        <w:rPr>
          <w:rFonts w:eastAsia="仿宋_GB2312"/>
          <w:sz w:val="28"/>
          <w:szCs w:val="36"/>
        </w:rPr>
      </w:pPr>
      <w:r>
        <w:rPr>
          <w:rFonts w:eastAsia="仿宋_GB2312"/>
          <w:sz w:val="28"/>
          <w:szCs w:val="36"/>
        </w:rPr>
        <w:t>5.</w:t>
      </w:r>
      <w:r>
        <w:rPr>
          <w:rFonts w:hint="eastAsia" w:eastAsia="仿宋_GB2312"/>
          <w:sz w:val="28"/>
          <w:szCs w:val="36"/>
        </w:rPr>
        <w:t>物联网辅助开发与调试。</w:t>
      </w:r>
    </w:p>
    <w:p>
      <w:pPr>
        <w:spacing w:line="360" w:lineRule="auto"/>
        <w:ind w:right="210" w:rightChars="100" w:firstLine="420"/>
        <w:jc w:val="left"/>
        <w:rPr>
          <w:rFonts w:eastAsia="楷体"/>
          <w:b/>
          <w:sz w:val="32"/>
          <w:szCs w:val="40"/>
        </w:rPr>
      </w:pPr>
      <w:r>
        <w:rPr>
          <w:rFonts w:hint="eastAsia" w:eastAsia="楷体"/>
          <w:b/>
          <w:sz w:val="32"/>
          <w:szCs w:val="40"/>
        </w:rPr>
        <w:t>（二）检验选手核心能力与职业综合能力</w:t>
      </w:r>
    </w:p>
    <w:p>
      <w:pPr>
        <w:spacing w:line="360" w:lineRule="auto"/>
        <w:ind w:right="210" w:rightChars="100" w:firstLine="562" w:firstLineChars="200"/>
        <w:jc w:val="left"/>
        <w:rPr>
          <w:rFonts w:eastAsia="仿宋_GB2312"/>
          <w:sz w:val="28"/>
          <w:szCs w:val="36"/>
        </w:rPr>
      </w:pPr>
      <w:r>
        <w:rPr>
          <w:rFonts w:eastAsia="仿宋_GB2312"/>
          <w:b/>
          <w:sz w:val="28"/>
          <w:szCs w:val="36"/>
        </w:rPr>
        <w:t>1.</w:t>
      </w:r>
      <w:r>
        <w:rPr>
          <w:rFonts w:hint="eastAsia" w:eastAsia="仿宋_GB2312"/>
          <w:b/>
          <w:sz w:val="28"/>
          <w:szCs w:val="36"/>
        </w:rPr>
        <w:t>认知型技能。</w:t>
      </w:r>
      <w:r>
        <w:rPr>
          <w:rFonts w:hint="eastAsia" w:eastAsia="仿宋_GB2312"/>
          <w:sz w:val="28"/>
          <w:szCs w:val="36"/>
        </w:rPr>
        <w:t>包括物联网基础知识、物联网设备认知、物联网技术认知、物联网应用认知。</w:t>
      </w:r>
    </w:p>
    <w:p>
      <w:pPr>
        <w:spacing w:line="360" w:lineRule="auto"/>
        <w:ind w:right="210" w:rightChars="100" w:firstLine="562" w:firstLineChars="200"/>
        <w:jc w:val="left"/>
        <w:rPr>
          <w:rFonts w:eastAsia="仿宋_GB2312"/>
          <w:bCs/>
          <w:sz w:val="28"/>
          <w:szCs w:val="36"/>
        </w:rPr>
      </w:pPr>
      <w:r>
        <w:rPr>
          <w:rFonts w:eastAsia="仿宋_GB2312"/>
          <w:b/>
          <w:sz w:val="28"/>
          <w:szCs w:val="36"/>
        </w:rPr>
        <w:t>2.</w:t>
      </w:r>
      <w:r>
        <w:rPr>
          <w:rFonts w:hint="eastAsia" w:eastAsia="仿宋_GB2312"/>
          <w:b/>
          <w:sz w:val="28"/>
          <w:szCs w:val="36"/>
        </w:rPr>
        <w:t>实操型技能。</w:t>
      </w:r>
      <w:r>
        <w:rPr>
          <w:rFonts w:hint="eastAsia" w:eastAsia="仿宋_GB2312"/>
          <w:sz w:val="28"/>
          <w:szCs w:val="36"/>
        </w:rPr>
        <w:t>包括硬件设备安装调试、网络设备连接配置、软件系统部署维护、物联网项目应用操作。</w:t>
      </w:r>
    </w:p>
    <w:p>
      <w:pPr>
        <w:spacing w:line="600" w:lineRule="exact"/>
        <w:ind w:firstLine="560" w:firstLineChars="200"/>
        <w:rPr>
          <w:rFonts w:eastAsia="仿宋_GB2312"/>
          <w:sz w:val="28"/>
          <w:szCs w:val="36"/>
        </w:rPr>
      </w:pPr>
      <w:r>
        <w:rPr>
          <w:rFonts w:hint="eastAsia" w:eastAsia="仿宋_GB2312"/>
          <w:sz w:val="28"/>
          <w:szCs w:val="36"/>
        </w:rPr>
        <w:t>（</w:t>
      </w:r>
      <w:r>
        <w:rPr>
          <w:rFonts w:eastAsia="仿宋_GB2312"/>
          <w:sz w:val="28"/>
          <w:szCs w:val="36"/>
        </w:rPr>
        <w:t>1</w:t>
      </w:r>
      <w:r>
        <w:rPr>
          <w:rFonts w:hint="eastAsia" w:eastAsia="仿宋_GB2312"/>
          <w:sz w:val="28"/>
          <w:szCs w:val="36"/>
        </w:rPr>
        <w:t>）硬件设备安装调试</w:t>
      </w:r>
    </w:p>
    <w:p>
      <w:pPr>
        <w:spacing w:line="600" w:lineRule="exact"/>
        <w:ind w:firstLine="560" w:firstLineChars="200"/>
        <w:rPr>
          <w:rFonts w:eastAsia="仿宋_GB2312"/>
          <w:sz w:val="28"/>
          <w:szCs w:val="36"/>
        </w:rPr>
      </w:pPr>
      <w:r>
        <w:rPr>
          <w:rFonts w:hint="eastAsia" w:eastAsia="仿宋_GB2312"/>
          <w:sz w:val="28"/>
          <w:szCs w:val="36"/>
        </w:rPr>
        <w:t>基于物联网竞赛工位，按照要求利用通用工具安装调试硬件设备，如传感器、执行器件、传感网络节点等安装到竞赛工位面板上，完成连接及供电，并按照要求对各个设备进行配置，保证设备正常工作。</w:t>
      </w:r>
    </w:p>
    <w:p>
      <w:pPr>
        <w:spacing w:line="600" w:lineRule="exact"/>
        <w:ind w:firstLine="560" w:firstLineChars="200"/>
        <w:rPr>
          <w:rFonts w:eastAsia="仿宋_GB2312"/>
          <w:sz w:val="28"/>
          <w:szCs w:val="36"/>
        </w:rPr>
      </w:pPr>
      <w:r>
        <w:rPr>
          <w:rFonts w:hint="eastAsia" w:eastAsia="仿宋_GB2312"/>
          <w:sz w:val="28"/>
          <w:szCs w:val="36"/>
        </w:rPr>
        <w:t>（</w:t>
      </w:r>
      <w:r>
        <w:rPr>
          <w:rFonts w:eastAsia="仿宋_GB2312"/>
          <w:sz w:val="28"/>
          <w:szCs w:val="36"/>
        </w:rPr>
        <w:t>2</w:t>
      </w:r>
      <w:r>
        <w:rPr>
          <w:rFonts w:hint="eastAsia" w:eastAsia="仿宋_GB2312"/>
          <w:sz w:val="28"/>
          <w:szCs w:val="36"/>
        </w:rPr>
        <w:t>）网络设备连接配置</w:t>
      </w:r>
    </w:p>
    <w:p>
      <w:pPr>
        <w:spacing w:line="600" w:lineRule="exact"/>
        <w:ind w:firstLine="560" w:firstLineChars="200"/>
        <w:rPr>
          <w:rFonts w:eastAsia="仿宋_GB2312"/>
          <w:sz w:val="28"/>
          <w:szCs w:val="36"/>
        </w:rPr>
      </w:pPr>
      <w:r>
        <w:rPr>
          <w:rFonts w:hint="eastAsia" w:eastAsia="仿宋_GB2312"/>
          <w:sz w:val="28"/>
          <w:szCs w:val="36"/>
        </w:rPr>
        <w:t>按照要求建立并管理物联网工程的网络环境，包括网络连接布线，无线路由器设定配置，传感网设备、串口服务器、计算机、智能网关等终端设备进行网络配置。</w:t>
      </w:r>
    </w:p>
    <w:p>
      <w:pPr>
        <w:spacing w:line="600" w:lineRule="exact"/>
        <w:ind w:firstLine="560" w:firstLineChars="200"/>
        <w:rPr>
          <w:rFonts w:eastAsia="仿宋_GB2312"/>
          <w:sz w:val="28"/>
          <w:szCs w:val="36"/>
        </w:rPr>
      </w:pPr>
      <w:r>
        <w:rPr>
          <w:rFonts w:hint="eastAsia" w:eastAsia="仿宋_GB2312"/>
          <w:sz w:val="28"/>
          <w:szCs w:val="36"/>
        </w:rPr>
        <w:t>（</w:t>
      </w:r>
      <w:r>
        <w:rPr>
          <w:rFonts w:eastAsia="仿宋_GB2312"/>
          <w:sz w:val="28"/>
          <w:szCs w:val="36"/>
        </w:rPr>
        <w:t>3</w:t>
      </w:r>
      <w:r>
        <w:rPr>
          <w:rFonts w:hint="eastAsia" w:eastAsia="仿宋_GB2312"/>
          <w:sz w:val="28"/>
          <w:szCs w:val="36"/>
        </w:rPr>
        <w:t>）软件系统部署维护</w:t>
      </w:r>
    </w:p>
    <w:p>
      <w:pPr>
        <w:spacing w:line="600" w:lineRule="exact"/>
        <w:ind w:firstLine="560" w:firstLineChars="200"/>
        <w:rPr>
          <w:rFonts w:eastAsia="仿宋_GB2312"/>
          <w:sz w:val="28"/>
          <w:szCs w:val="36"/>
        </w:rPr>
      </w:pPr>
      <w:r>
        <w:rPr>
          <w:rFonts w:hint="eastAsia" w:eastAsia="仿宋_GB2312"/>
          <w:sz w:val="28"/>
          <w:szCs w:val="36"/>
        </w:rPr>
        <w:t>部署安装软件系统，配置物联网云服务系统，对系统软件的运行环境进行部署安装；对产品配套的应用软件进行部署安装配置等；对产品配套软件系统的维护等；对物联网项目工程通过仿真系统进行搭建、配置及部署。</w:t>
      </w:r>
    </w:p>
    <w:p>
      <w:pPr>
        <w:spacing w:line="600" w:lineRule="exact"/>
        <w:ind w:firstLine="560" w:firstLineChars="200"/>
        <w:rPr>
          <w:rFonts w:eastAsia="仿宋_GB2312"/>
          <w:sz w:val="28"/>
          <w:szCs w:val="36"/>
        </w:rPr>
      </w:pPr>
      <w:r>
        <w:rPr>
          <w:rFonts w:hint="eastAsia" w:eastAsia="仿宋_GB2312"/>
          <w:sz w:val="28"/>
          <w:szCs w:val="36"/>
        </w:rPr>
        <w:t>（</w:t>
      </w:r>
      <w:r>
        <w:rPr>
          <w:rFonts w:eastAsia="仿宋_GB2312"/>
          <w:sz w:val="28"/>
          <w:szCs w:val="36"/>
        </w:rPr>
        <w:t>4</w:t>
      </w:r>
      <w:r>
        <w:rPr>
          <w:rFonts w:hint="eastAsia" w:eastAsia="仿宋_GB2312"/>
          <w:sz w:val="28"/>
          <w:szCs w:val="36"/>
        </w:rPr>
        <w:t>）物联网项目应用操作</w:t>
      </w:r>
    </w:p>
    <w:p>
      <w:pPr>
        <w:spacing w:line="600" w:lineRule="exact"/>
        <w:ind w:firstLine="560" w:firstLineChars="200"/>
        <w:rPr>
          <w:rFonts w:eastAsia="仿宋_GB2312"/>
          <w:sz w:val="28"/>
          <w:szCs w:val="36"/>
        </w:rPr>
      </w:pPr>
      <w:r>
        <w:rPr>
          <w:rFonts w:hint="eastAsia" w:eastAsia="仿宋_GB2312"/>
          <w:sz w:val="28"/>
          <w:szCs w:val="36"/>
        </w:rPr>
        <w:t>对智慧农业、智慧工厂、智能门店等物联网项目的使用操作、业务流程进行了解和熟悉，能够操作和演示各个场景子功能的业务环节。</w:t>
      </w:r>
    </w:p>
    <w:p>
      <w:pPr>
        <w:spacing w:line="600" w:lineRule="exact"/>
        <w:ind w:firstLine="562" w:firstLineChars="200"/>
        <w:rPr>
          <w:rFonts w:eastAsia="仿宋_GB2312"/>
          <w:sz w:val="28"/>
          <w:szCs w:val="36"/>
        </w:rPr>
      </w:pPr>
      <w:r>
        <w:rPr>
          <w:rFonts w:eastAsia="仿宋_GB2312"/>
          <w:b/>
          <w:bCs/>
          <w:sz w:val="28"/>
          <w:szCs w:val="36"/>
        </w:rPr>
        <w:t>3.</w:t>
      </w:r>
      <w:r>
        <w:rPr>
          <w:rFonts w:hint="eastAsia" w:eastAsia="仿宋_GB2312"/>
          <w:b/>
          <w:bCs/>
          <w:sz w:val="28"/>
          <w:szCs w:val="36"/>
        </w:rPr>
        <w:t>开发型技能。</w:t>
      </w:r>
      <w:r>
        <w:rPr>
          <w:rFonts w:hint="eastAsia" w:eastAsia="仿宋_GB2312"/>
          <w:sz w:val="28"/>
          <w:szCs w:val="36"/>
        </w:rPr>
        <w:t>包括根据相关功能子模块的要求，实现传感网辅助应用开发、物联网辅助应用软件开发和程序调试等。</w:t>
      </w:r>
    </w:p>
    <w:p>
      <w:pPr>
        <w:spacing w:line="360" w:lineRule="auto"/>
        <w:ind w:right="210" w:rightChars="100" w:firstLine="420"/>
        <w:jc w:val="left"/>
        <w:rPr>
          <w:rFonts w:eastAsia="楷体"/>
          <w:b/>
          <w:sz w:val="32"/>
          <w:szCs w:val="40"/>
        </w:rPr>
      </w:pPr>
    </w:p>
    <w:p>
      <w:pPr>
        <w:spacing w:line="360" w:lineRule="auto"/>
        <w:ind w:right="210" w:rightChars="100" w:firstLine="420"/>
        <w:jc w:val="left"/>
        <w:rPr>
          <w:rFonts w:eastAsia="楷体"/>
          <w:b/>
          <w:sz w:val="32"/>
          <w:szCs w:val="40"/>
        </w:rPr>
      </w:pPr>
    </w:p>
    <w:p>
      <w:pPr>
        <w:spacing w:line="360" w:lineRule="auto"/>
        <w:ind w:right="210" w:rightChars="100" w:firstLine="420"/>
        <w:jc w:val="left"/>
        <w:rPr>
          <w:rFonts w:eastAsia="楷体"/>
          <w:b/>
          <w:sz w:val="32"/>
          <w:szCs w:val="40"/>
        </w:rPr>
      </w:pPr>
    </w:p>
    <w:p>
      <w:pPr>
        <w:spacing w:line="360" w:lineRule="auto"/>
        <w:ind w:right="210" w:rightChars="100" w:firstLine="420"/>
        <w:jc w:val="left"/>
        <w:rPr>
          <w:rFonts w:eastAsia="楷体"/>
          <w:b/>
          <w:sz w:val="32"/>
          <w:szCs w:val="40"/>
        </w:rPr>
      </w:pPr>
      <w:r>
        <w:rPr>
          <w:rFonts w:hint="eastAsia" w:eastAsia="楷体"/>
          <w:b/>
          <w:sz w:val="32"/>
          <w:szCs w:val="40"/>
        </w:rPr>
        <w:t>（三）赛项模块、比赛时长及分值配比</w:t>
      </w:r>
    </w:p>
    <w:tbl>
      <w:tblPr>
        <w:tblStyle w:val="11"/>
        <w:tblW w:w="848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109"/>
        <w:gridCol w:w="4139"/>
        <w:gridCol w:w="1252"/>
        <w:gridCol w:w="991"/>
      </w:tblGrid>
      <w:tr>
        <w:tblPrEx>
          <w:tblLayout w:type="fixed"/>
          <w:tblCellMar>
            <w:top w:w="0" w:type="dxa"/>
            <w:left w:w="108" w:type="dxa"/>
            <w:bottom w:w="0" w:type="dxa"/>
            <w:right w:w="108" w:type="dxa"/>
          </w:tblCellMar>
        </w:tblPrEx>
        <w:trPr>
          <w:trHeight w:val="510" w:hRule="atLeast"/>
          <w:jc w:val="center"/>
        </w:trPr>
        <w:tc>
          <w:tcPr>
            <w:tcW w:w="2102"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40" w:rightChars="19"/>
              <w:jc w:val="center"/>
              <w:rPr>
                <w:rFonts w:eastAsia="仿宋_GB2312"/>
                <w:b/>
                <w:sz w:val="24"/>
                <w:szCs w:val="24"/>
              </w:rPr>
            </w:pPr>
            <w:r>
              <w:rPr>
                <w:rFonts w:hint="eastAsia" w:eastAsia="仿宋_GB2312"/>
                <w:b/>
                <w:sz w:val="24"/>
              </w:rPr>
              <w:t>模块</w:t>
            </w:r>
          </w:p>
        </w:tc>
        <w:tc>
          <w:tcPr>
            <w:tcW w:w="413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38" w:rightChars="18"/>
              <w:jc w:val="center"/>
              <w:rPr>
                <w:rFonts w:eastAsia="仿宋_GB2312"/>
                <w:b/>
                <w:sz w:val="24"/>
              </w:rPr>
            </w:pPr>
            <w:r>
              <w:rPr>
                <w:rFonts w:hint="eastAsia" w:eastAsia="仿宋_GB2312"/>
                <w:b/>
                <w:sz w:val="24"/>
              </w:rPr>
              <w:t>主要内容</w:t>
            </w:r>
          </w:p>
        </w:tc>
        <w:tc>
          <w:tcPr>
            <w:tcW w:w="125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27" w:rightChars="13"/>
              <w:jc w:val="center"/>
              <w:rPr>
                <w:rFonts w:eastAsia="仿宋_GB2312"/>
                <w:b/>
                <w:sz w:val="24"/>
              </w:rPr>
            </w:pPr>
            <w:r>
              <w:rPr>
                <w:rFonts w:hint="eastAsia" w:eastAsia="仿宋_GB2312"/>
                <w:b/>
                <w:sz w:val="24"/>
              </w:rPr>
              <w:t>比赛时长</w:t>
            </w:r>
          </w:p>
        </w:tc>
        <w:tc>
          <w:tcPr>
            <w:tcW w:w="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42" w:rightChars="-20"/>
              <w:jc w:val="center"/>
              <w:rPr>
                <w:rFonts w:eastAsia="仿宋_GB2312"/>
                <w:b/>
                <w:sz w:val="24"/>
              </w:rPr>
            </w:pPr>
            <w:r>
              <w:rPr>
                <w:rFonts w:hint="eastAsia" w:eastAsia="仿宋_GB2312"/>
                <w:b/>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1"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right="109" w:rightChars="52"/>
              <w:jc w:val="center"/>
              <w:rPr>
                <w:rFonts w:eastAsia="仿宋_GB2312"/>
                <w:b/>
                <w:sz w:val="24"/>
              </w:rPr>
            </w:pPr>
            <w:r>
              <w:rPr>
                <w:rFonts w:hint="eastAsia" w:eastAsia="仿宋_GB2312"/>
                <w:b/>
                <w:sz w:val="24"/>
              </w:rPr>
              <w:t>模块</w:t>
            </w:r>
            <w:r>
              <w:rPr>
                <w:rFonts w:eastAsia="仿宋_GB2312"/>
                <w:b/>
                <w:sz w:val="24"/>
              </w:rPr>
              <w:t>A</w:t>
            </w:r>
          </w:p>
        </w:tc>
        <w:tc>
          <w:tcPr>
            <w:tcW w:w="11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right="40" w:rightChars="19"/>
              <w:jc w:val="center"/>
              <w:rPr>
                <w:rFonts w:eastAsia="仿宋_GB2312"/>
                <w:b/>
                <w:sz w:val="24"/>
              </w:rPr>
            </w:pPr>
            <w:r>
              <w:rPr>
                <w:rFonts w:hint="eastAsia" w:eastAsia="仿宋_GB2312"/>
                <w:kern w:val="0"/>
                <w:sz w:val="24"/>
              </w:rPr>
              <w:t>物联网工程实施与网络搭建</w:t>
            </w:r>
          </w:p>
        </w:tc>
        <w:tc>
          <w:tcPr>
            <w:tcW w:w="413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right="38" w:rightChars="18"/>
              <w:rPr>
                <w:rFonts w:eastAsia="仿宋_GB2312"/>
                <w:b/>
                <w:sz w:val="24"/>
              </w:rPr>
            </w:pPr>
            <w:r>
              <w:rPr>
                <w:rFonts w:hint="eastAsia" w:eastAsia="仿宋_GB2312"/>
                <w:kern w:val="0"/>
                <w:sz w:val="24"/>
              </w:rPr>
              <w:t>根据项目要求，完成设备选型，安装调试物联网工程项目中的硬件设备，如各类传感器、执行器、自动识别终端、传感网络模块等，进行电路装配、工程布线、设备检测及设置。搭建物联网工程网络，并对各终端设备的有线网络、无线网络进行连接和配置；以及考查选手的职业素养。</w:t>
            </w:r>
          </w:p>
        </w:tc>
        <w:tc>
          <w:tcPr>
            <w:tcW w:w="1252"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right="27" w:rightChars="13"/>
              <w:jc w:val="center"/>
              <w:rPr>
                <w:rFonts w:eastAsia="仿宋_GB2312"/>
                <w:b/>
                <w:sz w:val="24"/>
              </w:rPr>
            </w:pPr>
            <w:r>
              <w:rPr>
                <w:rFonts w:hint="eastAsia" w:eastAsia="仿宋_GB2312"/>
                <w:kern w:val="0"/>
                <w:sz w:val="24"/>
              </w:rPr>
              <w:t>3小时</w:t>
            </w:r>
          </w:p>
        </w:tc>
        <w:tc>
          <w:tcPr>
            <w:tcW w:w="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right="-42" w:rightChars="-20"/>
              <w:jc w:val="center"/>
              <w:rPr>
                <w:rFonts w:eastAsia="仿宋_GB2312"/>
                <w:b/>
                <w:sz w:val="24"/>
              </w:rPr>
            </w:pPr>
            <w:r>
              <w:rPr>
                <w:rFonts w:eastAsia="仿宋_GB2312"/>
                <w:kern w:val="0"/>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1"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right="109" w:rightChars="52"/>
              <w:jc w:val="center"/>
              <w:rPr>
                <w:rFonts w:eastAsia="仿宋_GB2312"/>
                <w:b/>
                <w:sz w:val="24"/>
              </w:rPr>
            </w:pPr>
            <w:r>
              <w:rPr>
                <w:rFonts w:hint="eastAsia" w:eastAsia="仿宋_GB2312"/>
                <w:b/>
                <w:sz w:val="24"/>
              </w:rPr>
              <w:t>模块</w:t>
            </w:r>
            <w:r>
              <w:rPr>
                <w:rFonts w:eastAsia="仿宋_GB2312"/>
                <w:b/>
                <w:sz w:val="24"/>
              </w:rPr>
              <w:t>B</w:t>
            </w:r>
          </w:p>
        </w:tc>
        <w:tc>
          <w:tcPr>
            <w:tcW w:w="11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right="40" w:rightChars="19"/>
              <w:rPr>
                <w:rFonts w:eastAsia="仿宋_GB2312"/>
                <w:b/>
                <w:sz w:val="24"/>
              </w:rPr>
            </w:pPr>
            <w:r>
              <w:rPr>
                <w:rFonts w:hint="eastAsia" w:eastAsia="仿宋_GB2312"/>
                <w:kern w:val="0"/>
                <w:sz w:val="24"/>
              </w:rPr>
              <w:t>物联网应用部署与技术服务</w:t>
            </w:r>
          </w:p>
        </w:tc>
        <w:tc>
          <w:tcPr>
            <w:tcW w:w="413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right="38" w:rightChars="18"/>
              <w:rPr>
                <w:rFonts w:eastAsia="仿宋_GB2312"/>
                <w:b/>
                <w:sz w:val="24"/>
              </w:rPr>
            </w:pPr>
            <w:r>
              <w:rPr>
                <w:rFonts w:hint="eastAsia" w:eastAsia="仿宋_GB2312"/>
                <w:kern w:val="0"/>
                <w:sz w:val="24"/>
              </w:rPr>
              <w:t>根据项目要求，进行部署物联网软件系统，包括对服务系统、</w:t>
            </w:r>
            <w:r>
              <w:rPr>
                <w:rFonts w:eastAsia="仿宋_GB2312"/>
                <w:kern w:val="0"/>
                <w:sz w:val="24"/>
              </w:rPr>
              <w:t>PC</w:t>
            </w:r>
            <w:r>
              <w:rPr>
                <w:rFonts w:hint="eastAsia" w:eastAsia="仿宋_GB2312"/>
                <w:kern w:val="0"/>
                <w:sz w:val="24"/>
              </w:rPr>
              <w:t>客户端应用、移动端软件、网关系统及平台系统的部署和配置。运行维护物联网平台，定时完成设备及软件系统巡检，排查物联网应用服务、运行环境、数据库、网络及硬件等故障，解决程序运行中存在的问题；以及考查选手的职业素养。</w:t>
            </w:r>
          </w:p>
        </w:tc>
        <w:tc>
          <w:tcPr>
            <w:tcW w:w="125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b/>
                <w:sz w:val="24"/>
                <w:szCs w:val="24"/>
              </w:rPr>
            </w:pPr>
          </w:p>
        </w:tc>
        <w:tc>
          <w:tcPr>
            <w:tcW w:w="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right="-42" w:rightChars="-20"/>
              <w:jc w:val="center"/>
              <w:rPr>
                <w:rFonts w:eastAsia="仿宋_GB2312"/>
                <w:b/>
                <w:sz w:val="24"/>
              </w:rPr>
            </w:pPr>
            <w:r>
              <w:rPr>
                <w:rFonts w:eastAsia="仿宋_GB2312"/>
                <w:kern w:val="0"/>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right="109" w:rightChars="52"/>
              <w:jc w:val="center"/>
              <w:rPr>
                <w:rFonts w:eastAsia="仿宋_GB2312"/>
                <w:b/>
                <w:sz w:val="24"/>
              </w:rPr>
            </w:pPr>
            <w:r>
              <w:rPr>
                <w:rFonts w:hint="eastAsia" w:eastAsia="仿宋_GB2312"/>
                <w:b/>
                <w:sz w:val="24"/>
              </w:rPr>
              <w:t>模块</w:t>
            </w:r>
            <w:r>
              <w:rPr>
                <w:rFonts w:eastAsia="仿宋_GB2312"/>
                <w:b/>
                <w:sz w:val="24"/>
              </w:rPr>
              <w:t>C</w:t>
            </w:r>
          </w:p>
        </w:tc>
        <w:tc>
          <w:tcPr>
            <w:tcW w:w="11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right="40" w:rightChars="19"/>
              <w:rPr>
                <w:rFonts w:eastAsia="仿宋_GB2312"/>
                <w:b/>
                <w:sz w:val="24"/>
              </w:rPr>
            </w:pPr>
            <w:r>
              <w:rPr>
                <w:rFonts w:hint="eastAsia" w:eastAsia="仿宋_GB2312"/>
                <w:kern w:val="0"/>
                <w:sz w:val="24"/>
              </w:rPr>
              <w:t>物联网辅助开发和调试</w:t>
            </w:r>
          </w:p>
        </w:tc>
        <w:tc>
          <w:tcPr>
            <w:tcW w:w="413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right="38" w:rightChars="18"/>
              <w:rPr>
                <w:rFonts w:eastAsia="仿宋_GB2312"/>
                <w:b/>
                <w:sz w:val="24"/>
              </w:rPr>
            </w:pPr>
            <w:r>
              <w:rPr>
                <w:rFonts w:hint="eastAsia" w:eastAsia="仿宋_GB2312"/>
                <w:kern w:val="0"/>
                <w:sz w:val="24"/>
              </w:rPr>
              <w:t>根据项目要求，辅助开发物联网应用，检测和处理传感网络数据，完成物联网传感数据、设备状态、分布状况及历史数据等内容展示；以及考查选手的职业素养。</w:t>
            </w:r>
          </w:p>
        </w:tc>
        <w:tc>
          <w:tcPr>
            <w:tcW w:w="125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b/>
                <w:sz w:val="24"/>
                <w:szCs w:val="24"/>
              </w:rPr>
            </w:pPr>
          </w:p>
        </w:tc>
        <w:tc>
          <w:tcPr>
            <w:tcW w:w="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right="-42" w:rightChars="-20"/>
              <w:jc w:val="center"/>
              <w:rPr>
                <w:rFonts w:eastAsia="仿宋_GB2312"/>
                <w:b/>
                <w:sz w:val="24"/>
              </w:rPr>
            </w:pPr>
            <w:r>
              <w:rPr>
                <w:rFonts w:eastAsia="仿宋_GB2312"/>
                <w:kern w:val="0"/>
                <w:sz w:val="24"/>
              </w:rPr>
              <w:t>20</w:t>
            </w:r>
          </w:p>
        </w:tc>
      </w:tr>
    </w:tbl>
    <w:p>
      <w:pPr>
        <w:rPr>
          <w:bCs/>
        </w:rPr>
      </w:pPr>
    </w:p>
    <w:p>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四、竞赛方式</w:t>
      </w:r>
    </w:p>
    <w:p>
      <w:pPr>
        <w:spacing w:line="360" w:lineRule="auto"/>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1．本赛项为团队赛，以院校为单位组队参赛，不得跨校组队，同一学校参赛队不超过2支。</w:t>
      </w:r>
    </w:p>
    <w:p>
      <w:pPr>
        <w:spacing w:line="360" w:lineRule="auto"/>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2. 每支参赛队由2名选手组成，其中队长1名。</w:t>
      </w:r>
    </w:p>
    <w:p>
      <w:pPr>
        <w:spacing w:line="360" w:lineRule="auto"/>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3．每支参赛队可配指导教师1至2名，指导教师须为本校专兼职教师，竞赛期间不允许指导教师进入赛场进行现场指导。</w:t>
      </w:r>
    </w:p>
    <w:p>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五、竞赛流程</w:t>
      </w:r>
    </w:p>
    <w:p>
      <w:pPr>
        <w:snapToGrid w:val="0"/>
        <w:spacing w:line="560" w:lineRule="exact"/>
        <w:outlineLvl w:val="0"/>
        <w:rPr>
          <w:rFonts w:ascii="Arial Narrow" w:hAnsi="Arial Narrow" w:eastAsia="仿宋_GB2312" w:cs="Arial"/>
          <w:sz w:val="28"/>
          <w:szCs w:val="30"/>
        </w:rPr>
      </w:pPr>
      <w:r>
        <w:rPr>
          <w:rFonts w:hint="eastAsia" w:ascii="Arial Narrow" w:hAnsi="Arial Narrow" w:eastAsia="仿宋_GB2312" w:cs="Arial"/>
          <w:sz w:val="28"/>
          <w:szCs w:val="30"/>
        </w:rPr>
        <w:t>（一</w:t>
      </w:r>
      <w:r>
        <w:rPr>
          <w:rFonts w:ascii="Arial Narrow" w:hAnsi="Arial Narrow" w:eastAsia="仿宋_GB2312" w:cs="Arial"/>
          <w:sz w:val="28"/>
          <w:szCs w:val="30"/>
        </w:rPr>
        <w:t>）竞赛</w:t>
      </w:r>
      <w:r>
        <w:rPr>
          <w:rFonts w:hint="eastAsia" w:ascii="Arial Narrow" w:hAnsi="Arial Narrow" w:eastAsia="仿宋_GB2312" w:cs="Arial"/>
          <w:sz w:val="28"/>
          <w:szCs w:val="30"/>
        </w:rPr>
        <w:t>流程</w:t>
      </w:r>
      <w:r>
        <w:rPr>
          <w:rFonts w:ascii="Arial Narrow" w:hAnsi="Arial Narrow" w:eastAsia="仿宋_GB2312" w:cs="Arial"/>
          <w:sz w:val="28"/>
          <w:szCs w:val="30"/>
        </w:rPr>
        <w:t>图</w:t>
      </w:r>
    </w:p>
    <w:p>
      <w:pPr>
        <w:jc w:val="center"/>
        <w:rPr>
          <w:rFonts w:ascii="宋体" w:cs="宋体"/>
          <w:kern w:val="0"/>
          <w:sz w:val="18"/>
          <w:szCs w:val="18"/>
          <w:lang w:val="zh-CN"/>
        </w:rPr>
      </w:pPr>
      <w:r>
        <w:drawing>
          <wp:inline distT="0" distB="0" distL="0" distR="0">
            <wp:extent cx="5274310" cy="573786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274310" cy="5737860"/>
                    </a:xfrm>
                    <a:prstGeom prst="rect">
                      <a:avLst/>
                    </a:prstGeom>
                  </pic:spPr>
                </pic:pic>
              </a:graphicData>
            </a:graphic>
          </wp:inline>
        </w:drawing>
      </w:r>
    </w:p>
    <w:p>
      <w:pPr>
        <w:jc w:val="center"/>
        <w:rPr>
          <w:rFonts w:ascii="宋体" w:cs="宋体"/>
          <w:kern w:val="0"/>
          <w:sz w:val="18"/>
          <w:szCs w:val="18"/>
          <w:lang w:val="zh-CN"/>
        </w:rPr>
      </w:pPr>
    </w:p>
    <w:p>
      <w:pPr>
        <w:snapToGrid w:val="0"/>
        <w:spacing w:line="560" w:lineRule="exact"/>
        <w:outlineLvl w:val="0"/>
        <w:rPr>
          <w:rFonts w:ascii="Arial Narrow" w:hAnsi="Arial Narrow" w:eastAsia="仿宋_GB2312" w:cs="Arial"/>
          <w:sz w:val="28"/>
          <w:szCs w:val="30"/>
        </w:rPr>
      </w:pPr>
      <w:r>
        <w:rPr>
          <w:rFonts w:hint="eastAsia" w:ascii="Arial Narrow" w:hAnsi="Arial Narrow" w:eastAsia="仿宋_GB2312" w:cs="Arial"/>
          <w:sz w:val="28"/>
          <w:szCs w:val="30"/>
        </w:rPr>
        <w:t>（</w:t>
      </w:r>
      <w:r>
        <w:rPr>
          <w:rFonts w:ascii="Arial Narrow" w:hAnsi="Arial Narrow" w:eastAsia="仿宋_GB2312" w:cs="Arial"/>
          <w:sz w:val="28"/>
          <w:szCs w:val="30"/>
        </w:rPr>
        <w:t>二）竞赛时间安排表</w:t>
      </w:r>
    </w:p>
    <w:tbl>
      <w:tblPr>
        <w:tblStyle w:val="11"/>
        <w:tblW w:w="5000" w:type="pct"/>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
        <w:gridCol w:w="1508"/>
        <w:gridCol w:w="45"/>
        <w:gridCol w:w="1463"/>
        <w:gridCol w:w="89"/>
        <w:gridCol w:w="1530"/>
        <w:gridCol w:w="137"/>
        <w:gridCol w:w="3503"/>
        <w:gridCol w:w="245"/>
      </w:tblGrid>
      <w:tr>
        <w:tblPrEx>
          <w:tblLayout w:type="fixed"/>
          <w:tblCellMar>
            <w:top w:w="0" w:type="dxa"/>
            <w:left w:w="108" w:type="dxa"/>
            <w:bottom w:w="0" w:type="dxa"/>
            <w:right w:w="108" w:type="dxa"/>
          </w:tblCellMar>
        </w:tblPrEx>
        <w:trPr>
          <w:gridBefore w:val="1"/>
          <w:wBefore w:w="1" w:type="dxa"/>
          <w:trHeight w:val="340" w:hRule="atLeast"/>
          <w:jc w:val="center"/>
        </w:trPr>
        <w:tc>
          <w:tcPr>
            <w:tcW w:w="1509" w:type="dxa"/>
            <w:gridSpan w:val="2"/>
            <w:vAlign w:val="center"/>
          </w:tcPr>
          <w:p>
            <w:pPr>
              <w:adjustRightInd w:val="0"/>
              <w:snapToGrid w:val="0"/>
              <w:jc w:val="center"/>
              <w:rPr>
                <w:rFonts w:ascii="仿宋_GB2312" w:hAnsi="宋体" w:eastAsia="仿宋_GB2312"/>
                <w:b/>
                <w:sz w:val="24"/>
              </w:rPr>
            </w:pPr>
            <w:r>
              <w:rPr>
                <w:rFonts w:hint="eastAsia" w:ascii="仿宋_GB2312" w:hAnsi="宋体" w:eastAsia="仿宋_GB2312"/>
                <w:b/>
                <w:sz w:val="24"/>
              </w:rPr>
              <w:t>日程</w:t>
            </w:r>
          </w:p>
        </w:tc>
        <w:tc>
          <w:tcPr>
            <w:tcW w:w="1508" w:type="dxa"/>
            <w:gridSpan w:val="2"/>
            <w:vAlign w:val="center"/>
          </w:tcPr>
          <w:p>
            <w:pPr>
              <w:adjustRightInd w:val="0"/>
              <w:snapToGrid w:val="0"/>
              <w:jc w:val="center"/>
              <w:rPr>
                <w:rFonts w:ascii="仿宋_GB2312" w:eastAsia="仿宋_GB2312"/>
                <w:b/>
                <w:sz w:val="24"/>
              </w:rPr>
            </w:pPr>
            <w:r>
              <w:rPr>
                <w:rFonts w:hint="eastAsia" w:ascii="仿宋_GB2312" w:hAnsi="宋体" w:eastAsia="仿宋_GB2312"/>
                <w:b/>
                <w:sz w:val="24"/>
              </w:rPr>
              <w:t>时间</w:t>
            </w:r>
          </w:p>
        </w:tc>
        <w:tc>
          <w:tcPr>
            <w:tcW w:w="1619" w:type="dxa"/>
            <w:gridSpan w:val="2"/>
            <w:vAlign w:val="center"/>
          </w:tcPr>
          <w:p>
            <w:pPr>
              <w:adjustRightInd w:val="0"/>
              <w:snapToGrid w:val="0"/>
              <w:jc w:val="center"/>
              <w:rPr>
                <w:rFonts w:ascii="仿宋_GB2312" w:eastAsia="仿宋_GB2312"/>
                <w:b/>
                <w:sz w:val="24"/>
              </w:rPr>
            </w:pPr>
            <w:r>
              <w:rPr>
                <w:rFonts w:hint="eastAsia" w:ascii="仿宋_GB2312" w:hAnsi="宋体" w:eastAsia="仿宋_GB2312"/>
                <w:b/>
                <w:sz w:val="24"/>
              </w:rPr>
              <w:t>竞赛环节</w:t>
            </w:r>
          </w:p>
        </w:tc>
        <w:tc>
          <w:tcPr>
            <w:tcW w:w="3640" w:type="dxa"/>
            <w:gridSpan w:val="2"/>
            <w:vAlign w:val="center"/>
          </w:tcPr>
          <w:p>
            <w:pPr>
              <w:adjustRightInd w:val="0"/>
              <w:snapToGrid w:val="0"/>
              <w:jc w:val="center"/>
              <w:rPr>
                <w:rFonts w:ascii="仿宋_GB2312" w:eastAsia="仿宋_GB2312"/>
                <w:b/>
                <w:sz w:val="24"/>
              </w:rPr>
            </w:pPr>
            <w:r>
              <w:rPr>
                <w:rFonts w:hint="eastAsia" w:ascii="仿宋_GB2312" w:hAnsi="宋体" w:eastAsia="仿宋_GB2312"/>
                <w:b/>
                <w:sz w:val="24"/>
              </w:rPr>
              <w:t>说       明</w:t>
            </w:r>
          </w:p>
        </w:tc>
      </w:tr>
      <w:tr>
        <w:tblPrEx>
          <w:tblLayout w:type="fixed"/>
          <w:tblCellMar>
            <w:top w:w="0" w:type="dxa"/>
            <w:left w:w="108" w:type="dxa"/>
            <w:bottom w:w="0" w:type="dxa"/>
            <w:right w:w="108" w:type="dxa"/>
          </w:tblCellMar>
        </w:tblPrEx>
        <w:trPr>
          <w:gridBefore w:val="1"/>
          <w:wBefore w:w="1" w:type="dxa"/>
          <w:trHeight w:val="552" w:hRule="atLeast"/>
          <w:jc w:val="center"/>
        </w:trPr>
        <w:tc>
          <w:tcPr>
            <w:tcW w:w="1509" w:type="dxa"/>
            <w:gridSpan w:val="2"/>
            <w:vMerge w:val="restart"/>
            <w:vAlign w:val="center"/>
          </w:tcPr>
          <w:p>
            <w:pPr>
              <w:adjustRightInd w:val="0"/>
              <w:snapToGrid w:val="0"/>
              <w:ind w:left="-105" w:leftChars="-50" w:right="-105" w:rightChars="-50"/>
              <w:jc w:val="center"/>
              <w:rPr>
                <w:rFonts w:ascii="仿宋_GB2312" w:hAnsi="仿宋" w:eastAsia="仿宋_GB2312"/>
                <w:sz w:val="24"/>
              </w:rPr>
            </w:pPr>
            <w:r>
              <w:rPr>
                <w:rFonts w:hint="eastAsia" w:ascii="仿宋_GB2312" w:hAnsi="仿宋" w:eastAsia="仿宋_GB2312"/>
                <w:sz w:val="24"/>
              </w:rPr>
              <w:t>比赛日前一天</w:t>
            </w:r>
          </w:p>
        </w:tc>
        <w:tc>
          <w:tcPr>
            <w:tcW w:w="1508" w:type="dxa"/>
            <w:gridSpan w:val="2"/>
            <w:vAlign w:val="center"/>
          </w:tcPr>
          <w:p>
            <w:pPr>
              <w:adjustRightInd w:val="0"/>
              <w:snapToGrid w:val="0"/>
              <w:ind w:left="-105" w:leftChars="-50" w:right="-105" w:rightChars="-50"/>
              <w:jc w:val="center"/>
              <w:rPr>
                <w:rFonts w:ascii="仿宋_GB2312" w:hAnsi="仿宋" w:eastAsia="仿宋_GB2312"/>
                <w:sz w:val="24"/>
              </w:rPr>
            </w:pPr>
            <w:r>
              <w:rPr>
                <w:rFonts w:hint="eastAsia" w:ascii="仿宋_GB2312" w:hAnsi="仿宋" w:eastAsia="仿宋_GB2312"/>
                <w:sz w:val="24"/>
              </w:rPr>
              <w:t>8:00-15:00</w:t>
            </w:r>
          </w:p>
        </w:tc>
        <w:tc>
          <w:tcPr>
            <w:tcW w:w="1619" w:type="dxa"/>
            <w:gridSpan w:val="2"/>
            <w:vAlign w:val="center"/>
          </w:tcPr>
          <w:p>
            <w:pPr>
              <w:adjustRightInd w:val="0"/>
              <w:snapToGrid w:val="0"/>
              <w:rPr>
                <w:rFonts w:ascii="仿宋_GB2312" w:hAnsi="仿宋" w:eastAsia="仿宋_GB2312"/>
                <w:sz w:val="24"/>
              </w:rPr>
            </w:pPr>
            <w:r>
              <w:rPr>
                <w:rFonts w:hint="eastAsia" w:ascii="仿宋_GB2312" w:hAnsi="仿宋" w:eastAsia="仿宋_GB2312"/>
                <w:sz w:val="24"/>
              </w:rPr>
              <w:t>报道</w:t>
            </w:r>
          </w:p>
        </w:tc>
        <w:tc>
          <w:tcPr>
            <w:tcW w:w="3640" w:type="dxa"/>
            <w:gridSpan w:val="2"/>
            <w:vAlign w:val="center"/>
          </w:tcPr>
          <w:p>
            <w:pPr>
              <w:adjustRightInd w:val="0"/>
              <w:snapToGrid w:val="0"/>
              <w:rPr>
                <w:rFonts w:ascii="仿宋_GB2312" w:hAnsi="仿宋" w:eastAsia="仿宋_GB2312"/>
                <w:sz w:val="24"/>
              </w:rPr>
            </w:pPr>
            <w:r>
              <w:rPr>
                <w:rFonts w:hint="eastAsia" w:ascii="仿宋_GB2312" w:hAnsi="仿宋" w:eastAsia="仿宋_GB2312"/>
                <w:sz w:val="24"/>
              </w:rPr>
              <w:t>各参赛队到指定地点报道</w:t>
            </w:r>
          </w:p>
        </w:tc>
      </w:tr>
      <w:tr>
        <w:tblPrEx>
          <w:tblLayout w:type="fixed"/>
          <w:tblCellMar>
            <w:top w:w="0" w:type="dxa"/>
            <w:left w:w="108" w:type="dxa"/>
            <w:bottom w:w="0" w:type="dxa"/>
            <w:right w:w="108" w:type="dxa"/>
          </w:tblCellMar>
        </w:tblPrEx>
        <w:trPr>
          <w:gridBefore w:val="1"/>
          <w:wBefore w:w="1" w:type="dxa"/>
          <w:trHeight w:val="552" w:hRule="atLeast"/>
          <w:jc w:val="center"/>
        </w:trPr>
        <w:tc>
          <w:tcPr>
            <w:tcW w:w="1509" w:type="dxa"/>
            <w:gridSpan w:val="2"/>
            <w:vMerge w:val="continue"/>
            <w:vAlign w:val="center"/>
          </w:tcPr>
          <w:p>
            <w:pPr>
              <w:adjustRightInd w:val="0"/>
              <w:snapToGrid w:val="0"/>
              <w:ind w:left="-105" w:leftChars="-50" w:right="-105" w:rightChars="-50"/>
              <w:jc w:val="center"/>
              <w:rPr>
                <w:rFonts w:ascii="仿宋_GB2312" w:hAnsi="仿宋" w:eastAsia="仿宋_GB2312"/>
                <w:sz w:val="24"/>
              </w:rPr>
            </w:pPr>
          </w:p>
        </w:tc>
        <w:tc>
          <w:tcPr>
            <w:tcW w:w="1508" w:type="dxa"/>
            <w:gridSpan w:val="2"/>
            <w:vAlign w:val="center"/>
          </w:tcPr>
          <w:p>
            <w:pPr>
              <w:adjustRightInd w:val="0"/>
              <w:snapToGrid w:val="0"/>
              <w:ind w:left="-105" w:leftChars="-50" w:right="-105" w:rightChars="-50"/>
              <w:jc w:val="center"/>
              <w:rPr>
                <w:rFonts w:ascii="仿宋_GB2312" w:hAnsi="仿宋" w:eastAsia="仿宋_GB2312"/>
                <w:sz w:val="24"/>
              </w:rPr>
            </w:pPr>
            <w:r>
              <w:rPr>
                <w:rFonts w:hint="eastAsia" w:ascii="仿宋_GB2312" w:hAnsi="仿宋" w:eastAsia="仿宋_GB2312"/>
                <w:sz w:val="24"/>
              </w:rPr>
              <w:t>16:00-16:30</w:t>
            </w:r>
          </w:p>
        </w:tc>
        <w:tc>
          <w:tcPr>
            <w:tcW w:w="1619" w:type="dxa"/>
            <w:gridSpan w:val="2"/>
            <w:vAlign w:val="center"/>
          </w:tcPr>
          <w:p>
            <w:pPr>
              <w:adjustRightInd w:val="0"/>
              <w:snapToGrid w:val="0"/>
              <w:rPr>
                <w:rFonts w:ascii="仿宋_GB2312" w:hAnsi="仿宋" w:eastAsia="仿宋_GB2312"/>
                <w:sz w:val="24"/>
              </w:rPr>
            </w:pPr>
            <w:r>
              <w:rPr>
                <w:rFonts w:hint="eastAsia" w:ascii="仿宋_GB2312" w:hAnsi="仿宋" w:eastAsia="仿宋_GB2312"/>
                <w:sz w:val="24"/>
              </w:rPr>
              <w:t>开幕式</w:t>
            </w:r>
          </w:p>
        </w:tc>
        <w:tc>
          <w:tcPr>
            <w:tcW w:w="3640" w:type="dxa"/>
            <w:gridSpan w:val="2"/>
            <w:vAlign w:val="center"/>
          </w:tcPr>
          <w:p>
            <w:pPr>
              <w:adjustRightInd w:val="0"/>
              <w:snapToGrid w:val="0"/>
              <w:rPr>
                <w:rFonts w:ascii="仿宋_GB2312" w:hAnsi="仿宋" w:eastAsia="仿宋_GB2312"/>
                <w:sz w:val="24"/>
              </w:rPr>
            </w:pPr>
            <w:r>
              <w:rPr>
                <w:rFonts w:hint="eastAsia" w:ascii="仿宋_GB2312" w:hAnsi="仿宋" w:eastAsia="仿宋_GB2312"/>
                <w:sz w:val="24"/>
                <w:lang w:eastAsia="zh-CN"/>
              </w:rPr>
              <w:t>承办校致辞，</w:t>
            </w:r>
            <w:r>
              <w:rPr>
                <w:rFonts w:hint="eastAsia" w:ascii="仿宋_GB2312" w:hAnsi="仿宋" w:eastAsia="仿宋_GB2312"/>
                <w:sz w:val="24"/>
              </w:rPr>
              <w:t>裁判员代表、学生代表发言，所有参赛队参加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 w:type="dxa"/>
          <w:trHeight w:val="552" w:hRule="atLeast"/>
          <w:jc w:val="center"/>
        </w:trPr>
        <w:tc>
          <w:tcPr>
            <w:tcW w:w="1509" w:type="dxa"/>
            <w:gridSpan w:val="2"/>
            <w:vMerge w:val="continue"/>
            <w:vAlign w:val="center"/>
          </w:tcPr>
          <w:p>
            <w:pPr>
              <w:adjustRightInd w:val="0"/>
              <w:snapToGrid w:val="0"/>
              <w:ind w:left="-105" w:leftChars="-50" w:right="-105" w:rightChars="-50"/>
              <w:jc w:val="center"/>
              <w:rPr>
                <w:rFonts w:ascii="仿宋_GB2312" w:hAnsi="仿宋" w:eastAsia="仿宋_GB2312"/>
                <w:sz w:val="24"/>
              </w:rPr>
            </w:pPr>
          </w:p>
        </w:tc>
        <w:tc>
          <w:tcPr>
            <w:tcW w:w="1508" w:type="dxa"/>
            <w:gridSpan w:val="2"/>
            <w:vAlign w:val="center"/>
          </w:tcPr>
          <w:p>
            <w:pPr>
              <w:adjustRightInd w:val="0"/>
              <w:snapToGrid w:val="0"/>
              <w:ind w:left="-105" w:leftChars="-50" w:right="-105" w:rightChars="-50"/>
              <w:jc w:val="center"/>
              <w:rPr>
                <w:rFonts w:ascii="仿宋_GB2312" w:hAnsi="仿宋" w:eastAsia="仿宋_GB2312"/>
                <w:sz w:val="24"/>
              </w:rPr>
            </w:pPr>
            <w:r>
              <w:rPr>
                <w:rFonts w:hint="eastAsia" w:ascii="仿宋_GB2312" w:hAnsi="仿宋" w:eastAsia="仿宋_GB2312"/>
                <w:sz w:val="24"/>
              </w:rPr>
              <w:t>16:30-17:00</w:t>
            </w:r>
          </w:p>
        </w:tc>
        <w:tc>
          <w:tcPr>
            <w:tcW w:w="1619" w:type="dxa"/>
            <w:gridSpan w:val="2"/>
            <w:vAlign w:val="center"/>
          </w:tcPr>
          <w:p>
            <w:pPr>
              <w:adjustRightInd w:val="0"/>
              <w:snapToGrid w:val="0"/>
              <w:rPr>
                <w:rFonts w:ascii="仿宋_GB2312" w:hAnsi="仿宋" w:eastAsia="仿宋_GB2312"/>
                <w:sz w:val="24"/>
              </w:rPr>
            </w:pPr>
            <w:r>
              <w:rPr>
                <w:rFonts w:hint="eastAsia" w:ascii="仿宋_GB2312" w:hAnsi="仿宋" w:eastAsia="仿宋_GB2312"/>
                <w:sz w:val="24"/>
              </w:rPr>
              <w:t>领队会</w:t>
            </w:r>
          </w:p>
        </w:tc>
        <w:tc>
          <w:tcPr>
            <w:tcW w:w="3640" w:type="dxa"/>
            <w:gridSpan w:val="2"/>
            <w:vAlign w:val="center"/>
          </w:tcPr>
          <w:p>
            <w:pPr>
              <w:adjustRightInd w:val="0"/>
              <w:snapToGrid w:val="0"/>
              <w:rPr>
                <w:rFonts w:hint="eastAsia" w:ascii="仿宋_GB2312" w:hAnsi="仿宋" w:eastAsia="仿宋_GB2312"/>
                <w:sz w:val="24"/>
                <w:lang w:eastAsia="zh-CN"/>
              </w:rPr>
            </w:pPr>
            <w:r>
              <w:rPr>
                <w:rFonts w:hint="eastAsia" w:ascii="仿宋_GB2312" w:hAnsi="仿宋" w:eastAsia="仿宋_GB2312"/>
                <w:sz w:val="24"/>
                <w:lang w:eastAsia="zh-CN"/>
              </w:rPr>
              <w:t>赛项专家组做相关比赛</w:t>
            </w:r>
            <w:bookmarkStart w:id="4" w:name="_GoBack"/>
            <w:bookmarkEnd w:id="4"/>
            <w:r>
              <w:rPr>
                <w:rFonts w:hint="eastAsia" w:ascii="仿宋_GB2312" w:hAnsi="仿宋" w:eastAsia="仿宋_GB2312"/>
                <w:sz w:val="24"/>
                <w:lang w:eastAsia="zh-CN"/>
              </w:rPr>
              <w:t>要求及咨询答疑</w:t>
            </w:r>
          </w:p>
        </w:tc>
      </w:tr>
      <w:tr>
        <w:tblPrEx>
          <w:tblLayout w:type="fixed"/>
          <w:tblCellMar>
            <w:top w:w="0" w:type="dxa"/>
            <w:left w:w="108" w:type="dxa"/>
            <w:bottom w:w="0" w:type="dxa"/>
            <w:right w:w="108" w:type="dxa"/>
          </w:tblCellMar>
        </w:tblPrEx>
        <w:trPr>
          <w:gridBefore w:val="1"/>
          <w:wBefore w:w="1" w:type="dxa"/>
          <w:trHeight w:val="552" w:hRule="atLeast"/>
          <w:jc w:val="center"/>
        </w:trPr>
        <w:tc>
          <w:tcPr>
            <w:tcW w:w="1509" w:type="dxa"/>
            <w:gridSpan w:val="2"/>
            <w:vMerge w:val="restart"/>
            <w:vAlign w:val="center"/>
          </w:tcPr>
          <w:p>
            <w:pPr>
              <w:adjustRightInd w:val="0"/>
              <w:snapToGrid w:val="0"/>
              <w:ind w:left="-105" w:leftChars="-50" w:right="-105" w:rightChars="-50"/>
              <w:jc w:val="center"/>
              <w:rPr>
                <w:rFonts w:ascii="仿宋_GB2312" w:hAnsi="仿宋" w:eastAsia="仿宋_GB2312"/>
                <w:sz w:val="24"/>
              </w:rPr>
            </w:pPr>
            <w:r>
              <w:rPr>
                <w:rFonts w:hint="eastAsia" w:ascii="仿宋_GB2312" w:hAnsi="仿宋" w:eastAsia="仿宋_GB2312"/>
                <w:sz w:val="24"/>
              </w:rPr>
              <w:t>比赛日</w:t>
            </w:r>
          </w:p>
        </w:tc>
        <w:tc>
          <w:tcPr>
            <w:tcW w:w="1508" w:type="dxa"/>
            <w:gridSpan w:val="2"/>
            <w:vAlign w:val="center"/>
          </w:tcPr>
          <w:p>
            <w:pPr>
              <w:adjustRightInd w:val="0"/>
              <w:snapToGrid w:val="0"/>
              <w:ind w:left="-105" w:leftChars="-50" w:right="-105" w:rightChars="-50"/>
              <w:jc w:val="center"/>
              <w:rPr>
                <w:rFonts w:ascii="仿宋_GB2312" w:hAnsi="仿宋" w:eastAsia="仿宋_GB2312"/>
                <w:sz w:val="24"/>
              </w:rPr>
            </w:pPr>
            <w:r>
              <w:rPr>
                <w:rFonts w:hint="eastAsia" w:ascii="仿宋_GB2312" w:hAnsi="仿宋" w:eastAsia="仿宋_GB2312"/>
                <w:sz w:val="24"/>
              </w:rPr>
              <w:t>07:</w:t>
            </w:r>
            <w:r>
              <w:rPr>
                <w:rFonts w:ascii="仿宋_GB2312" w:hAnsi="仿宋" w:eastAsia="仿宋_GB2312"/>
                <w:sz w:val="24"/>
              </w:rPr>
              <w:t>0</w:t>
            </w:r>
            <w:r>
              <w:rPr>
                <w:rFonts w:hint="eastAsia" w:ascii="仿宋_GB2312" w:hAnsi="仿宋" w:eastAsia="仿宋_GB2312"/>
                <w:sz w:val="24"/>
              </w:rPr>
              <w:t>0</w:t>
            </w:r>
            <w:r>
              <w:rPr>
                <w:rFonts w:hint="eastAsia" w:ascii="仿宋_GB2312" w:eastAsia="仿宋_GB2312"/>
                <w:sz w:val="24"/>
              </w:rPr>
              <w:t>-</w:t>
            </w:r>
            <w:r>
              <w:rPr>
                <w:rFonts w:hint="eastAsia" w:ascii="仿宋_GB2312" w:hAnsi="仿宋" w:eastAsia="仿宋_GB2312"/>
                <w:sz w:val="24"/>
              </w:rPr>
              <w:t>07:20</w:t>
            </w:r>
          </w:p>
        </w:tc>
        <w:tc>
          <w:tcPr>
            <w:tcW w:w="1619" w:type="dxa"/>
            <w:gridSpan w:val="2"/>
            <w:vAlign w:val="center"/>
          </w:tcPr>
          <w:p>
            <w:pPr>
              <w:adjustRightInd w:val="0"/>
              <w:snapToGrid w:val="0"/>
              <w:rPr>
                <w:rFonts w:ascii="仿宋_GB2312" w:hAnsi="仿宋" w:eastAsia="仿宋_GB2312"/>
                <w:sz w:val="24"/>
              </w:rPr>
            </w:pPr>
            <w:r>
              <w:rPr>
                <w:rFonts w:hint="eastAsia" w:ascii="仿宋_GB2312" w:hAnsi="仿宋" w:eastAsia="仿宋_GB2312"/>
                <w:sz w:val="24"/>
              </w:rPr>
              <w:t>启封赛场</w:t>
            </w:r>
          </w:p>
        </w:tc>
        <w:tc>
          <w:tcPr>
            <w:tcW w:w="3640" w:type="dxa"/>
            <w:gridSpan w:val="2"/>
            <w:vAlign w:val="center"/>
          </w:tcPr>
          <w:p>
            <w:pPr>
              <w:adjustRightInd w:val="0"/>
              <w:snapToGrid w:val="0"/>
              <w:rPr>
                <w:rFonts w:ascii="仿宋_GB2312" w:hAnsi="仿宋" w:eastAsia="仿宋_GB2312"/>
                <w:sz w:val="24"/>
              </w:rPr>
            </w:pPr>
            <w:r>
              <w:rPr>
                <w:rFonts w:hint="eastAsia" w:ascii="仿宋_GB2312" w:hAnsi="仿宋" w:eastAsia="仿宋_GB2312"/>
                <w:sz w:val="24"/>
              </w:rPr>
              <w:t>在裁判员和监督仲裁员的监督下工作人员启封赛场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 w:type="dxa"/>
          <w:trHeight w:val="552" w:hRule="atLeast"/>
          <w:jc w:val="center"/>
        </w:trPr>
        <w:tc>
          <w:tcPr>
            <w:tcW w:w="1509" w:type="dxa"/>
            <w:gridSpan w:val="2"/>
            <w:vMerge w:val="continue"/>
            <w:vAlign w:val="center"/>
          </w:tcPr>
          <w:p>
            <w:pPr>
              <w:adjustRightInd w:val="0"/>
              <w:snapToGrid w:val="0"/>
              <w:ind w:left="-105" w:leftChars="-50" w:right="-105" w:rightChars="-50"/>
              <w:jc w:val="center"/>
              <w:rPr>
                <w:rFonts w:ascii="仿宋_GB2312" w:eastAsia="仿宋_GB2312"/>
                <w:sz w:val="24"/>
              </w:rPr>
            </w:pPr>
          </w:p>
        </w:tc>
        <w:tc>
          <w:tcPr>
            <w:tcW w:w="1508" w:type="dxa"/>
            <w:gridSpan w:val="2"/>
            <w:vAlign w:val="center"/>
          </w:tcPr>
          <w:p>
            <w:pPr>
              <w:adjustRightInd w:val="0"/>
              <w:snapToGrid w:val="0"/>
              <w:ind w:left="-105" w:leftChars="-50" w:right="-105" w:rightChars="-50"/>
              <w:jc w:val="center"/>
              <w:rPr>
                <w:rFonts w:ascii="仿宋_GB2312" w:eastAsia="仿宋_GB2312"/>
                <w:sz w:val="24"/>
              </w:rPr>
            </w:pPr>
            <w:r>
              <w:rPr>
                <w:rFonts w:hint="eastAsia" w:ascii="仿宋_GB2312" w:eastAsia="仿宋_GB2312"/>
                <w:sz w:val="24"/>
              </w:rPr>
              <w:t>07:20-07:4</w:t>
            </w:r>
            <w:r>
              <w:rPr>
                <w:rFonts w:ascii="仿宋_GB2312" w:eastAsia="仿宋_GB2312"/>
                <w:sz w:val="24"/>
              </w:rPr>
              <w:t>0</w:t>
            </w:r>
          </w:p>
        </w:tc>
        <w:tc>
          <w:tcPr>
            <w:tcW w:w="1619" w:type="dxa"/>
            <w:gridSpan w:val="2"/>
            <w:vAlign w:val="center"/>
          </w:tcPr>
          <w:p>
            <w:pPr>
              <w:adjustRightInd w:val="0"/>
              <w:snapToGrid w:val="0"/>
              <w:rPr>
                <w:rFonts w:ascii="仿宋_GB2312" w:eastAsia="仿宋_GB2312"/>
                <w:sz w:val="24"/>
              </w:rPr>
            </w:pPr>
            <w:r>
              <w:rPr>
                <w:rFonts w:hint="eastAsia" w:eastAsia="仿宋_GB2312"/>
                <w:sz w:val="24"/>
              </w:rPr>
              <w:t>竞赛</w:t>
            </w:r>
            <w:r>
              <w:rPr>
                <w:rFonts w:hint="eastAsia" w:ascii="仿宋_GB2312" w:eastAsia="仿宋_GB2312"/>
                <w:sz w:val="24"/>
              </w:rPr>
              <w:t>选手进行一次加密</w:t>
            </w:r>
          </w:p>
        </w:tc>
        <w:tc>
          <w:tcPr>
            <w:tcW w:w="3640" w:type="dxa"/>
            <w:gridSpan w:val="2"/>
            <w:vAlign w:val="center"/>
          </w:tcPr>
          <w:p>
            <w:pPr>
              <w:adjustRightInd w:val="0"/>
              <w:snapToGrid w:val="0"/>
              <w:rPr>
                <w:rFonts w:ascii="仿宋_GB2312" w:eastAsia="仿宋_GB2312"/>
                <w:sz w:val="24"/>
              </w:rPr>
            </w:pPr>
            <w:r>
              <w:rPr>
                <w:rFonts w:hint="eastAsia" w:ascii="仿宋_GB2312" w:eastAsia="仿宋_GB2312"/>
                <w:sz w:val="24"/>
              </w:rPr>
              <w:t>参赛选手持参赛证、身份证和学生证接受工作人员检录并进行一次加密确定参赛编号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 w:type="dxa"/>
          <w:trHeight w:val="552" w:hRule="atLeast"/>
          <w:jc w:val="center"/>
        </w:trPr>
        <w:tc>
          <w:tcPr>
            <w:tcW w:w="1509" w:type="dxa"/>
            <w:gridSpan w:val="2"/>
            <w:vMerge w:val="continue"/>
            <w:vAlign w:val="center"/>
          </w:tcPr>
          <w:p>
            <w:pPr>
              <w:adjustRightInd w:val="0"/>
              <w:snapToGrid w:val="0"/>
              <w:ind w:left="-105" w:leftChars="-50" w:right="-105" w:rightChars="-50"/>
              <w:jc w:val="center"/>
              <w:rPr>
                <w:rFonts w:hint="eastAsia" w:ascii="仿宋_GB2312" w:eastAsia="仿宋_GB2312"/>
                <w:sz w:val="24"/>
                <w:lang w:eastAsia="zh-CN"/>
              </w:rPr>
            </w:pPr>
            <w:r>
              <w:rPr>
                <w:rFonts w:hint="eastAsia" w:ascii="仿宋_GB2312" w:eastAsia="仿宋_GB2312"/>
                <w:sz w:val="24"/>
                <w:lang w:eastAsia="zh-CN"/>
              </w:rPr>
              <w:t>收到</w:t>
            </w:r>
          </w:p>
        </w:tc>
        <w:tc>
          <w:tcPr>
            <w:tcW w:w="1508" w:type="dxa"/>
            <w:gridSpan w:val="2"/>
            <w:vAlign w:val="center"/>
          </w:tcPr>
          <w:p>
            <w:pPr>
              <w:adjustRightInd w:val="0"/>
              <w:snapToGrid w:val="0"/>
              <w:ind w:left="-105" w:leftChars="-50" w:right="-105" w:rightChars="-50"/>
              <w:jc w:val="center"/>
              <w:rPr>
                <w:rFonts w:ascii="仿宋_GB2312" w:eastAsia="仿宋_GB2312"/>
                <w:sz w:val="24"/>
              </w:rPr>
            </w:pPr>
            <w:r>
              <w:rPr>
                <w:rFonts w:hint="eastAsia" w:ascii="仿宋_GB2312" w:eastAsia="仿宋_GB2312"/>
                <w:sz w:val="24"/>
              </w:rPr>
              <w:t>07:4</w:t>
            </w:r>
            <w:r>
              <w:rPr>
                <w:rFonts w:ascii="仿宋_GB2312" w:eastAsia="仿宋_GB2312"/>
                <w:sz w:val="24"/>
              </w:rPr>
              <w:t>0</w:t>
            </w:r>
            <w:r>
              <w:rPr>
                <w:rFonts w:hint="eastAsia" w:ascii="仿宋_GB2312" w:eastAsia="仿宋_GB2312"/>
                <w:sz w:val="24"/>
              </w:rPr>
              <w:t>-0</w:t>
            </w:r>
            <w:r>
              <w:rPr>
                <w:rFonts w:ascii="仿宋_GB2312" w:eastAsia="仿宋_GB2312"/>
                <w:sz w:val="24"/>
              </w:rPr>
              <w:t>8</w:t>
            </w:r>
            <w:r>
              <w:rPr>
                <w:rFonts w:hint="eastAsia" w:ascii="仿宋_GB2312" w:eastAsia="仿宋_GB2312"/>
                <w:sz w:val="24"/>
              </w:rPr>
              <w:t>:00</w:t>
            </w:r>
          </w:p>
        </w:tc>
        <w:tc>
          <w:tcPr>
            <w:tcW w:w="1619" w:type="dxa"/>
            <w:gridSpan w:val="2"/>
            <w:vAlign w:val="center"/>
          </w:tcPr>
          <w:p>
            <w:pPr>
              <w:adjustRightInd w:val="0"/>
              <w:snapToGrid w:val="0"/>
              <w:rPr>
                <w:rFonts w:eastAsia="仿宋_GB2312"/>
                <w:sz w:val="24"/>
              </w:rPr>
            </w:pPr>
            <w:r>
              <w:rPr>
                <w:rFonts w:hint="eastAsia" w:eastAsia="仿宋_GB2312"/>
                <w:sz w:val="24"/>
              </w:rPr>
              <w:t>二次抽签加密</w:t>
            </w:r>
          </w:p>
        </w:tc>
        <w:tc>
          <w:tcPr>
            <w:tcW w:w="3640" w:type="dxa"/>
            <w:gridSpan w:val="2"/>
            <w:vAlign w:val="center"/>
          </w:tcPr>
          <w:p>
            <w:pPr>
              <w:adjustRightInd w:val="0"/>
              <w:snapToGrid w:val="0"/>
              <w:rPr>
                <w:rFonts w:ascii="仿宋_GB2312" w:eastAsia="仿宋_GB2312"/>
                <w:sz w:val="24"/>
              </w:rPr>
            </w:pPr>
            <w:r>
              <w:rPr>
                <w:rFonts w:hint="eastAsia" w:ascii="仿宋_GB2312" w:eastAsia="仿宋_GB2312"/>
                <w:sz w:val="24"/>
              </w:rPr>
              <w:t>参赛选手凭一次加密后的参赛编号进行二次抽签加密确定赛位号</w:t>
            </w:r>
          </w:p>
        </w:tc>
      </w:tr>
      <w:tr>
        <w:tblPrEx>
          <w:tblLayout w:type="fixed"/>
          <w:tblCellMar>
            <w:top w:w="0" w:type="dxa"/>
            <w:left w:w="108" w:type="dxa"/>
            <w:bottom w:w="0" w:type="dxa"/>
            <w:right w:w="108" w:type="dxa"/>
          </w:tblCellMar>
        </w:tblPrEx>
        <w:trPr>
          <w:gridBefore w:val="1"/>
          <w:wBefore w:w="1" w:type="dxa"/>
          <w:trHeight w:val="552" w:hRule="atLeast"/>
          <w:jc w:val="center"/>
        </w:trPr>
        <w:tc>
          <w:tcPr>
            <w:tcW w:w="1509" w:type="dxa"/>
            <w:gridSpan w:val="2"/>
            <w:vMerge w:val="continue"/>
            <w:vAlign w:val="center"/>
          </w:tcPr>
          <w:p>
            <w:pPr>
              <w:adjustRightInd w:val="0"/>
              <w:snapToGrid w:val="0"/>
              <w:ind w:left="-105" w:leftChars="-50" w:right="-105" w:rightChars="-50"/>
              <w:jc w:val="center"/>
              <w:rPr>
                <w:rFonts w:ascii="仿宋_GB2312" w:eastAsia="仿宋_GB2312"/>
                <w:sz w:val="24"/>
              </w:rPr>
            </w:pPr>
          </w:p>
        </w:tc>
        <w:tc>
          <w:tcPr>
            <w:tcW w:w="1508" w:type="dxa"/>
            <w:gridSpan w:val="2"/>
            <w:vAlign w:val="center"/>
          </w:tcPr>
          <w:p>
            <w:pPr>
              <w:adjustRightInd w:val="0"/>
              <w:snapToGrid w:val="0"/>
              <w:ind w:left="-105" w:leftChars="-50" w:right="-105" w:rightChars="-50"/>
              <w:jc w:val="center"/>
              <w:rPr>
                <w:rFonts w:ascii="仿宋_GB2312" w:eastAsia="仿宋_GB2312"/>
                <w:sz w:val="24"/>
              </w:rPr>
            </w:pPr>
            <w:r>
              <w:rPr>
                <w:rFonts w:ascii="仿宋_GB2312" w:eastAsia="仿宋_GB2312"/>
                <w:sz w:val="24"/>
              </w:rPr>
              <w:t>0</w:t>
            </w:r>
            <w:r>
              <w:rPr>
                <w:rFonts w:hint="eastAsia" w:ascii="仿宋_GB2312" w:eastAsia="仿宋_GB2312"/>
                <w:sz w:val="24"/>
              </w:rPr>
              <w:t>8:00</w:t>
            </w:r>
            <w:r>
              <w:rPr>
                <w:rFonts w:ascii="仿宋_GB2312" w:eastAsia="仿宋_GB2312"/>
                <w:sz w:val="24"/>
              </w:rPr>
              <w:t>-0</w:t>
            </w:r>
            <w:r>
              <w:rPr>
                <w:rFonts w:hint="eastAsia" w:ascii="仿宋_GB2312" w:eastAsia="仿宋_GB2312"/>
                <w:sz w:val="24"/>
              </w:rPr>
              <w:t>8:10</w:t>
            </w:r>
          </w:p>
        </w:tc>
        <w:tc>
          <w:tcPr>
            <w:tcW w:w="1619" w:type="dxa"/>
            <w:gridSpan w:val="2"/>
            <w:vAlign w:val="center"/>
          </w:tcPr>
          <w:p>
            <w:pPr>
              <w:adjustRightInd w:val="0"/>
              <w:snapToGrid w:val="0"/>
              <w:rPr>
                <w:rFonts w:eastAsia="仿宋_GB2312"/>
                <w:sz w:val="24"/>
              </w:rPr>
            </w:pPr>
            <w:r>
              <w:rPr>
                <w:rFonts w:hint="eastAsia" w:eastAsia="仿宋_GB2312"/>
                <w:sz w:val="24"/>
              </w:rPr>
              <w:t>竞赛入场检录</w:t>
            </w:r>
          </w:p>
        </w:tc>
        <w:tc>
          <w:tcPr>
            <w:tcW w:w="3640" w:type="dxa"/>
            <w:gridSpan w:val="2"/>
            <w:vAlign w:val="center"/>
          </w:tcPr>
          <w:p>
            <w:pPr>
              <w:adjustRightInd w:val="0"/>
              <w:snapToGrid w:val="0"/>
              <w:rPr>
                <w:rFonts w:ascii="仿宋_GB2312" w:eastAsia="仿宋_GB2312"/>
                <w:sz w:val="24"/>
              </w:rPr>
            </w:pPr>
            <w:r>
              <w:rPr>
                <w:rFonts w:hint="eastAsia" w:ascii="仿宋_GB2312" w:eastAsia="仿宋_GB2312"/>
                <w:sz w:val="24"/>
              </w:rPr>
              <w:t>参赛选手凭赛位号接受入场检录确认没有携带竞赛禁止的工具和材料</w:t>
            </w:r>
          </w:p>
        </w:tc>
      </w:tr>
      <w:tr>
        <w:tblPrEx>
          <w:tblLayout w:type="fixed"/>
          <w:tblCellMar>
            <w:top w:w="0" w:type="dxa"/>
            <w:left w:w="108" w:type="dxa"/>
            <w:bottom w:w="0" w:type="dxa"/>
            <w:right w:w="108" w:type="dxa"/>
          </w:tblCellMar>
        </w:tblPrEx>
        <w:trPr>
          <w:gridBefore w:val="1"/>
          <w:wBefore w:w="1" w:type="dxa"/>
          <w:trHeight w:val="552" w:hRule="atLeast"/>
          <w:jc w:val="center"/>
        </w:trPr>
        <w:tc>
          <w:tcPr>
            <w:tcW w:w="1509" w:type="dxa"/>
            <w:gridSpan w:val="2"/>
            <w:vMerge w:val="continue"/>
            <w:vAlign w:val="center"/>
          </w:tcPr>
          <w:p>
            <w:pPr>
              <w:adjustRightInd w:val="0"/>
              <w:snapToGrid w:val="0"/>
              <w:ind w:left="-105" w:leftChars="-50" w:right="-105" w:rightChars="-50"/>
              <w:jc w:val="center"/>
              <w:rPr>
                <w:rFonts w:ascii="仿宋_GB2312" w:eastAsia="仿宋_GB2312"/>
                <w:sz w:val="24"/>
              </w:rPr>
            </w:pPr>
          </w:p>
        </w:tc>
        <w:tc>
          <w:tcPr>
            <w:tcW w:w="1508" w:type="dxa"/>
            <w:gridSpan w:val="2"/>
            <w:vAlign w:val="center"/>
          </w:tcPr>
          <w:p>
            <w:pPr>
              <w:adjustRightInd w:val="0"/>
              <w:snapToGrid w:val="0"/>
              <w:ind w:left="-105" w:leftChars="-50" w:right="-105" w:rightChars="-50"/>
              <w:jc w:val="center"/>
              <w:rPr>
                <w:rFonts w:ascii="仿宋_GB2312" w:eastAsia="仿宋_GB2312"/>
                <w:sz w:val="24"/>
              </w:rPr>
            </w:pPr>
            <w:r>
              <w:rPr>
                <w:rFonts w:hint="eastAsia" w:ascii="仿宋_GB2312" w:eastAsia="仿宋_GB2312"/>
                <w:sz w:val="24"/>
              </w:rPr>
              <w:t>08:10-08:20</w:t>
            </w:r>
          </w:p>
        </w:tc>
        <w:tc>
          <w:tcPr>
            <w:tcW w:w="1619" w:type="dxa"/>
            <w:gridSpan w:val="2"/>
            <w:vAlign w:val="center"/>
          </w:tcPr>
          <w:p>
            <w:pPr>
              <w:adjustRightInd w:val="0"/>
              <w:snapToGrid w:val="0"/>
              <w:rPr>
                <w:rFonts w:eastAsia="仿宋_GB2312"/>
                <w:sz w:val="24"/>
              </w:rPr>
            </w:pPr>
            <w:r>
              <w:rPr>
                <w:rFonts w:hint="eastAsia" w:eastAsia="仿宋_GB2312"/>
                <w:sz w:val="24"/>
              </w:rPr>
              <w:t>竞赛选手</w:t>
            </w:r>
            <w:r>
              <w:rPr>
                <w:rFonts w:hint="eastAsia" w:ascii="仿宋_GB2312" w:eastAsia="仿宋_GB2312"/>
                <w:sz w:val="24"/>
              </w:rPr>
              <w:t>入场就位、发布竞赛任务</w:t>
            </w:r>
          </w:p>
        </w:tc>
        <w:tc>
          <w:tcPr>
            <w:tcW w:w="3640" w:type="dxa"/>
            <w:gridSpan w:val="2"/>
            <w:vAlign w:val="center"/>
          </w:tcPr>
          <w:p>
            <w:pPr>
              <w:adjustRightInd w:val="0"/>
              <w:snapToGrid w:val="0"/>
              <w:rPr>
                <w:rFonts w:ascii="仿宋_GB2312" w:hAnsi="宋体" w:eastAsia="仿宋_GB2312" w:cs="宋体"/>
                <w:kern w:val="0"/>
                <w:sz w:val="24"/>
              </w:rPr>
            </w:pPr>
            <w:r>
              <w:rPr>
                <w:rFonts w:hint="eastAsia" w:ascii="仿宋_GB2312" w:eastAsia="仿宋_GB2312"/>
                <w:sz w:val="24"/>
              </w:rPr>
              <w:t>参赛选手根据赛位号由工作人员引导进入竞赛工位、</w:t>
            </w:r>
            <w:r>
              <w:rPr>
                <w:rFonts w:hint="eastAsia" w:ascii="仿宋_GB2312" w:hAnsi="宋体" w:eastAsia="仿宋_GB2312" w:cs="宋体"/>
                <w:kern w:val="0"/>
                <w:sz w:val="24"/>
              </w:rPr>
              <w:t>裁判宣读竞赛规则及赛场规则，发布竞赛任务并作必要说明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 w:type="dxa"/>
          <w:trHeight w:val="552" w:hRule="atLeast"/>
          <w:jc w:val="center"/>
        </w:trPr>
        <w:tc>
          <w:tcPr>
            <w:tcW w:w="1509" w:type="dxa"/>
            <w:gridSpan w:val="2"/>
            <w:vMerge w:val="continue"/>
            <w:vAlign w:val="center"/>
          </w:tcPr>
          <w:p>
            <w:pPr>
              <w:adjustRightInd w:val="0"/>
              <w:snapToGrid w:val="0"/>
              <w:ind w:left="-105" w:leftChars="-50" w:right="-105" w:rightChars="-50"/>
              <w:jc w:val="center"/>
              <w:rPr>
                <w:rFonts w:ascii="仿宋_GB2312" w:eastAsia="仿宋_GB2312"/>
                <w:sz w:val="24"/>
              </w:rPr>
            </w:pPr>
          </w:p>
        </w:tc>
        <w:tc>
          <w:tcPr>
            <w:tcW w:w="1508" w:type="dxa"/>
            <w:gridSpan w:val="2"/>
            <w:vAlign w:val="center"/>
          </w:tcPr>
          <w:p>
            <w:pPr>
              <w:adjustRightInd w:val="0"/>
              <w:snapToGrid w:val="0"/>
              <w:ind w:left="-105" w:leftChars="-50" w:right="-105" w:rightChars="-50"/>
              <w:jc w:val="center"/>
              <w:rPr>
                <w:rFonts w:ascii="仿宋_GB2312" w:eastAsia="仿宋_GB2312"/>
                <w:sz w:val="24"/>
              </w:rPr>
            </w:pPr>
            <w:r>
              <w:rPr>
                <w:rFonts w:hint="eastAsia" w:ascii="仿宋_GB2312" w:eastAsia="仿宋_GB2312"/>
                <w:sz w:val="24"/>
              </w:rPr>
              <w:t>08:20</w:t>
            </w:r>
            <w:r>
              <w:rPr>
                <w:rFonts w:ascii="仿宋_GB2312" w:eastAsia="仿宋_GB2312"/>
                <w:sz w:val="24"/>
              </w:rPr>
              <w:t>-1</w:t>
            </w:r>
            <w:r>
              <w:rPr>
                <w:rFonts w:hint="eastAsia" w:ascii="仿宋_GB2312" w:eastAsia="仿宋_GB2312"/>
                <w:sz w:val="24"/>
              </w:rPr>
              <w:t>1:20</w:t>
            </w:r>
          </w:p>
        </w:tc>
        <w:tc>
          <w:tcPr>
            <w:tcW w:w="1619" w:type="dxa"/>
            <w:gridSpan w:val="2"/>
            <w:vAlign w:val="center"/>
          </w:tcPr>
          <w:p>
            <w:pPr>
              <w:adjustRightInd w:val="0"/>
              <w:snapToGrid w:val="0"/>
              <w:rPr>
                <w:rFonts w:ascii="仿宋_GB2312" w:eastAsia="仿宋_GB2312"/>
                <w:sz w:val="24"/>
              </w:rPr>
            </w:pPr>
            <w:r>
              <w:rPr>
                <w:rFonts w:hint="eastAsia" w:ascii="仿宋_GB2312" w:eastAsia="仿宋_GB2312"/>
                <w:sz w:val="24"/>
              </w:rPr>
              <w:t>第一场竞赛</w:t>
            </w:r>
          </w:p>
        </w:tc>
        <w:tc>
          <w:tcPr>
            <w:tcW w:w="3640" w:type="dxa"/>
            <w:gridSpan w:val="2"/>
            <w:vAlign w:val="center"/>
          </w:tcPr>
          <w:p>
            <w:pPr>
              <w:adjustRightInd w:val="0"/>
              <w:snapToGrid w:val="0"/>
              <w:rPr>
                <w:rFonts w:ascii="仿宋_GB2312" w:eastAsia="仿宋_GB2312"/>
                <w:sz w:val="24"/>
              </w:rPr>
            </w:pPr>
            <w:r>
              <w:rPr>
                <w:rFonts w:hint="eastAsia" w:ascii="仿宋_GB2312" w:eastAsia="仿宋_GB2312"/>
                <w:sz w:val="24"/>
              </w:rPr>
              <w:t>-</w:t>
            </w:r>
            <w:r>
              <w:rPr>
                <w:rFonts w:ascii="仿宋_GB2312" w:eastAsia="仿宋_GB2312"/>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 w:type="dxa"/>
          <w:trHeight w:val="552" w:hRule="atLeast"/>
          <w:jc w:val="center"/>
        </w:trPr>
        <w:tc>
          <w:tcPr>
            <w:tcW w:w="1509" w:type="dxa"/>
            <w:gridSpan w:val="2"/>
            <w:vMerge w:val="continue"/>
            <w:vAlign w:val="center"/>
          </w:tcPr>
          <w:p>
            <w:pPr>
              <w:adjustRightInd w:val="0"/>
              <w:snapToGrid w:val="0"/>
              <w:ind w:left="-105" w:leftChars="-50" w:right="-105" w:rightChars="-50"/>
              <w:jc w:val="center"/>
              <w:rPr>
                <w:rFonts w:ascii="仿宋_GB2312" w:eastAsia="仿宋_GB2312"/>
                <w:sz w:val="24"/>
              </w:rPr>
            </w:pPr>
          </w:p>
        </w:tc>
        <w:tc>
          <w:tcPr>
            <w:tcW w:w="1508" w:type="dxa"/>
            <w:gridSpan w:val="2"/>
            <w:vAlign w:val="center"/>
          </w:tcPr>
          <w:p>
            <w:pPr>
              <w:adjustRightInd w:val="0"/>
              <w:snapToGrid w:val="0"/>
              <w:ind w:left="-105" w:leftChars="-50" w:right="-105" w:rightChars="-50"/>
              <w:jc w:val="center"/>
              <w:rPr>
                <w:rFonts w:ascii="仿宋_GB2312" w:eastAsia="仿宋_GB2312"/>
                <w:sz w:val="24"/>
              </w:rPr>
            </w:pPr>
            <w:r>
              <w:rPr>
                <w:rFonts w:hint="eastAsia" w:ascii="仿宋_GB2312" w:eastAsia="仿宋_GB2312"/>
                <w:sz w:val="24"/>
              </w:rPr>
              <w:t>11:20-</w:t>
            </w:r>
            <w:r>
              <w:rPr>
                <w:rFonts w:ascii="仿宋_GB2312" w:eastAsia="仿宋_GB2312"/>
                <w:sz w:val="24"/>
              </w:rPr>
              <w:t>1</w:t>
            </w:r>
            <w:r>
              <w:rPr>
                <w:rFonts w:hint="eastAsia" w:ascii="仿宋_GB2312" w:eastAsia="仿宋_GB2312"/>
                <w:sz w:val="24"/>
              </w:rPr>
              <w:t>2:20</w:t>
            </w:r>
          </w:p>
        </w:tc>
        <w:tc>
          <w:tcPr>
            <w:tcW w:w="1619" w:type="dxa"/>
            <w:gridSpan w:val="2"/>
            <w:vAlign w:val="center"/>
          </w:tcPr>
          <w:p>
            <w:pPr>
              <w:adjustRightInd w:val="0"/>
              <w:snapToGrid w:val="0"/>
              <w:rPr>
                <w:rFonts w:ascii="仿宋_GB2312" w:eastAsia="仿宋_GB2312"/>
                <w:sz w:val="24"/>
              </w:rPr>
            </w:pPr>
            <w:r>
              <w:rPr>
                <w:rFonts w:hint="eastAsia" w:ascii="仿宋_GB2312" w:eastAsia="仿宋_GB2312"/>
                <w:sz w:val="24"/>
              </w:rPr>
              <w:t>评分</w:t>
            </w:r>
          </w:p>
        </w:tc>
        <w:tc>
          <w:tcPr>
            <w:tcW w:w="3640" w:type="dxa"/>
            <w:gridSpan w:val="2"/>
            <w:vAlign w:val="center"/>
          </w:tcPr>
          <w:p>
            <w:pPr>
              <w:adjustRightInd w:val="0"/>
              <w:snapToGrid w:val="0"/>
              <w:rPr>
                <w:rFonts w:ascii="仿宋_GB2312" w:eastAsia="仿宋_GB2312"/>
                <w:sz w:val="24"/>
              </w:rPr>
            </w:pPr>
            <w:r>
              <w:rPr>
                <w:rFonts w:hint="eastAsia" w:ascii="仿宋_GB2312" w:eastAsia="仿宋_GB2312"/>
                <w:sz w:val="24"/>
              </w:rPr>
              <w:t>裁判组对竞赛的各参赛队评分</w:t>
            </w:r>
          </w:p>
        </w:tc>
      </w:tr>
      <w:tr>
        <w:tblPrEx>
          <w:tblLayout w:type="fixed"/>
          <w:tblCellMar>
            <w:top w:w="0" w:type="dxa"/>
            <w:left w:w="108" w:type="dxa"/>
            <w:bottom w:w="0" w:type="dxa"/>
            <w:right w:w="108" w:type="dxa"/>
          </w:tblCellMar>
        </w:tblPrEx>
        <w:trPr>
          <w:gridBefore w:val="1"/>
          <w:wBefore w:w="1" w:type="dxa"/>
          <w:trHeight w:val="552" w:hRule="atLeast"/>
          <w:jc w:val="center"/>
        </w:trPr>
        <w:tc>
          <w:tcPr>
            <w:tcW w:w="1509" w:type="dxa"/>
            <w:gridSpan w:val="2"/>
            <w:vMerge w:val="continue"/>
            <w:vAlign w:val="center"/>
          </w:tcPr>
          <w:p>
            <w:pPr>
              <w:adjustRightInd w:val="0"/>
              <w:snapToGrid w:val="0"/>
              <w:ind w:left="-105" w:leftChars="-50" w:right="-105" w:rightChars="-50"/>
              <w:jc w:val="center"/>
              <w:rPr>
                <w:rFonts w:ascii="仿宋_GB2312" w:eastAsia="仿宋_GB2312"/>
                <w:sz w:val="24"/>
              </w:rPr>
            </w:pPr>
          </w:p>
        </w:tc>
        <w:tc>
          <w:tcPr>
            <w:tcW w:w="1508" w:type="dxa"/>
            <w:gridSpan w:val="2"/>
            <w:vAlign w:val="center"/>
          </w:tcPr>
          <w:p>
            <w:pPr>
              <w:adjustRightInd w:val="0"/>
              <w:snapToGrid w:val="0"/>
              <w:ind w:left="-105" w:leftChars="-50" w:right="-105" w:rightChars="-50"/>
              <w:jc w:val="center"/>
              <w:rPr>
                <w:rFonts w:ascii="仿宋_GB2312" w:eastAsia="仿宋_GB2312"/>
                <w:sz w:val="24"/>
              </w:rPr>
            </w:pPr>
            <w:r>
              <w:rPr>
                <w:rFonts w:hint="eastAsia" w:ascii="仿宋_GB2312" w:eastAsia="仿宋_GB2312"/>
                <w:sz w:val="24"/>
              </w:rPr>
              <w:t>12:20-13:2</w:t>
            </w:r>
            <w:r>
              <w:rPr>
                <w:rFonts w:ascii="仿宋_GB2312" w:eastAsia="仿宋_GB2312"/>
                <w:sz w:val="24"/>
              </w:rPr>
              <w:t>0</w:t>
            </w:r>
          </w:p>
        </w:tc>
        <w:tc>
          <w:tcPr>
            <w:tcW w:w="1619" w:type="dxa"/>
            <w:gridSpan w:val="2"/>
            <w:vAlign w:val="center"/>
          </w:tcPr>
          <w:p>
            <w:pPr>
              <w:adjustRightInd w:val="0"/>
              <w:snapToGrid w:val="0"/>
              <w:rPr>
                <w:rFonts w:ascii="仿宋_GB2312" w:eastAsia="仿宋_GB2312"/>
                <w:sz w:val="24"/>
              </w:rPr>
            </w:pPr>
            <w:r>
              <w:rPr>
                <w:rFonts w:hint="eastAsia" w:ascii="仿宋_GB2312" w:eastAsia="仿宋_GB2312"/>
                <w:sz w:val="24"/>
              </w:rPr>
              <w:t>赛场恢复</w:t>
            </w:r>
          </w:p>
        </w:tc>
        <w:tc>
          <w:tcPr>
            <w:tcW w:w="3640" w:type="dxa"/>
            <w:gridSpan w:val="2"/>
            <w:vAlign w:val="center"/>
          </w:tcPr>
          <w:p>
            <w:pPr>
              <w:adjustRightInd w:val="0"/>
              <w:snapToGrid w:val="0"/>
              <w:rPr>
                <w:rFonts w:ascii="仿宋_GB2312" w:eastAsia="仿宋_GB2312"/>
                <w:sz w:val="24"/>
              </w:rPr>
            </w:pPr>
            <w:r>
              <w:rPr>
                <w:rFonts w:hint="eastAsia" w:ascii="仿宋_GB2312" w:eastAsia="仿宋_GB2312"/>
                <w:sz w:val="24"/>
              </w:rPr>
              <w:t>-</w:t>
            </w:r>
            <w:r>
              <w:rPr>
                <w:rFonts w:ascii="仿宋_GB2312" w:eastAsia="仿宋_GB2312"/>
                <w:sz w:val="24"/>
              </w:rPr>
              <w:t>-</w:t>
            </w:r>
          </w:p>
        </w:tc>
      </w:tr>
      <w:tr>
        <w:tblPrEx>
          <w:tblLayout w:type="fixed"/>
          <w:tblCellMar>
            <w:top w:w="0" w:type="dxa"/>
            <w:left w:w="108" w:type="dxa"/>
            <w:bottom w:w="0" w:type="dxa"/>
            <w:right w:w="108" w:type="dxa"/>
          </w:tblCellMar>
        </w:tblPrEx>
        <w:trPr>
          <w:gridBefore w:val="1"/>
          <w:wBefore w:w="1" w:type="dxa"/>
          <w:trHeight w:val="552" w:hRule="atLeast"/>
          <w:jc w:val="center"/>
        </w:trPr>
        <w:tc>
          <w:tcPr>
            <w:tcW w:w="1509" w:type="dxa"/>
            <w:gridSpan w:val="2"/>
            <w:vMerge w:val="continue"/>
            <w:vAlign w:val="center"/>
          </w:tcPr>
          <w:p>
            <w:pPr>
              <w:adjustRightInd w:val="0"/>
              <w:snapToGrid w:val="0"/>
              <w:ind w:left="-105" w:leftChars="-50" w:right="-105" w:rightChars="-50"/>
              <w:jc w:val="center"/>
              <w:rPr>
                <w:rFonts w:ascii="仿宋_GB2312" w:eastAsia="仿宋_GB2312"/>
                <w:sz w:val="24"/>
              </w:rPr>
            </w:pPr>
          </w:p>
        </w:tc>
        <w:tc>
          <w:tcPr>
            <w:tcW w:w="1508" w:type="dxa"/>
            <w:gridSpan w:val="2"/>
            <w:vAlign w:val="center"/>
          </w:tcPr>
          <w:p>
            <w:pPr>
              <w:adjustRightInd w:val="0"/>
              <w:snapToGrid w:val="0"/>
              <w:ind w:left="-105" w:leftChars="-50" w:right="-105" w:rightChars="-50"/>
              <w:jc w:val="center"/>
              <w:rPr>
                <w:rFonts w:ascii="仿宋_GB2312" w:eastAsia="仿宋_GB2312"/>
                <w:sz w:val="24"/>
              </w:rPr>
            </w:pPr>
            <w:r>
              <w:rPr>
                <w:rFonts w:ascii="仿宋_GB2312" w:eastAsia="仿宋_GB2312"/>
                <w:sz w:val="24"/>
              </w:rPr>
              <w:t>1</w:t>
            </w:r>
            <w:r>
              <w:rPr>
                <w:rFonts w:hint="eastAsia" w:ascii="仿宋_GB2312" w:eastAsia="仿宋_GB2312"/>
                <w:sz w:val="24"/>
              </w:rPr>
              <w:t>3</w:t>
            </w:r>
            <w:r>
              <w:rPr>
                <w:rFonts w:ascii="仿宋_GB2312" w:eastAsia="仿宋_GB2312"/>
                <w:sz w:val="24"/>
              </w:rPr>
              <w:t>:</w:t>
            </w:r>
            <w:r>
              <w:rPr>
                <w:rFonts w:hint="eastAsia" w:ascii="仿宋_GB2312" w:eastAsia="仿宋_GB2312"/>
                <w:sz w:val="24"/>
              </w:rPr>
              <w:t>2</w:t>
            </w:r>
            <w:r>
              <w:rPr>
                <w:rFonts w:ascii="仿宋_GB2312" w:eastAsia="仿宋_GB2312"/>
                <w:sz w:val="24"/>
              </w:rPr>
              <w:t>0-1</w:t>
            </w:r>
            <w:r>
              <w:rPr>
                <w:rFonts w:hint="eastAsia" w:ascii="仿宋_GB2312" w:eastAsia="仿宋_GB2312"/>
                <w:sz w:val="24"/>
              </w:rPr>
              <w:t>3:4</w:t>
            </w:r>
            <w:r>
              <w:rPr>
                <w:rFonts w:ascii="仿宋_GB2312" w:eastAsia="仿宋_GB2312"/>
                <w:sz w:val="24"/>
              </w:rPr>
              <w:t>0</w:t>
            </w:r>
          </w:p>
        </w:tc>
        <w:tc>
          <w:tcPr>
            <w:tcW w:w="1619" w:type="dxa"/>
            <w:gridSpan w:val="2"/>
            <w:vAlign w:val="center"/>
          </w:tcPr>
          <w:p>
            <w:pPr>
              <w:adjustRightInd w:val="0"/>
              <w:snapToGrid w:val="0"/>
              <w:rPr>
                <w:rFonts w:eastAsia="仿宋_GB2312"/>
                <w:sz w:val="24"/>
              </w:rPr>
            </w:pPr>
            <w:r>
              <w:rPr>
                <w:rFonts w:hint="eastAsia" w:eastAsia="仿宋_GB2312"/>
                <w:sz w:val="24"/>
              </w:rPr>
              <w:t>二次抽签加密</w:t>
            </w:r>
          </w:p>
        </w:tc>
        <w:tc>
          <w:tcPr>
            <w:tcW w:w="3640" w:type="dxa"/>
            <w:gridSpan w:val="2"/>
            <w:vAlign w:val="center"/>
          </w:tcPr>
          <w:p>
            <w:pPr>
              <w:adjustRightInd w:val="0"/>
              <w:snapToGrid w:val="0"/>
              <w:rPr>
                <w:rFonts w:ascii="仿宋_GB2312" w:eastAsia="仿宋_GB2312"/>
                <w:sz w:val="24"/>
              </w:rPr>
            </w:pPr>
            <w:r>
              <w:rPr>
                <w:rFonts w:hint="eastAsia" w:ascii="仿宋_GB2312" w:eastAsia="仿宋_GB2312"/>
                <w:sz w:val="24"/>
              </w:rPr>
              <w:t>参赛选手凭一次加密后的参赛编号进行二次抽签加密确定赛位号</w:t>
            </w:r>
          </w:p>
        </w:tc>
      </w:tr>
      <w:tr>
        <w:tblPrEx>
          <w:tblLayout w:type="fixed"/>
          <w:tblCellMar>
            <w:top w:w="0" w:type="dxa"/>
            <w:left w:w="108" w:type="dxa"/>
            <w:bottom w:w="0" w:type="dxa"/>
            <w:right w:w="108" w:type="dxa"/>
          </w:tblCellMar>
        </w:tblPrEx>
        <w:trPr>
          <w:gridBefore w:val="1"/>
          <w:wBefore w:w="1" w:type="dxa"/>
          <w:trHeight w:val="552" w:hRule="atLeast"/>
          <w:jc w:val="center"/>
        </w:trPr>
        <w:tc>
          <w:tcPr>
            <w:tcW w:w="1509" w:type="dxa"/>
            <w:gridSpan w:val="2"/>
            <w:vMerge w:val="continue"/>
            <w:vAlign w:val="center"/>
          </w:tcPr>
          <w:p>
            <w:pPr>
              <w:adjustRightInd w:val="0"/>
              <w:snapToGrid w:val="0"/>
              <w:ind w:left="-105" w:leftChars="-50" w:right="-105" w:rightChars="-50"/>
              <w:jc w:val="center"/>
              <w:rPr>
                <w:rFonts w:ascii="仿宋_GB2312" w:eastAsia="仿宋_GB2312"/>
                <w:sz w:val="24"/>
              </w:rPr>
            </w:pPr>
          </w:p>
        </w:tc>
        <w:tc>
          <w:tcPr>
            <w:tcW w:w="1508" w:type="dxa"/>
            <w:gridSpan w:val="2"/>
            <w:vAlign w:val="center"/>
          </w:tcPr>
          <w:p>
            <w:pPr>
              <w:adjustRightInd w:val="0"/>
              <w:snapToGrid w:val="0"/>
              <w:ind w:left="-105" w:leftChars="-50" w:right="-105" w:rightChars="-50"/>
              <w:jc w:val="center"/>
              <w:rPr>
                <w:rFonts w:ascii="仿宋_GB2312" w:eastAsia="仿宋_GB2312"/>
                <w:sz w:val="24"/>
              </w:rPr>
            </w:pPr>
            <w:r>
              <w:rPr>
                <w:rFonts w:ascii="仿宋_GB2312" w:eastAsia="仿宋_GB2312"/>
                <w:sz w:val="24"/>
              </w:rPr>
              <w:t>1</w:t>
            </w:r>
            <w:r>
              <w:rPr>
                <w:rFonts w:hint="eastAsia" w:ascii="仿宋_GB2312" w:eastAsia="仿宋_GB2312"/>
                <w:sz w:val="24"/>
              </w:rPr>
              <w:t>3</w:t>
            </w:r>
            <w:r>
              <w:rPr>
                <w:rFonts w:ascii="仿宋_GB2312" w:eastAsia="仿宋_GB2312"/>
                <w:sz w:val="24"/>
              </w:rPr>
              <w:t>:</w:t>
            </w:r>
            <w:r>
              <w:rPr>
                <w:rFonts w:hint="eastAsia" w:ascii="仿宋_GB2312" w:eastAsia="仿宋_GB2312"/>
                <w:sz w:val="24"/>
              </w:rPr>
              <w:t>4</w:t>
            </w:r>
            <w:r>
              <w:rPr>
                <w:rFonts w:ascii="仿宋_GB2312" w:eastAsia="仿宋_GB2312"/>
                <w:sz w:val="24"/>
              </w:rPr>
              <w:t>0-</w:t>
            </w:r>
            <w:r>
              <w:rPr>
                <w:rFonts w:hint="eastAsia" w:ascii="仿宋_GB2312" w:eastAsia="仿宋_GB2312"/>
                <w:sz w:val="24"/>
              </w:rPr>
              <w:t>13</w:t>
            </w:r>
            <w:r>
              <w:rPr>
                <w:rFonts w:ascii="仿宋_GB2312" w:eastAsia="仿宋_GB2312"/>
                <w:sz w:val="24"/>
              </w:rPr>
              <w:t>:</w:t>
            </w:r>
            <w:r>
              <w:rPr>
                <w:rFonts w:hint="eastAsia" w:ascii="仿宋_GB2312" w:eastAsia="仿宋_GB2312"/>
                <w:sz w:val="24"/>
              </w:rPr>
              <w:t>5</w:t>
            </w:r>
            <w:r>
              <w:rPr>
                <w:rFonts w:ascii="仿宋_GB2312" w:eastAsia="仿宋_GB2312"/>
                <w:sz w:val="24"/>
              </w:rPr>
              <w:t>0</w:t>
            </w:r>
          </w:p>
        </w:tc>
        <w:tc>
          <w:tcPr>
            <w:tcW w:w="1619" w:type="dxa"/>
            <w:gridSpan w:val="2"/>
            <w:vAlign w:val="center"/>
          </w:tcPr>
          <w:p>
            <w:pPr>
              <w:adjustRightInd w:val="0"/>
              <w:snapToGrid w:val="0"/>
              <w:rPr>
                <w:rFonts w:ascii="仿宋_GB2312" w:eastAsia="仿宋_GB2312"/>
                <w:sz w:val="24"/>
              </w:rPr>
            </w:pPr>
            <w:r>
              <w:rPr>
                <w:rFonts w:hint="eastAsia" w:eastAsia="仿宋_GB2312"/>
                <w:sz w:val="24"/>
              </w:rPr>
              <w:t>竞赛入场检录</w:t>
            </w:r>
          </w:p>
        </w:tc>
        <w:tc>
          <w:tcPr>
            <w:tcW w:w="3640" w:type="dxa"/>
            <w:gridSpan w:val="2"/>
            <w:vAlign w:val="center"/>
          </w:tcPr>
          <w:p>
            <w:pPr>
              <w:adjustRightInd w:val="0"/>
              <w:snapToGrid w:val="0"/>
              <w:rPr>
                <w:rFonts w:ascii="仿宋_GB2312" w:eastAsia="仿宋_GB2312"/>
                <w:sz w:val="24"/>
              </w:rPr>
            </w:pPr>
            <w:r>
              <w:rPr>
                <w:rFonts w:hint="eastAsia" w:ascii="仿宋_GB2312" w:eastAsia="仿宋_GB2312"/>
                <w:sz w:val="24"/>
              </w:rPr>
              <w:t>参赛选手凭赛位号接受入场检录确认没有携带竞赛禁止的工具和材料。</w:t>
            </w:r>
          </w:p>
        </w:tc>
      </w:tr>
      <w:tr>
        <w:tblPrEx>
          <w:tblLayout w:type="fixed"/>
          <w:tblCellMar>
            <w:top w:w="0" w:type="dxa"/>
            <w:left w:w="108" w:type="dxa"/>
            <w:bottom w:w="0" w:type="dxa"/>
            <w:right w:w="108" w:type="dxa"/>
          </w:tblCellMar>
        </w:tblPrEx>
        <w:trPr>
          <w:gridBefore w:val="1"/>
          <w:wBefore w:w="1" w:type="dxa"/>
          <w:trHeight w:val="552" w:hRule="atLeast"/>
          <w:jc w:val="center"/>
        </w:trPr>
        <w:tc>
          <w:tcPr>
            <w:tcW w:w="1509" w:type="dxa"/>
            <w:gridSpan w:val="2"/>
            <w:vMerge w:val="continue"/>
            <w:vAlign w:val="center"/>
          </w:tcPr>
          <w:p>
            <w:pPr>
              <w:adjustRightInd w:val="0"/>
              <w:snapToGrid w:val="0"/>
              <w:ind w:left="-105" w:leftChars="-50" w:right="-105" w:rightChars="-50"/>
              <w:jc w:val="center"/>
              <w:rPr>
                <w:rFonts w:ascii="仿宋_GB2312" w:eastAsia="仿宋_GB2312"/>
                <w:sz w:val="24"/>
              </w:rPr>
            </w:pPr>
          </w:p>
        </w:tc>
        <w:tc>
          <w:tcPr>
            <w:tcW w:w="1508" w:type="dxa"/>
            <w:gridSpan w:val="2"/>
            <w:vAlign w:val="center"/>
          </w:tcPr>
          <w:p>
            <w:pPr>
              <w:adjustRightInd w:val="0"/>
              <w:snapToGrid w:val="0"/>
              <w:ind w:left="-105" w:leftChars="-50" w:right="-105" w:rightChars="-50"/>
              <w:jc w:val="center"/>
              <w:rPr>
                <w:rFonts w:ascii="仿宋_GB2312" w:eastAsia="仿宋_GB2312"/>
                <w:sz w:val="24"/>
              </w:rPr>
            </w:pPr>
            <w:r>
              <w:rPr>
                <w:rFonts w:hint="eastAsia" w:ascii="仿宋_GB2312" w:eastAsia="仿宋_GB2312"/>
                <w:sz w:val="24"/>
              </w:rPr>
              <w:t>13</w:t>
            </w:r>
            <w:r>
              <w:rPr>
                <w:rFonts w:ascii="仿宋_GB2312" w:eastAsia="仿宋_GB2312"/>
                <w:sz w:val="24"/>
              </w:rPr>
              <w:t>:</w:t>
            </w:r>
            <w:r>
              <w:rPr>
                <w:rFonts w:hint="eastAsia" w:ascii="仿宋_GB2312" w:eastAsia="仿宋_GB2312"/>
                <w:sz w:val="24"/>
              </w:rPr>
              <w:t>5</w:t>
            </w:r>
            <w:r>
              <w:rPr>
                <w:rFonts w:ascii="仿宋_GB2312" w:eastAsia="仿宋_GB2312"/>
                <w:sz w:val="24"/>
              </w:rPr>
              <w:t>0-</w:t>
            </w:r>
            <w:r>
              <w:rPr>
                <w:rFonts w:hint="eastAsia" w:ascii="仿宋_GB2312" w:eastAsia="仿宋_GB2312"/>
                <w:sz w:val="24"/>
              </w:rPr>
              <w:t>14</w:t>
            </w:r>
            <w:r>
              <w:rPr>
                <w:rFonts w:ascii="仿宋_GB2312" w:eastAsia="仿宋_GB2312"/>
                <w:sz w:val="24"/>
              </w:rPr>
              <w:t>:</w:t>
            </w:r>
            <w:r>
              <w:rPr>
                <w:rFonts w:hint="eastAsia" w:ascii="仿宋_GB2312" w:eastAsia="仿宋_GB2312"/>
                <w:sz w:val="24"/>
              </w:rPr>
              <w:t>0</w:t>
            </w:r>
            <w:r>
              <w:rPr>
                <w:rFonts w:ascii="仿宋_GB2312" w:eastAsia="仿宋_GB2312"/>
                <w:sz w:val="24"/>
              </w:rPr>
              <w:t>0</w:t>
            </w:r>
          </w:p>
        </w:tc>
        <w:tc>
          <w:tcPr>
            <w:tcW w:w="1619" w:type="dxa"/>
            <w:gridSpan w:val="2"/>
            <w:vAlign w:val="center"/>
          </w:tcPr>
          <w:p>
            <w:pPr>
              <w:adjustRightInd w:val="0"/>
              <w:snapToGrid w:val="0"/>
              <w:rPr>
                <w:rFonts w:eastAsia="仿宋_GB2312"/>
                <w:sz w:val="24"/>
              </w:rPr>
            </w:pPr>
            <w:r>
              <w:rPr>
                <w:rFonts w:hint="eastAsia" w:eastAsia="仿宋_GB2312"/>
                <w:sz w:val="24"/>
              </w:rPr>
              <w:t>竞赛选手</w:t>
            </w:r>
            <w:r>
              <w:rPr>
                <w:rFonts w:hint="eastAsia" w:ascii="仿宋_GB2312" w:eastAsia="仿宋_GB2312"/>
                <w:sz w:val="24"/>
              </w:rPr>
              <w:t>入场就位、发布竞赛任务</w:t>
            </w:r>
          </w:p>
        </w:tc>
        <w:tc>
          <w:tcPr>
            <w:tcW w:w="3640" w:type="dxa"/>
            <w:gridSpan w:val="2"/>
            <w:vAlign w:val="center"/>
          </w:tcPr>
          <w:p>
            <w:pPr>
              <w:adjustRightInd w:val="0"/>
              <w:snapToGrid w:val="0"/>
              <w:rPr>
                <w:rFonts w:eastAsia="仿宋_GB2312"/>
                <w:sz w:val="24"/>
              </w:rPr>
            </w:pPr>
            <w:r>
              <w:rPr>
                <w:rFonts w:hint="eastAsia" w:ascii="仿宋_GB2312" w:eastAsia="仿宋_GB2312"/>
                <w:sz w:val="24"/>
              </w:rPr>
              <w:t>参赛选手根据赛位号由工作人员引导进入竞赛工位、</w:t>
            </w:r>
            <w:r>
              <w:rPr>
                <w:rFonts w:hint="eastAsia" w:ascii="仿宋_GB2312" w:hAnsi="宋体" w:eastAsia="仿宋_GB2312" w:cs="宋体"/>
                <w:kern w:val="0"/>
                <w:sz w:val="24"/>
              </w:rPr>
              <w:t>裁判宣读竞赛规则及赛场规则，发布竞赛任务并作必要说明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 w:type="dxa"/>
          <w:trHeight w:val="552" w:hRule="atLeast"/>
          <w:jc w:val="center"/>
        </w:trPr>
        <w:tc>
          <w:tcPr>
            <w:tcW w:w="1509" w:type="dxa"/>
            <w:gridSpan w:val="2"/>
            <w:vMerge w:val="continue"/>
            <w:vAlign w:val="center"/>
          </w:tcPr>
          <w:p>
            <w:pPr>
              <w:adjustRightInd w:val="0"/>
              <w:snapToGrid w:val="0"/>
              <w:ind w:left="-105" w:leftChars="-50" w:right="-105" w:rightChars="-50"/>
              <w:jc w:val="center"/>
              <w:rPr>
                <w:rFonts w:ascii="仿宋_GB2312" w:eastAsia="仿宋_GB2312"/>
                <w:sz w:val="24"/>
              </w:rPr>
            </w:pPr>
          </w:p>
        </w:tc>
        <w:tc>
          <w:tcPr>
            <w:tcW w:w="1508" w:type="dxa"/>
            <w:gridSpan w:val="2"/>
            <w:vAlign w:val="center"/>
          </w:tcPr>
          <w:p>
            <w:pPr>
              <w:adjustRightInd w:val="0"/>
              <w:snapToGrid w:val="0"/>
              <w:ind w:left="-105" w:leftChars="-50" w:right="-105" w:rightChars="-50"/>
              <w:jc w:val="center"/>
              <w:rPr>
                <w:rFonts w:ascii="仿宋_GB2312" w:eastAsia="仿宋_GB2312"/>
                <w:sz w:val="24"/>
              </w:rPr>
            </w:pPr>
            <w:r>
              <w:rPr>
                <w:rFonts w:hint="eastAsia" w:ascii="仿宋_GB2312" w:eastAsia="仿宋_GB2312"/>
                <w:sz w:val="24"/>
              </w:rPr>
              <w:t>14</w:t>
            </w:r>
            <w:r>
              <w:rPr>
                <w:rFonts w:ascii="仿宋_GB2312" w:eastAsia="仿宋_GB2312"/>
                <w:sz w:val="24"/>
              </w:rPr>
              <w:t>:</w:t>
            </w:r>
            <w:r>
              <w:rPr>
                <w:rFonts w:hint="eastAsia" w:ascii="仿宋_GB2312" w:eastAsia="仿宋_GB2312"/>
                <w:sz w:val="24"/>
              </w:rPr>
              <w:t>0</w:t>
            </w:r>
            <w:r>
              <w:rPr>
                <w:rFonts w:ascii="仿宋_GB2312" w:eastAsia="仿宋_GB2312"/>
                <w:sz w:val="24"/>
              </w:rPr>
              <w:t>0-</w:t>
            </w:r>
            <w:r>
              <w:rPr>
                <w:rFonts w:hint="eastAsia" w:ascii="仿宋_GB2312" w:eastAsia="仿宋_GB2312"/>
                <w:sz w:val="24"/>
              </w:rPr>
              <w:t>17</w:t>
            </w:r>
            <w:r>
              <w:rPr>
                <w:rFonts w:ascii="仿宋_GB2312" w:eastAsia="仿宋_GB2312"/>
                <w:sz w:val="24"/>
              </w:rPr>
              <w:t>:</w:t>
            </w:r>
            <w:r>
              <w:rPr>
                <w:rFonts w:hint="eastAsia" w:ascii="仿宋_GB2312" w:eastAsia="仿宋_GB2312"/>
                <w:sz w:val="24"/>
              </w:rPr>
              <w:t>0</w:t>
            </w:r>
            <w:r>
              <w:rPr>
                <w:rFonts w:ascii="仿宋_GB2312" w:eastAsia="仿宋_GB2312"/>
                <w:sz w:val="24"/>
              </w:rPr>
              <w:t>0</w:t>
            </w:r>
          </w:p>
        </w:tc>
        <w:tc>
          <w:tcPr>
            <w:tcW w:w="1619" w:type="dxa"/>
            <w:gridSpan w:val="2"/>
            <w:vAlign w:val="center"/>
          </w:tcPr>
          <w:p>
            <w:pPr>
              <w:adjustRightInd w:val="0"/>
              <w:snapToGrid w:val="0"/>
              <w:rPr>
                <w:rFonts w:eastAsia="仿宋_GB2312"/>
                <w:sz w:val="24"/>
              </w:rPr>
            </w:pPr>
            <w:r>
              <w:rPr>
                <w:rFonts w:hint="eastAsia" w:eastAsia="仿宋_GB2312"/>
                <w:sz w:val="24"/>
              </w:rPr>
              <w:t>第二场竞赛</w:t>
            </w:r>
          </w:p>
        </w:tc>
        <w:tc>
          <w:tcPr>
            <w:tcW w:w="3640" w:type="dxa"/>
            <w:gridSpan w:val="2"/>
            <w:vAlign w:val="center"/>
          </w:tcPr>
          <w:p>
            <w:pPr>
              <w:adjustRightInd w:val="0"/>
              <w:snapToGrid w:val="0"/>
              <w:rPr>
                <w:rFonts w:eastAsia="仿宋_GB2312"/>
                <w:sz w:val="24"/>
              </w:rPr>
            </w:pPr>
            <w:r>
              <w:rPr>
                <w:rFonts w:hint="eastAsia" w:ascii="仿宋_GB2312" w:eastAsia="仿宋_GB2312"/>
                <w:sz w:val="24"/>
              </w:rPr>
              <w:t>-</w:t>
            </w:r>
            <w:r>
              <w:rPr>
                <w:rFonts w:ascii="仿宋_GB2312" w:eastAsia="仿宋_GB2312"/>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 w:type="dxa"/>
          <w:trHeight w:val="552" w:hRule="atLeast"/>
          <w:jc w:val="center"/>
        </w:trPr>
        <w:tc>
          <w:tcPr>
            <w:tcW w:w="1509" w:type="dxa"/>
            <w:gridSpan w:val="2"/>
            <w:vMerge w:val="continue"/>
            <w:vAlign w:val="center"/>
          </w:tcPr>
          <w:p>
            <w:pPr>
              <w:adjustRightInd w:val="0"/>
              <w:snapToGrid w:val="0"/>
              <w:ind w:left="-105" w:leftChars="-50" w:right="-105" w:rightChars="-50"/>
              <w:jc w:val="center"/>
              <w:rPr>
                <w:rFonts w:ascii="仿宋_GB2312" w:eastAsia="仿宋_GB2312"/>
                <w:sz w:val="24"/>
              </w:rPr>
            </w:pPr>
          </w:p>
        </w:tc>
        <w:tc>
          <w:tcPr>
            <w:tcW w:w="1508" w:type="dxa"/>
            <w:gridSpan w:val="2"/>
            <w:vAlign w:val="center"/>
          </w:tcPr>
          <w:p>
            <w:pPr>
              <w:adjustRightInd w:val="0"/>
              <w:snapToGrid w:val="0"/>
              <w:ind w:left="-105" w:leftChars="-50" w:right="-105" w:rightChars="-50"/>
              <w:jc w:val="center"/>
              <w:rPr>
                <w:rFonts w:ascii="仿宋_GB2312" w:eastAsia="仿宋_GB2312"/>
                <w:sz w:val="24"/>
              </w:rPr>
            </w:pPr>
            <w:r>
              <w:rPr>
                <w:rFonts w:hint="eastAsia" w:ascii="仿宋_GB2312" w:eastAsia="仿宋_GB2312"/>
                <w:sz w:val="24"/>
              </w:rPr>
              <w:t>17:00-18:00</w:t>
            </w:r>
          </w:p>
        </w:tc>
        <w:tc>
          <w:tcPr>
            <w:tcW w:w="1619" w:type="dxa"/>
            <w:gridSpan w:val="2"/>
            <w:vAlign w:val="center"/>
          </w:tcPr>
          <w:p>
            <w:pPr>
              <w:adjustRightInd w:val="0"/>
              <w:snapToGrid w:val="0"/>
              <w:rPr>
                <w:rFonts w:eastAsia="仿宋_GB2312"/>
                <w:sz w:val="24"/>
              </w:rPr>
            </w:pPr>
            <w:r>
              <w:rPr>
                <w:rFonts w:hint="eastAsia" w:eastAsia="仿宋_GB2312"/>
                <w:sz w:val="24"/>
              </w:rPr>
              <w:t>评分</w:t>
            </w:r>
          </w:p>
        </w:tc>
        <w:tc>
          <w:tcPr>
            <w:tcW w:w="3640" w:type="dxa"/>
            <w:gridSpan w:val="2"/>
            <w:vAlign w:val="center"/>
          </w:tcPr>
          <w:p>
            <w:pPr>
              <w:adjustRightInd w:val="0"/>
              <w:snapToGrid w:val="0"/>
              <w:rPr>
                <w:rFonts w:ascii="仿宋_GB2312" w:eastAsia="仿宋_GB2312"/>
                <w:sz w:val="24"/>
              </w:rPr>
            </w:pPr>
            <w:r>
              <w:rPr>
                <w:rFonts w:hint="eastAsia" w:ascii="仿宋_GB2312" w:eastAsia="仿宋_GB2312"/>
                <w:sz w:val="24"/>
              </w:rPr>
              <w:t>裁判组对竞赛的各参赛队评分</w:t>
            </w:r>
          </w:p>
        </w:tc>
      </w:tr>
      <w:tr>
        <w:tblPrEx>
          <w:tblLayout w:type="fixed"/>
          <w:tblCellMar>
            <w:top w:w="0" w:type="dxa"/>
            <w:left w:w="108" w:type="dxa"/>
            <w:bottom w:w="0" w:type="dxa"/>
            <w:right w:w="108" w:type="dxa"/>
          </w:tblCellMar>
        </w:tblPrEx>
        <w:trPr>
          <w:gridBefore w:val="1"/>
          <w:wBefore w:w="1" w:type="dxa"/>
          <w:trHeight w:val="552" w:hRule="atLeast"/>
          <w:jc w:val="center"/>
        </w:trPr>
        <w:tc>
          <w:tcPr>
            <w:tcW w:w="1509" w:type="dxa"/>
            <w:gridSpan w:val="2"/>
            <w:vMerge w:val="continue"/>
            <w:vAlign w:val="center"/>
          </w:tcPr>
          <w:p>
            <w:pPr>
              <w:adjustRightInd w:val="0"/>
              <w:snapToGrid w:val="0"/>
              <w:ind w:left="-105" w:leftChars="-50" w:right="-105" w:rightChars="-50"/>
              <w:jc w:val="center"/>
              <w:rPr>
                <w:rFonts w:ascii="仿宋_GB2312" w:eastAsia="仿宋_GB2312"/>
                <w:sz w:val="24"/>
              </w:rPr>
            </w:pPr>
          </w:p>
        </w:tc>
        <w:tc>
          <w:tcPr>
            <w:tcW w:w="1508" w:type="dxa"/>
            <w:gridSpan w:val="2"/>
            <w:vAlign w:val="center"/>
          </w:tcPr>
          <w:p>
            <w:pPr>
              <w:adjustRightInd w:val="0"/>
              <w:snapToGrid w:val="0"/>
              <w:ind w:left="-105" w:leftChars="-50" w:right="-105" w:rightChars="-50"/>
              <w:jc w:val="center"/>
              <w:rPr>
                <w:rFonts w:ascii="仿宋_GB2312" w:eastAsia="仿宋_GB2312"/>
                <w:sz w:val="24"/>
              </w:rPr>
            </w:pPr>
            <w:r>
              <w:rPr>
                <w:rFonts w:hint="eastAsia" w:ascii="仿宋_GB2312" w:eastAsia="仿宋_GB2312"/>
                <w:sz w:val="24"/>
              </w:rPr>
              <w:t>18:00-19:00</w:t>
            </w:r>
          </w:p>
        </w:tc>
        <w:tc>
          <w:tcPr>
            <w:tcW w:w="1619" w:type="dxa"/>
            <w:gridSpan w:val="2"/>
            <w:vAlign w:val="center"/>
          </w:tcPr>
          <w:p>
            <w:pPr>
              <w:adjustRightInd w:val="0"/>
              <w:snapToGrid w:val="0"/>
              <w:rPr>
                <w:rFonts w:eastAsia="仿宋_GB2312"/>
                <w:sz w:val="24"/>
              </w:rPr>
            </w:pPr>
            <w:r>
              <w:rPr>
                <w:rFonts w:hint="eastAsia" w:eastAsia="仿宋_GB2312"/>
                <w:sz w:val="24"/>
              </w:rPr>
              <w:t>解密</w:t>
            </w:r>
          </w:p>
        </w:tc>
        <w:tc>
          <w:tcPr>
            <w:tcW w:w="3640" w:type="dxa"/>
            <w:gridSpan w:val="2"/>
            <w:vAlign w:val="center"/>
          </w:tcPr>
          <w:p>
            <w:pPr>
              <w:adjustRightInd w:val="0"/>
              <w:snapToGrid w:val="0"/>
              <w:rPr>
                <w:rFonts w:ascii="仿宋_GB2312" w:eastAsia="仿宋_GB2312"/>
                <w:sz w:val="24"/>
              </w:rPr>
            </w:pPr>
            <w:r>
              <w:rPr>
                <w:rFonts w:hint="eastAsia" w:ascii="仿宋_GB2312" w:eastAsia="仿宋_GB2312"/>
                <w:sz w:val="24"/>
              </w:rPr>
              <w:t>对加密信息进行解密</w:t>
            </w:r>
          </w:p>
        </w:tc>
      </w:tr>
      <w:tr>
        <w:tblPrEx>
          <w:tblLayout w:type="fixed"/>
          <w:tblCellMar>
            <w:top w:w="0" w:type="dxa"/>
            <w:left w:w="108" w:type="dxa"/>
            <w:bottom w:w="0" w:type="dxa"/>
            <w:right w:w="108" w:type="dxa"/>
          </w:tblCellMar>
        </w:tblPrEx>
        <w:trPr>
          <w:gridAfter w:val="1"/>
          <w:wAfter w:w="245" w:type="dxa"/>
          <w:trHeight w:val="552" w:hRule="atLeast"/>
          <w:jc w:val="center"/>
        </w:trPr>
        <w:tc>
          <w:tcPr>
            <w:tcW w:w="1509" w:type="dxa"/>
            <w:gridSpan w:val="2"/>
            <w:vMerge w:val="continue"/>
            <w:vAlign w:val="center"/>
          </w:tcPr>
          <w:p>
            <w:pPr>
              <w:adjustRightInd w:val="0"/>
              <w:snapToGrid w:val="0"/>
              <w:ind w:left="-105" w:leftChars="-50" w:right="-105" w:rightChars="-50"/>
              <w:jc w:val="center"/>
              <w:rPr>
                <w:rFonts w:ascii="仿宋_GB2312" w:eastAsia="仿宋_GB2312"/>
                <w:sz w:val="24"/>
              </w:rPr>
            </w:pPr>
          </w:p>
        </w:tc>
        <w:tc>
          <w:tcPr>
            <w:tcW w:w="1508" w:type="dxa"/>
            <w:gridSpan w:val="2"/>
            <w:vAlign w:val="center"/>
          </w:tcPr>
          <w:p>
            <w:pPr>
              <w:adjustRightInd w:val="0"/>
              <w:snapToGrid w:val="0"/>
              <w:ind w:left="-105" w:leftChars="-50" w:right="-105" w:rightChars="-50"/>
              <w:jc w:val="center"/>
              <w:rPr>
                <w:rFonts w:ascii="仿宋_GB2312" w:eastAsia="仿宋_GB2312"/>
                <w:sz w:val="24"/>
              </w:rPr>
            </w:pPr>
            <w:r>
              <w:rPr>
                <w:rFonts w:hint="eastAsia" w:ascii="仿宋_GB2312" w:eastAsia="仿宋_GB2312"/>
                <w:sz w:val="24"/>
              </w:rPr>
              <w:t>19:00-20:00</w:t>
            </w:r>
          </w:p>
        </w:tc>
        <w:tc>
          <w:tcPr>
            <w:tcW w:w="1619" w:type="dxa"/>
            <w:gridSpan w:val="2"/>
            <w:vAlign w:val="center"/>
          </w:tcPr>
          <w:p>
            <w:pPr>
              <w:adjustRightInd w:val="0"/>
              <w:snapToGrid w:val="0"/>
              <w:rPr>
                <w:rFonts w:eastAsia="仿宋_GB2312"/>
                <w:sz w:val="24"/>
              </w:rPr>
            </w:pPr>
            <w:r>
              <w:rPr>
                <w:rFonts w:hint="eastAsia" w:eastAsia="仿宋_GB2312"/>
                <w:sz w:val="24"/>
              </w:rPr>
              <w:t>成绩汇总</w:t>
            </w:r>
          </w:p>
        </w:tc>
        <w:tc>
          <w:tcPr>
            <w:tcW w:w="3640" w:type="dxa"/>
            <w:gridSpan w:val="2"/>
            <w:vAlign w:val="center"/>
          </w:tcPr>
          <w:p>
            <w:pPr>
              <w:adjustRightInd w:val="0"/>
              <w:snapToGrid w:val="0"/>
              <w:rPr>
                <w:rFonts w:ascii="仿宋_GB2312" w:eastAsia="仿宋_GB2312"/>
                <w:sz w:val="24"/>
              </w:rPr>
            </w:pPr>
            <w:r>
              <w:rPr>
                <w:rFonts w:hint="eastAsia" w:ascii="仿宋_GB2312" w:eastAsia="仿宋_GB2312"/>
                <w:sz w:val="24"/>
              </w:rPr>
              <w:t>对两场比赛成绩进行汇总</w:t>
            </w:r>
          </w:p>
        </w:tc>
      </w:tr>
    </w:tbl>
    <w:p>
      <w:pPr>
        <w:snapToGrid w:val="0"/>
        <w:spacing w:line="560" w:lineRule="exact"/>
        <w:rPr>
          <w:rFonts w:ascii="仿宋_GB2312" w:hAnsi="Arial Narrow" w:eastAsia="仿宋_GB2312" w:cs="Arial"/>
          <w:sz w:val="28"/>
          <w:szCs w:val="30"/>
        </w:rPr>
      </w:pPr>
      <w:r>
        <w:rPr>
          <w:rFonts w:hint="eastAsia" w:ascii="仿宋_GB2312" w:hAnsi="Arial Narrow" w:eastAsia="仿宋_GB2312" w:cs="Arial"/>
          <w:sz w:val="28"/>
          <w:szCs w:val="30"/>
        </w:rPr>
        <w:t>注：根据工位数和参赛选手人数增</w:t>
      </w:r>
      <w:r>
        <w:rPr>
          <w:rFonts w:ascii="仿宋_GB2312" w:hAnsi="Arial Narrow" w:eastAsia="仿宋_GB2312" w:cs="Arial"/>
          <w:sz w:val="28"/>
          <w:szCs w:val="30"/>
        </w:rPr>
        <w:t>/减竞赛场次</w:t>
      </w:r>
      <w:r>
        <w:rPr>
          <w:rFonts w:hint="eastAsia" w:ascii="仿宋_GB2312" w:hAnsi="Arial Narrow" w:eastAsia="仿宋_GB2312" w:cs="Arial"/>
          <w:sz w:val="28"/>
          <w:szCs w:val="30"/>
        </w:rPr>
        <w:t>，竞赛具体时间安排根据实际情况进行调整</w:t>
      </w:r>
      <w:r>
        <w:rPr>
          <w:rFonts w:ascii="仿宋_GB2312" w:hAnsi="Arial Narrow" w:eastAsia="仿宋_GB2312" w:cs="Arial"/>
          <w:sz w:val="28"/>
          <w:szCs w:val="30"/>
        </w:rPr>
        <w:t>。</w:t>
      </w:r>
    </w:p>
    <w:p>
      <w:pPr>
        <w:snapToGrid w:val="0"/>
        <w:spacing w:line="560" w:lineRule="exact"/>
        <w:outlineLvl w:val="0"/>
        <w:rPr>
          <w:rFonts w:ascii="Arial Narrow" w:hAnsi="Arial Narrow" w:eastAsia="仿宋_GB2312" w:cs="Arial"/>
          <w:sz w:val="28"/>
          <w:szCs w:val="30"/>
        </w:rPr>
      </w:pPr>
      <w:r>
        <w:rPr>
          <w:rFonts w:hint="eastAsia" w:ascii="Arial Narrow" w:hAnsi="Arial Narrow" w:eastAsia="仿宋_GB2312" w:cs="Arial"/>
          <w:sz w:val="28"/>
          <w:szCs w:val="30"/>
        </w:rPr>
        <w:t>（三</w:t>
      </w:r>
      <w:r>
        <w:rPr>
          <w:rFonts w:ascii="Arial Narrow" w:hAnsi="Arial Narrow" w:eastAsia="仿宋_GB2312" w:cs="Arial"/>
          <w:sz w:val="28"/>
          <w:szCs w:val="30"/>
        </w:rPr>
        <w:t>）竞</w:t>
      </w:r>
      <w:r>
        <w:rPr>
          <w:rFonts w:hint="eastAsia" w:ascii="Arial Narrow" w:hAnsi="Arial Narrow" w:eastAsia="仿宋_GB2312" w:cs="Arial"/>
          <w:sz w:val="28"/>
          <w:szCs w:val="30"/>
        </w:rPr>
        <w:t>赛过程</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1.参赛选手入场和就位</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参赛选手使用报到时领取的抽签号，进行一级加密顺序号及二级加密赛位号的抽取，入场时赛位号进行检录查询赛场的位置，并按照工位位置就位等候比赛开始；</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2.竞赛过程</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在裁判长宣布比赛开始后，各参赛选手通过赛位号找到比赛工位，正式进行竞赛，按照每个工位提供的任务书上的项目要求，完成每个项目任务要求，并按照任务要求提交和保存竞赛结果；</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3.竞赛结束</w:t>
      </w:r>
    </w:p>
    <w:p>
      <w:pPr>
        <w:ind w:firstLine="560" w:firstLineChars="200"/>
      </w:pPr>
      <w:r>
        <w:rPr>
          <w:rFonts w:hint="eastAsia" w:ascii="仿宋_GB2312" w:hAnsi="Arial Narrow" w:eastAsia="仿宋_GB2312" w:cs="Arial"/>
          <w:sz w:val="28"/>
          <w:szCs w:val="30"/>
        </w:rPr>
        <w:t>在竞赛规定时间到达后，裁判长会宣布竞赛结束，每个竞赛工位设备锁定，参赛选手停止所有操作，并按照裁判组要求有次序的离开竞赛场地。</w:t>
      </w:r>
    </w:p>
    <w:p>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六、竞赛试题</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本赛项的命题工作由赛项执委会指定的命题专家组负责，按照竞赛规程的内容要求，在方向和难度上依据教育部颁发的职业院校相关专业人才培养标准和国家职业标准，结合物联网人才培养要求和物联网企业岗位需要进行设计，命题专家在完成命题后，交由赛项执委会指定的专家进行审核。</w:t>
      </w:r>
    </w:p>
    <w:p>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七、竞赛规则</w:t>
      </w:r>
    </w:p>
    <w:p>
      <w:pPr>
        <w:widowControl/>
        <w:spacing w:line="560" w:lineRule="exact"/>
        <w:ind w:firstLine="560" w:firstLineChars="200"/>
        <w:outlineLvl w:val="1"/>
        <w:rPr>
          <w:rFonts w:ascii="仿宋_GB2312" w:hAnsi="仿宋" w:eastAsia="仿宋_GB2312"/>
          <w:kern w:val="0"/>
          <w:sz w:val="28"/>
          <w:szCs w:val="28"/>
        </w:rPr>
      </w:pPr>
      <w:r>
        <w:rPr>
          <w:rFonts w:hint="eastAsia" w:ascii="仿宋_GB2312" w:hAnsi="仿宋" w:eastAsia="仿宋_GB2312"/>
          <w:kern w:val="0"/>
          <w:sz w:val="28"/>
          <w:szCs w:val="28"/>
        </w:rPr>
        <w:t>（</w:t>
      </w:r>
      <w:r>
        <w:rPr>
          <w:rFonts w:ascii="仿宋_GB2312" w:hAnsi="仿宋" w:eastAsia="仿宋_GB2312"/>
          <w:kern w:val="0"/>
          <w:sz w:val="28"/>
          <w:szCs w:val="28"/>
        </w:rPr>
        <w:t>一）</w:t>
      </w:r>
      <w:r>
        <w:rPr>
          <w:rFonts w:hint="eastAsia" w:ascii="仿宋_GB2312" w:hAnsi="仿宋" w:eastAsia="仿宋_GB2312"/>
          <w:kern w:val="0"/>
          <w:sz w:val="28"/>
          <w:szCs w:val="28"/>
        </w:rPr>
        <w:t>参赛资格</w:t>
      </w:r>
    </w:p>
    <w:p>
      <w:pPr>
        <w:widowControl/>
        <w:snapToGrid w:val="0"/>
        <w:spacing w:line="560" w:lineRule="exact"/>
        <w:ind w:firstLine="560" w:firstLineChars="200"/>
        <w:rPr>
          <w:rFonts w:ascii="Calibri" w:hAnsi="Calibri" w:eastAsia="仿宋_GB2312"/>
          <w:color w:val="000000"/>
          <w:sz w:val="28"/>
          <w:szCs w:val="28"/>
        </w:rPr>
      </w:pPr>
      <w:r>
        <w:rPr>
          <w:rFonts w:ascii="仿宋_GB2312" w:hAnsi="仿宋" w:eastAsia="仿宋_GB2312"/>
          <w:color w:val="000000"/>
          <w:kern w:val="0"/>
          <w:sz w:val="28"/>
          <w:szCs w:val="28"/>
        </w:rPr>
        <w:t>参赛选手须为中等职业学校全日制在籍学生，五年制高职学生报名参赛的，一至三年级（含三年级）学生参加中职组比赛</w:t>
      </w:r>
      <w:r>
        <w:rPr>
          <w:rFonts w:hint="eastAsia" w:ascii="仿宋_GB2312" w:hAnsi="仿宋" w:eastAsia="仿宋_GB2312"/>
          <w:color w:val="000000"/>
          <w:kern w:val="0"/>
          <w:sz w:val="28"/>
          <w:szCs w:val="28"/>
        </w:rPr>
        <w:t>。</w:t>
      </w:r>
      <w:r>
        <w:rPr>
          <w:rFonts w:hint="eastAsia" w:ascii="Calibri" w:hAnsi="Calibri" w:eastAsia="仿宋_GB2312"/>
          <w:color w:val="000000"/>
          <w:sz w:val="28"/>
          <w:szCs w:val="28"/>
        </w:rPr>
        <w:t>原则上参赛选手经过各级选拔产生；凡在往届全国职业院校技能大赛中获一等奖的选手，不能再参加同一项目同一组别的比赛。参赛选手的资格审查工作按照《全国职业院校技能大赛制度汇编》要求执行。</w:t>
      </w:r>
    </w:p>
    <w:p>
      <w:pPr>
        <w:widowControl/>
        <w:spacing w:line="560" w:lineRule="exact"/>
        <w:ind w:firstLine="560" w:firstLineChars="200"/>
        <w:outlineLvl w:val="1"/>
        <w:rPr>
          <w:rFonts w:ascii="仿宋_GB2312" w:hAnsi="仿宋" w:eastAsia="仿宋_GB2312"/>
          <w:kern w:val="0"/>
          <w:sz w:val="28"/>
          <w:szCs w:val="28"/>
        </w:rPr>
      </w:pPr>
      <w:r>
        <w:rPr>
          <w:rFonts w:hint="eastAsia" w:ascii="仿宋_GB2312" w:hAnsi="仿宋" w:eastAsia="仿宋_GB2312"/>
          <w:kern w:val="0"/>
          <w:sz w:val="28"/>
          <w:szCs w:val="28"/>
        </w:rPr>
        <w:t>（二</w:t>
      </w:r>
      <w:r>
        <w:rPr>
          <w:rFonts w:ascii="仿宋_GB2312" w:hAnsi="仿宋" w:eastAsia="仿宋_GB2312"/>
          <w:kern w:val="0"/>
          <w:sz w:val="28"/>
          <w:szCs w:val="28"/>
        </w:rPr>
        <w:t>）</w:t>
      </w:r>
      <w:r>
        <w:rPr>
          <w:rFonts w:hint="eastAsia" w:ascii="仿宋_GB2312" w:hAnsi="仿宋" w:eastAsia="仿宋_GB2312"/>
          <w:kern w:val="0"/>
          <w:sz w:val="28"/>
          <w:szCs w:val="28"/>
        </w:rPr>
        <w:t>报名要求</w:t>
      </w:r>
    </w:p>
    <w:p>
      <w:pPr>
        <w:widowControl/>
        <w:snapToGrid w:val="0"/>
        <w:spacing w:line="560" w:lineRule="exact"/>
        <w:ind w:firstLine="560" w:firstLineChars="200"/>
        <w:rPr>
          <w:rFonts w:ascii="仿宋_GB2312" w:hAnsi="仿宋" w:eastAsia="仿宋_GB2312"/>
          <w:sz w:val="28"/>
          <w:szCs w:val="28"/>
        </w:rPr>
      </w:pPr>
      <w:r>
        <w:rPr>
          <w:rFonts w:hint="eastAsia" w:ascii="Calibri" w:hAnsi="Calibri" w:eastAsia="仿宋_GB2312"/>
          <w:sz w:val="28"/>
          <w:szCs w:val="28"/>
        </w:rPr>
        <w:t>本赛项为团体赛，以院校为单位组织组队参赛，不允许跨校组队。</w:t>
      </w:r>
      <w:r>
        <w:rPr>
          <w:rFonts w:hint="eastAsia" w:ascii="仿宋_GB2312" w:eastAsia="仿宋_GB2312"/>
          <w:sz w:val="28"/>
        </w:rPr>
        <w:t>参赛选手在报名获得确认后，原则上不再更换。如在筹备过程中，选手因故不能参赛，参赛学校主管部门需出具书面说明并按相关参赛选手资格补充人员并接受审核；竞赛开始后，参赛队不得更换参赛选手，允许队员缺席比赛。</w:t>
      </w:r>
    </w:p>
    <w:p>
      <w:pPr>
        <w:widowControl/>
        <w:spacing w:line="560" w:lineRule="exact"/>
        <w:ind w:firstLine="560" w:firstLineChars="200"/>
        <w:outlineLvl w:val="1"/>
        <w:rPr>
          <w:rFonts w:ascii="仿宋_GB2312" w:hAnsi="仿宋" w:eastAsia="仿宋_GB2312"/>
          <w:kern w:val="0"/>
          <w:sz w:val="28"/>
          <w:szCs w:val="28"/>
        </w:rPr>
      </w:pPr>
      <w:r>
        <w:rPr>
          <w:rFonts w:hint="eastAsia" w:ascii="仿宋_GB2312" w:hAnsi="仿宋" w:eastAsia="仿宋_GB2312"/>
          <w:kern w:val="0"/>
          <w:sz w:val="28"/>
          <w:szCs w:val="28"/>
        </w:rPr>
        <w:t>（</w:t>
      </w:r>
      <w:r>
        <w:rPr>
          <w:rFonts w:ascii="仿宋_GB2312" w:hAnsi="仿宋" w:eastAsia="仿宋_GB2312"/>
          <w:kern w:val="0"/>
          <w:sz w:val="28"/>
          <w:szCs w:val="28"/>
        </w:rPr>
        <w:t>三）</w:t>
      </w:r>
      <w:r>
        <w:rPr>
          <w:rFonts w:hint="eastAsia" w:ascii="仿宋_GB2312" w:hAnsi="仿宋" w:eastAsia="仿宋_GB2312"/>
          <w:kern w:val="0"/>
          <w:sz w:val="28"/>
          <w:szCs w:val="28"/>
        </w:rPr>
        <w:t>赛前</w:t>
      </w:r>
      <w:r>
        <w:rPr>
          <w:rFonts w:ascii="仿宋_GB2312" w:hAnsi="仿宋" w:eastAsia="仿宋_GB2312"/>
          <w:kern w:val="0"/>
          <w:sz w:val="28"/>
          <w:szCs w:val="28"/>
        </w:rPr>
        <w:t>准备</w:t>
      </w:r>
    </w:p>
    <w:p>
      <w:pPr>
        <w:widowControl/>
        <w:snapToGrid w:val="0"/>
        <w:spacing w:line="560" w:lineRule="exact"/>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1.参赛选手应在竞赛日程规定的时间熟悉竞赛场地，选手可进入竞赛场地及工位熟悉。</w:t>
      </w:r>
    </w:p>
    <w:p>
      <w:pPr>
        <w:widowControl/>
        <w:snapToGrid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2.参赛队熟悉竞赛场地后，认为所提供的设备、工具等不符合竞赛规定或有异议时，参赛队领队必须在1小时内提出书面报告，送交赛项执委会进行处理，超过时效将不予受理。</w:t>
      </w:r>
    </w:p>
    <w:p>
      <w:pPr>
        <w:widowControl/>
        <w:spacing w:line="560" w:lineRule="exact"/>
        <w:ind w:firstLine="560" w:firstLineChars="200"/>
        <w:outlineLvl w:val="1"/>
        <w:rPr>
          <w:rFonts w:ascii="仿宋_GB2312" w:hAnsi="仿宋" w:eastAsia="仿宋_GB2312"/>
          <w:kern w:val="0"/>
          <w:sz w:val="28"/>
          <w:szCs w:val="28"/>
        </w:rPr>
      </w:pPr>
      <w:r>
        <w:rPr>
          <w:rFonts w:hint="eastAsia" w:ascii="仿宋_GB2312" w:hAnsi="仿宋" w:eastAsia="仿宋_GB2312"/>
          <w:kern w:val="0"/>
          <w:sz w:val="28"/>
          <w:szCs w:val="28"/>
        </w:rPr>
        <w:t>（</w:t>
      </w:r>
      <w:r>
        <w:rPr>
          <w:rFonts w:ascii="仿宋_GB2312" w:hAnsi="仿宋" w:eastAsia="仿宋_GB2312"/>
          <w:kern w:val="0"/>
          <w:sz w:val="28"/>
          <w:szCs w:val="28"/>
        </w:rPr>
        <w:t>四）正式比赛</w:t>
      </w:r>
    </w:p>
    <w:p>
      <w:pPr>
        <w:widowControl/>
        <w:snapToGrid w:val="0"/>
        <w:spacing w:line="560" w:lineRule="exact"/>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w:t>
      </w:r>
      <w:r>
        <w:rPr>
          <w:rFonts w:ascii="仿宋_GB2312" w:hAnsi="仿宋" w:eastAsia="仿宋_GB2312"/>
          <w:kern w:val="0"/>
          <w:sz w:val="28"/>
          <w:szCs w:val="28"/>
        </w:rPr>
        <w:t>.</w:t>
      </w:r>
      <w:r>
        <w:rPr>
          <w:rFonts w:hint="eastAsia" w:ascii="仿宋_GB2312" w:hAnsi="仿宋" w:eastAsia="仿宋_GB2312"/>
          <w:kern w:val="0"/>
          <w:sz w:val="28"/>
          <w:szCs w:val="28"/>
        </w:rPr>
        <w:t>参赛选手须提前</w:t>
      </w:r>
      <w:r>
        <w:rPr>
          <w:rFonts w:ascii="仿宋_GB2312" w:hAnsi="仿宋" w:eastAsia="仿宋_GB2312"/>
          <w:kern w:val="0"/>
          <w:sz w:val="28"/>
          <w:szCs w:val="28"/>
        </w:rPr>
        <w:t>20</w:t>
      </w:r>
      <w:r>
        <w:rPr>
          <w:rFonts w:hint="eastAsia" w:ascii="仿宋_GB2312" w:hAnsi="仿宋" w:eastAsia="仿宋_GB2312"/>
          <w:kern w:val="0"/>
          <w:sz w:val="28"/>
          <w:szCs w:val="28"/>
        </w:rPr>
        <w:t>分钟入场，入场必须佩戴参赛证并出示身份证和学生证。不得私自携带任何软硬件工具（各种便携式电脑、各种移动存储设备等）、技术资源和通信工具。按工位号入座，检查比赛所需竞赛设备齐全后，由参赛选手签字确认方可开始比赛。选手在比赛中应注意随时存盘。迟到超过</w:t>
      </w:r>
      <w:r>
        <w:rPr>
          <w:rFonts w:ascii="仿宋_GB2312" w:hAnsi="仿宋" w:eastAsia="仿宋_GB2312"/>
          <w:kern w:val="0"/>
          <w:sz w:val="28"/>
          <w:szCs w:val="28"/>
        </w:rPr>
        <w:t>10</w:t>
      </w:r>
      <w:r>
        <w:rPr>
          <w:rFonts w:hint="eastAsia" w:ascii="仿宋_GB2312" w:hAnsi="仿宋" w:eastAsia="仿宋_GB2312"/>
          <w:kern w:val="0"/>
          <w:sz w:val="28"/>
          <w:szCs w:val="28"/>
        </w:rPr>
        <w:t>分钟不得入场。竞赛期间不准出场，竞赛结束后方可离场。</w:t>
      </w:r>
    </w:p>
    <w:p>
      <w:pPr>
        <w:widowControl/>
        <w:snapToGrid w:val="0"/>
        <w:spacing w:line="560" w:lineRule="exact"/>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2</w:t>
      </w:r>
      <w:r>
        <w:rPr>
          <w:rFonts w:ascii="仿宋_GB2312" w:hAnsi="仿宋" w:eastAsia="仿宋_GB2312"/>
          <w:kern w:val="0"/>
          <w:sz w:val="28"/>
          <w:szCs w:val="28"/>
        </w:rPr>
        <w:t>.</w:t>
      </w:r>
      <w:r>
        <w:rPr>
          <w:rFonts w:hint="eastAsia" w:ascii="仿宋_GB2312" w:hAnsi="仿宋" w:eastAsia="仿宋_GB2312"/>
          <w:kern w:val="0"/>
          <w:sz w:val="28"/>
          <w:szCs w:val="28"/>
        </w:rPr>
        <w:t>竞赛过程中，每个参赛队内部成员之间可以互相沟通，但不得与任何其它人员讨论问题，也不得向裁判、巡视和其他必须进入考场的工作人员询问与竞赛项目的操作流程和操作方法有关的问题，如有竞赛题目文字不清、软硬件环境故障的问题时，可向裁判员询问，成员间的沟通谈话不得影响到其他竞赛队伍。</w:t>
      </w:r>
    </w:p>
    <w:p>
      <w:pPr>
        <w:widowControl/>
        <w:snapToGrid w:val="0"/>
        <w:spacing w:line="560" w:lineRule="exact"/>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3</w:t>
      </w:r>
      <w:r>
        <w:rPr>
          <w:rFonts w:ascii="仿宋_GB2312" w:hAnsi="仿宋" w:eastAsia="仿宋_GB2312"/>
          <w:kern w:val="0"/>
          <w:sz w:val="28"/>
          <w:szCs w:val="28"/>
        </w:rPr>
        <w:t>.</w:t>
      </w:r>
      <w:r>
        <w:rPr>
          <w:rFonts w:hint="eastAsia" w:ascii="仿宋_GB2312" w:hAnsi="仿宋" w:eastAsia="仿宋_GB2312"/>
          <w:kern w:val="0"/>
          <w:sz w:val="28"/>
          <w:szCs w:val="28"/>
        </w:rPr>
        <w:t>竞赛过程中除裁判和其他必须进入考场的工作人员外，任何其它非竞赛选手不得进入竞赛场地。</w:t>
      </w:r>
    </w:p>
    <w:p>
      <w:pPr>
        <w:widowControl/>
        <w:snapToGrid w:val="0"/>
        <w:spacing w:line="560" w:lineRule="exact"/>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4</w:t>
      </w:r>
      <w:r>
        <w:rPr>
          <w:rFonts w:ascii="仿宋_GB2312" w:hAnsi="仿宋" w:eastAsia="仿宋_GB2312"/>
          <w:kern w:val="0"/>
          <w:sz w:val="28"/>
          <w:szCs w:val="28"/>
        </w:rPr>
        <w:t>.</w:t>
      </w:r>
      <w:r>
        <w:rPr>
          <w:rFonts w:hint="eastAsia" w:ascii="仿宋_GB2312" w:hAnsi="仿宋" w:eastAsia="仿宋_GB2312"/>
          <w:kern w:val="0"/>
          <w:sz w:val="28"/>
          <w:szCs w:val="28"/>
        </w:rPr>
        <w:t>竞赛赛程结束（或提前完成）后，参赛队要确认成功提交竞赛要求的文件，裁判员与参赛队队长一起签字确认，参赛队在确认后不得再进行任何操作。</w:t>
      </w:r>
    </w:p>
    <w:p>
      <w:pPr>
        <w:widowControl/>
        <w:spacing w:line="560" w:lineRule="exact"/>
        <w:ind w:firstLine="560" w:firstLineChars="200"/>
        <w:outlineLvl w:val="1"/>
        <w:rPr>
          <w:rFonts w:ascii="仿宋_GB2312" w:hAnsi="仿宋" w:eastAsia="仿宋_GB2312"/>
          <w:kern w:val="0"/>
          <w:sz w:val="28"/>
          <w:szCs w:val="28"/>
        </w:rPr>
      </w:pPr>
      <w:r>
        <w:rPr>
          <w:rFonts w:hint="eastAsia" w:ascii="仿宋_GB2312" w:hAnsi="仿宋" w:eastAsia="仿宋_GB2312"/>
          <w:kern w:val="0"/>
          <w:sz w:val="28"/>
          <w:szCs w:val="28"/>
        </w:rPr>
        <w:t>（五）</w:t>
      </w:r>
      <w:r>
        <w:rPr>
          <w:rFonts w:ascii="仿宋_GB2312" w:hAnsi="仿宋" w:eastAsia="仿宋_GB2312"/>
          <w:kern w:val="0"/>
          <w:sz w:val="28"/>
          <w:szCs w:val="28"/>
        </w:rPr>
        <w:t>成绩公示与公布</w:t>
      </w:r>
    </w:p>
    <w:p>
      <w:pPr>
        <w:widowControl/>
        <w:snapToGrid w:val="0"/>
        <w:spacing w:line="560" w:lineRule="exact"/>
        <w:ind w:firstLine="560" w:firstLineChars="200"/>
        <w:rPr>
          <w:rFonts w:ascii="仿宋_GB2312" w:hAnsi="仿宋" w:eastAsia="仿宋_GB2312"/>
          <w:kern w:val="0"/>
          <w:sz w:val="28"/>
          <w:szCs w:val="28"/>
        </w:rPr>
      </w:pPr>
      <w:r>
        <w:rPr>
          <w:rFonts w:hint="eastAsia" w:ascii="仿宋_GB2312" w:hAnsi="Arial Narrow" w:eastAsia="仿宋_GB2312" w:cs="Arial"/>
          <w:sz w:val="28"/>
          <w:szCs w:val="30"/>
        </w:rPr>
        <w:t>赛项成绩解密后汇总后，经裁判长签字，在赛项执委会指定的地点，以纸质形式向全体参赛队进行公布。</w:t>
      </w:r>
    </w:p>
    <w:p>
      <w:pPr>
        <w:widowControl/>
        <w:spacing w:line="560" w:lineRule="exact"/>
        <w:ind w:firstLine="560" w:firstLineChars="200"/>
        <w:outlineLvl w:val="1"/>
        <w:rPr>
          <w:rFonts w:ascii="仿宋_GB2312" w:hAnsi="仿宋" w:eastAsia="仿宋_GB2312"/>
          <w:kern w:val="0"/>
          <w:sz w:val="28"/>
          <w:szCs w:val="28"/>
        </w:rPr>
      </w:pPr>
      <w:r>
        <w:rPr>
          <w:rFonts w:hint="eastAsia" w:ascii="仿宋_GB2312" w:hAnsi="仿宋" w:eastAsia="仿宋_GB2312"/>
          <w:kern w:val="0"/>
          <w:sz w:val="28"/>
          <w:szCs w:val="28"/>
        </w:rPr>
        <w:t>（</w:t>
      </w:r>
      <w:r>
        <w:rPr>
          <w:rFonts w:ascii="仿宋_GB2312" w:hAnsi="仿宋" w:eastAsia="仿宋_GB2312"/>
          <w:kern w:val="0"/>
          <w:sz w:val="28"/>
          <w:szCs w:val="28"/>
        </w:rPr>
        <w:t>六）</w:t>
      </w:r>
      <w:r>
        <w:rPr>
          <w:rFonts w:hint="eastAsia" w:ascii="仿宋_GB2312" w:hAnsi="仿宋" w:eastAsia="仿宋_GB2312"/>
          <w:kern w:val="0"/>
          <w:sz w:val="28"/>
          <w:szCs w:val="28"/>
        </w:rPr>
        <w:t>其</w:t>
      </w:r>
      <w:r>
        <w:rPr>
          <w:rFonts w:ascii="仿宋_GB2312" w:hAnsi="仿宋" w:eastAsia="仿宋_GB2312"/>
          <w:kern w:val="0"/>
          <w:sz w:val="28"/>
          <w:szCs w:val="28"/>
        </w:rPr>
        <w:t>他</w:t>
      </w:r>
    </w:p>
    <w:p>
      <w:pPr>
        <w:widowControl/>
        <w:snapToGrid w:val="0"/>
        <w:spacing w:line="560" w:lineRule="exact"/>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w:t>
      </w:r>
      <w:r>
        <w:rPr>
          <w:rFonts w:ascii="仿宋_GB2312" w:hAnsi="仿宋" w:eastAsia="仿宋_GB2312"/>
          <w:kern w:val="0"/>
          <w:sz w:val="28"/>
          <w:szCs w:val="28"/>
        </w:rPr>
        <w:t>.</w:t>
      </w:r>
      <w:r>
        <w:rPr>
          <w:rFonts w:hint="eastAsia" w:ascii="仿宋_GB2312" w:hAnsi="仿宋" w:eastAsia="仿宋_GB2312"/>
          <w:kern w:val="0"/>
          <w:sz w:val="28"/>
          <w:szCs w:val="28"/>
        </w:rPr>
        <w:t>参赛选手应严格遵守赛场纪律，服从指挥，着装整洁，仪表端庄，讲文明礼貌。各地代表队之间应团结、友好、协作，避免各种矛盾发生。</w:t>
      </w:r>
    </w:p>
    <w:p>
      <w:pPr>
        <w:ind w:firstLine="560" w:firstLineChars="200"/>
      </w:pPr>
      <w:r>
        <w:rPr>
          <w:rFonts w:hint="eastAsia" w:ascii="仿宋_GB2312" w:hAnsi="仿宋" w:eastAsia="仿宋_GB2312"/>
          <w:kern w:val="0"/>
          <w:sz w:val="28"/>
          <w:szCs w:val="28"/>
        </w:rPr>
        <w:t>2</w:t>
      </w:r>
      <w:r>
        <w:rPr>
          <w:rFonts w:ascii="仿宋_GB2312" w:hAnsi="仿宋" w:eastAsia="仿宋_GB2312"/>
          <w:kern w:val="0"/>
          <w:sz w:val="28"/>
          <w:szCs w:val="28"/>
        </w:rPr>
        <w:t>.</w:t>
      </w:r>
      <w:r>
        <w:rPr>
          <w:rFonts w:hint="eastAsia" w:ascii="仿宋_GB2312" w:hAnsi="仿宋" w:eastAsia="仿宋_GB2312"/>
          <w:kern w:val="0"/>
          <w:sz w:val="28"/>
          <w:szCs w:val="28"/>
        </w:rPr>
        <w:t>其它未尽事宜，将在竞赛指南或赛前说明会向各领队做详细说明。</w:t>
      </w:r>
    </w:p>
    <w:p>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八、竞赛环境</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1.竞赛场地。竞赛现场设置竞赛区、裁判区、服务区、技术支持区。现场保证良好的采光、照明和通风；提供稳定的水、电和供电应急设备。同时提供所有指导教师休息室1间。</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2.竞赛设备。所有竞赛设备由赛项执委会负责提供和保障，竞赛区按照参赛队数量准备比赛所需的软硬件平台，为参赛队提供标准竞赛设备。</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3.竞赛工位。竞赛现场各个工作区配备单相220V/3A以上交流电源。每个比赛工位上标明编号。每个比赛间配有工作台，用于摆放计算机和其它调试设备工具等。配备2把工作椅（凳）。</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4.技术支持区为参赛选手提供公用备件等竞赛相关设备。</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5.服务区提供医疗等服务保障。</w:t>
      </w:r>
    </w:p>
    <w:p>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九、技术规范</w:t>
      </w:r>
    </w:p>
    <w:p>
      <w:pPr>
        <w:snapToGrid w:val="0"/>
        <w:spacing w:line="560" w:lineRule="exact"/>
        <w:ind w:firstLine="560" w:firstLineChars="200"/>
        <w:rPr>
          <w:rFonts w:ascii="仿宋_GB2312" w:hAnsi="宋体" w:eastAsia="仿宋_GB2312" w:cs="宋体"/>
          <w:sz w:val="28"/>
          <w:szCs w:val="28"/>
        </w:rPr>
      </w:pPr>
      <w:r>
        <w:rPr>
          <w:rFonts w:hint="eastAsia" w:ascii="仿宋_GB2312" w:hAnsi="Arial Narrow" w:eastAsia="仿宋_GB2312" w:cs="Arial"/>
          <w:sz w:val="28"/>
          <w:szCs w:val="30"/>
        </w:rPr>
        <w:t>竞赛项目的命题结合企业职业岗位对人才培养需求，并参照以下相关标准制定：</w:t>
      </w:r>
    </w:p>
    <w:p>
      <w:pPr>
        <w:snapToGrid w:val="0"/>
        <w:spacing w:line="560" w:lineRule="exact"/>
        <w:ind w:left="560"/>
        <w:rPr>
          <w:rFonts w:ascii="仿宋_GB2312" w:hAnsi="Arial Narrow" w:eastAsia="仿宋_GB2312" w:cs="Arial"/>
          <w:sz w:val="28"/>
          <w:szCs w:val="30"/>
        </w:rPr>
      </w:pPr>
      <w:r>
        <w:rPr>
          <w:rFonts w:hint="eastAsia" w:ascii="仿宋_GB2312" w:hAnsi="Arial Narrow" w:eastAsia="仿宋_GB2312" w:cs="Arial"/>
          <w:sz w:val="28"/>
          <w:szCs w:val="30"/>
        </w:rPr>
        <w:t xml:space="preserve">《物联网安装调试员国家职业技能标准》 </w:t>
      </w:r>
    </w:p>
    <w:p>
      <w:pPr>
        <w:snapToGrid w:val="0"/>
        <w:spacing w:line="560" w:lineRule="exact"/>
        <w:ind w:left="560"/>
        <w:rPr>
          <w:rFonts w:ascii="仿宋_GB2312" w:hAnsi="Arial Narrow" w:eastAsia="仿宋_GB2312" w:cs="Arial"/>
          <w:sz w:val="28"/>
          <w:szCs w:val="30"/>
        </w:rPr>
      </w:pPr>
      <w:r>
        <w:rPr>
          <w:rFonts w:hint="eastAsia" w:ascii="仿宋_GB2312" w:hAnsi="Arial Narrow" w:eastAsia="仿宋_GB2312" w:cs="Arial"/>
          <w:sz w:val="28"/>
          <w:szCs w:val="30"/>
        </w:rPr>
        <w:t xml:space="preserve">GB/T 33474-2016 物联网参考体系结构 </w:t>
      </w:r>
    </w:p>
    <w:p>
      <w:pPr>
        <w:snapToGrid w:val="0"/>
        <w:spacing w:line="560" w:lineRule="exact"/>
        <w:ind w:left="560"/>
        <w:rPr>
          <w:rFonts w:ascii="仿宋_GB2312" w:hAnsi="Arial Narrow" w:eastAsia="仿宋_GB2312" w:cs="Arial"/>
          <w:sz w:val="28"/>
          <w:szCs w:val="30"/>
        </w:rPr>
      </w:pPr>
      <w:r>
        <w:rPr>
          <w:rFonts w:ascii="仿宋_GB2312" w:hAnsi="Arial Narrow" w:eastAsia="仿宋_GB2312" w:cs="Arial"/>
          <w:sz w:val="28"/>
          <w:szCs w:val="30"/>
        </w:rPr>
        <w:t xml:space="preserve">ISO/IEC 29182-5-2013 </w:t>
      </w:r>
      <w:r>
        <w:rPr>
          <w:rFonts w:hint="eastAsia" w:ascii="仿宋_GB2312" w:hAnsi="Arial Narrow" w:eastAsia="仿宋_GB2312" w:cs="Arial"/>
          <w:sz w:val="28"/>
          <w:szCs w:val="30"/>
        </w:rPr>
        <w:t>信息技术</w:t>
      </w:r>
      <w:r>
        <w:rPr>
          <w:rFonts w:ascii="仿宋_GB2312" w:hAnsi="Arial Narrow" w:eastAsia="仿宋_GB2312" w:cs="Arial"/>
          <w:sz w:val="28"/>
          <w:szCs w:val="30"/>
        </w:rPr>
        <w:t>-</w:t>
      </w:r>
      <w:r>
        <w:rPr>
          <w:rFonts w:hint="eastAsia" w:ascii="仿宋_GB2312" w:hAnsi="Arial Narrow" w:eastAsia="仿宋_GB2312" w:cs="Arial"/>
          <w:sz w:val="28"/>
          <w:szCs w:val="30"/>
        </w:rPr>
        <w:t>传感器网络：传感器网络参考体系结构</w:t>
      </w:r>
    </w:p>
    <w:p>
      <w:pPr>
        <w:snapToGrid w:val="0"/>
        <w:spacing w:line="560" w:lineRule="exact"/>
        <w:ind w:left="560"/>
        <w:rPr>
          <w:rFonts w:ascii="仿宋_GB2312" w:hAnsi="Arial Narrow" w:eastAsia="仿宋_GB2312" w:cs="Arial"/>
          <w:sz w:val="28"/>
          <w:szCs w:val="30"/>
        </w:rPr>
      </w:pPr>
      <w:r>
        <w:rPr>
          <w:rFonts w:hint="eastAsia" w:ascii="仿宋_GB2312" w:hAnsi="Arial Narrow" w:eastAsia="仿宋_GB2312" w:cs="Arial"/>
          <w:sz w:val="28"/>
          <w:szCs w:val="30"/>
        </w:rPr>
        <w:t xml:space="preserve">GB 50311-2016 综合布线系统工程设计规范 </w:t>
      </w:r>
    </w:p>
    <w:p>
      <w:pPr>
        <w:snapToGrid w:val="0"/>
        <w:spacing w:line="560" w:lineRule="exact"/>
        <w:ind w:left="560"/>
        <w:rPr>
          <w:rFonts w:ascii="仿宋_GB2312" w:hAnsi="Arial Narrow" w:eastAsia="仿宋_GB2312" w:cs="Arial"/>
          <w:sz w:val="28"/>
          <w:szCs w:val="30"/>
        </w:rPr>
      </w:pPr>
      <w:r>
        <w:rPr>
          <w:rFonts w:hint="eastAsia" w:ascii="仿宋_GB2312" w:hAnsi="Arial Narrow" w:eastAsia="仿宋_GB2312" w:cs="Arial"/>
          <w:sz w:val="28"/>
          <w:szCs w:val="30"/>
        </w:rPr>
        <w:t>GB21671-2008</w:t>
      </w:r>
      <w:r>
        <w:rPr>
          <w:rFonts w:ascii="仿宋_GB2312" w:hAnsi="Arial Narrow" w:eastAsia="仿宋_GB2312" w:cs="Arial"/>
          <w:sz w:val="28"/>
          <w:szCs w:val="30"/>
        </w:rPr>
        <w:t xml:space="preserve"> </w:t>
      </w:r>
      <w:r>
        <w:rPr>
          <w:rFonts w:hint="eastAsia" w:ascii="仿宋_GB2312" w:hAnsi="Arial Narrow" w:eastAsia="仿宋_GB2312" w:cs="Arial"/>
          <w:sz w:val="28"/>
          <w:szCs w:val="30"/>
        </w:rPr>
        <w:t>基于以太网技术的局域网系统验收测评规范</w:t>
      </w:r>
    </w:p>
    <w:p>
      <w:pPr>
        <w:snapToGrid w:val="0"/>
        <w:spacing w:line="560" w:lineRule="exact"/>
        <w:ind w:left="560"/>
        <w:rPr>
          <w:rFonts w:ascii="仿宋_GB2312" w:hAnsi="Arial Narrow" w:eastAsia="仿宋_GB2312" w:cs="Arial"/>
          <w:sz w:val="28"/>
          <w:szCs w:val="30"/>
        </w:rPr>
      </w:pPr>
      <w:r>
        <w:rPr>
          <w:rFonts w:hint="eastAsia" w:ascii="仿宋_GB2312" w:hAnsi="Arial Narrow" w:eastAsia="仿宋_GB2312" w:cs="Arial"/>
          <w:sz w:val="28"/>
          <w:szCs w:val="30"/>
        </w:rPr>
        <w:t xml:space="preserve">GB/T 34068-2017 物联网总体技术智能传感器接口规范 </w:t>
      </w:r>
    </w:p>
    <w:p>
      <w:pPr>
        <w:snapToGrid w:val="0"/>
        <w:spacing w:line="560" w:lineRule="exact"/>
        <w:ind w:left="560"/>
        <w:rPr>
          <w:rFonts w:ascii="仿宋_GB2312" w:hAnsi="Arial Narrow" w:eastAsia="仿宋_GB2312" w:cs="Arial"/>
          <w:sz w:val="28"/>
          <w:szCs w:val="30"/>
        </w:rPr>
      </w:pPr>
      <w:r>
        <w:rPr>
          <w:rFonts w:hint="eastAsia" w:ascii="仿宋_GB2312" w:hAnsi="Arial Narrow" w:eastAsia="仿宋_GB2312" w:cs="Arial"/>
          <w:sz w:val="28"/>
          <w:szCs w:val="30"/>
        </w:rPr>
        <w:t>GB/T 33745-2017 物联网 术语</w:t>
      </w:r>
    </w:p>
    <w:p>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十、技术平台</w:t>
      </w:r>
    </w:p>
    <w:p>
      <w:pPr>
        <w:spacing w:line="560" w:lineRule="exact"/>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（一）通用计算机环境</w:t>
      </w:r>
    </w:p>
    <w:p>
      <w:pPr>
        <w:spacing w:line="560" w:lineRule="exact"/>
        <w:ind w:firstLine="560" w:firstLineChars="200"/>
        <w:rPr>
          <w:rFonts w:ascii="仿宋_GB2312" w:eastAsia="仿宋_GB2312"/>
          <w:color w:val="000000"/>
          <w:sz w:val="28"/>
          <w:szCs w:val="28"/>
        </w:rPr>
      </w:pPr>
      <w:r>
        <w:rPr>
          <w:rFonts w:ascii="仿宋_GB2312" w:eastAsia="仿宋_GB2312"/>
          <w:color w:val="000000"/>
          <w:sz w:val="28"/>
          <w:szCs w:val="28"/>
        </w:rPr>
        <w:t>个人计算机（ PC 机）， 配置不低于以下参数：</w:t>
      </w:r>
    </w:p>
    <w:p>
      <w:pPr>
        <w:numPr>
          <w:ilvl w:val="0"/>
          <w:numId w:val="1"/>
        </w:numPr>
        <w:spacing w:line="560" w:lineRule="exact"/>
        <w:rPr>
          <w:rFonts w:ascii="仿宋_GB2312" w:eastAsia="仿宋_GB2312"/>
          <w:color w:val="000000"/>
          <w:sz w:val="28"/>
          <w:szCs w:val="28"/>
        </w:rPr>
      </w:pPr>
      <w:r>
        <w:rPr>
          <w:rFonts w:ascii="仿宋_GB2312" w:eastAsia="仿宋_GB2312"/>
          <w:color w:val="000000"/>
          <w:sz w:val="28"/>
          <w:szCs w:val="28"/>
        </w:rPr>
        <w:t>CPU：Intel i5；</w:t>
      </w:r>
    </w:p>
    <w:p>
      <w:pPr>
        <w:numPr>
          <w:ilvl w:val="0"/>
          <w:numId w:val="1"/>
        </w:numPr>
        <w:spacing w:line="560" w:lineRule="exact"/>
        <w:rPr>
          <w:rFonts w:ascii="仿宋_GB2312" w:eastAsia="仿宋_GB2312"/>
          <w:color w:val="000000"/>
          <w:sz w:val="28"/>
          <w:szCs w:val="28"/>
        </w:rPr>
      </w:pPr>
      <w:r>
        <w:rPr>
          <w:rFonts w:ascii="仿宋_GB2312" w:eastAsia="仿宋_GB2312"/>
          <w:color w:val="000000"/>
          <w:sz w:val="28"/>
          <w:szCs w:val="28"/>
        </w:rPr>
        <w:t>内存容量：8G；</w:t>
      </w:r>
    </w:p>
    <w:p>
      <w:pPr>
        <w:numPr>
          <w:ilvl w:val="0"/>
          <w:numId w:val="1"/>
        </w:numPr>
        <w:spacing w:line="560" w:lineRule="exact"/>
        <w:rPr>
          <w:rFonts w:ascii="仿宋_GB2312" w:eastAsia="仿宋_GB2312"/>
          <w:color w:val="000000"/>
          <w:sz w:val="28"/>
          <w:szCs w:val="28"/>
        </w:rPr>
      </w:pPr>
      <w:r>
        <w:rPr>
          <w:rFonts w:ascii="仿宋_GB2312" w:eastAsia="仿宋_GB2312"/>
          <w:color w:val="000000"/>
          <w:sz w:val="28"/>
          <w:szCs w:val="28"/>
        </w:rPr>
        <w:t>硬盘：256G固态盘；</w:t>
      </w:r>
    </w:p>
    <w:p>
      <w:pPr>
        <w:numPr>
          <w:ilvl w:val="0"/>
          <w:numId w:val="1"/>
        </w:numPr>
        <w:spacing w:line="560" w:lineRule="exact"/>
        <w:rPr>
          <w:rFonts w:ascii="仿宋_GB2312" w:eastAsia="仿宋_GB2312"/>
          <w:color w:val="000000"/>
          <w:sz w:val="28"/>
          <w:szCs w:val="28"/>
        </w:rPr>
      </w:pPr>
      <w:r>
        <w:rPr>
          <w:rFonts w:ascii="仿宋_GB2312" w:eastAsia="仿宋_GB2312"/>
          <w:color w:val="000000"/>
          <w:sz w:val="28"/>
          <w:szCs w:val="28"/>
        </w:rPr>
        <w:t xml:space="preserve">接口：1 </w:t>
      </w:r>
      <w:r>
        <w:rPr>
          <w:rFonts w:ascii="仿宋_GB2312" w:eastAsia="仿宋_GB2312"/>
          <w:color w:val="000000"/>
          <w:sz w:val="28"/>
          <w:szCs w:val="28"/>
        </w:rPr>
        <w:t>个</w:t>
      </w:r>
      <w:r>
        <w:rPr>
          <w:rFonts w:ascii="仿宋_GB2312" w:eastAsia="仿宋_GB2312"/>
          <w:color w:val="000000"/>
          <w:sz w:val="28"/>
          <w:szCs w:val="28"/>
        </w:rPr>
        <w:t>串口，4个USB端口。</w:t>
      </w:r>
    </w:p>
    <w:p>
      <w:pPr>
        <w:numPr>
          <w:ilvl w:val="0"/>
          <w:numId w:val="2"/>
        </w:numPr>
        <w:spacing w:line="560" w:lineRule="exact"/>
        <w:rPr>
          <w:rFonts w:ascii="Arial Narrow" w:hAnsi="Arial Narrow" w:eastAsia="仿宋_GB2312" w:cs="宋体"/>
          <w:sz w:val="28"/>
          <w:szCs w:val="28"/>
        </w:rPr>
      </w:pPr>
      <w:r>
        <w:rPr>
          <w:rFonts w:ascii="仿宋_GB2312" w:eastAsia="仿宋_GB2312"/>
          <w:color w:val="000000"/>
          <w:sz w:val="28"/>
          <w:szCs w:val="28"/>
        </w:rPr>
        <w:t>个人计算机配备不低于以下版本的软件：</w:t>
      </w:r>
      <w:r>
        <w:t xml:space="preserve"> </w:t>
      </w:r>
    </w:p>
    <w:tbl>
      <w:tblPr>
        <w:tblStyle w:val="11"/>
        <w:tblW w:w="5038" w:type="pct"/>
        <w:jc w:val="center"/>
        <w:tblInd w:w="0" w:type="dxa"/>
        <w:tblLayout w:type="fixed"/>
        <w:tblCellMar>
          <w:top w:w="0" w:type="dxa"/>
          <w:left w:w="108" w:type="dxa"/>
          <w:bottom w:w="0" w:type="dxa"/>
          <w:right w:w="108" w:type="dxa"/>
        </w:tblCellMar>
      </w:tblPr>
      <w:tblGrid>
        <w:gridCol w:w="755"/>
        <w:gridCol w:w="1082"/>
        <w:gridCol w:w="5813"/>
        <w:gridCol w:w="709"/>
      </w:tblGrid>
      <w:tr>
        <w:tblPrEx>
          <w:tblLayout w:type="fixed"/>
          <w:tblCellMar>
            <w:top w:w="0" w:type="dxa"/>
            <w:left w:w="108" w:type="dxa"/>
            <w:bottom w:w="0" w:type="dxa"/>
            <w:right w:w="108" w:type="dxa"/>
          </w:tblCellMar>
        </w:tblPrEx>
        <w:trPr>
          <w:trHeight w:val="342"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序号</w:t>
            </w:r>
          </w:p>
        </w:tc>
        <w:tc>
          <w:tcPr>
            <w:tcW w:w="1082" w:type="dxa"/>
            <w:tcBorders>
              <w:top w:val="single" w:color="auto" w:sz="4" w:space="0"/>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类别</w:t>
            </w:r>
          </w:p>
        </w:tc>
        <w:tc>
          <w:tcPr>
            <w:tcW w:w="5813" w:type="dxa"/>
            <w:tcBorders>
              <w:top w:val="single" w:color="auto" w:sz="4" w:space="0"/>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设备</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数量</w:t>
            </w:r>
          </w:p>
        </w:tc>
      </w:tr>
      <w:tr>
        <w:tblPrEx>
          <w:tblLayout w:type="fixed"/>
          <w:tblCellMar>
            <w:top w:w="0" w:type="dxa"/>
            <w:left w:w="108" w:type="dxa"/>
            <w:bottom w:w="0" w:type="dxa"/>
            <w:right w:w="108" w:type="dxa"/>
          </w:tblCellMar>
        </w:tblPrEx>
        <w:trPr>
          <w:trHeight w:val="342" w:hRule="atLeast"/>
          <w:jc w:val="center"/>
        </w:trPr>
        <w:tc>
          <w:tcPr>
            <w:tcW w:w="755" w:type="dxa"/>
            <w:tcBorders>
              <w:top w:val="nil"/>
              <w:left w:val="single" w:color="auto" w:sz="4" w:space="0"/>
              <w:bottom w:val="single" w:color="auto" w:sz="4" w:space="0"/>
              <w:right w:val="single" w:color="auto" w:sz="4" w:space="0"/>
            </w:tcBorders>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1</w:t>
            </w:r>
          </w:p>
        </w:tc>
        <w:tc>
          <w:tcPr>
            <w:tcW w:w="1082" w:type="dxa"/>
            <w:tcBorders>
              <w:top w:val="nil"/>
              <w:left w:val="nil"/>
              <w:bottom w:val="single" w:color="auto" w:sz="4" w:space="0"/>
              <w:right w:val="single" w:color="auto" w:sz="4" w:space="0"/>
            </w:tcBorders>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软件</w:t>
            </w:r>
          </w:p>
        </w:tc>
        <w:tc>
          <w:tcPr>
            <w:tcW w:w="5813" w:type="dxa"/>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 xml:space="preserve">Microsoft windows </w:t>
            </w:r>
            <w:r>
              <w:rPr>
                <w:rFonts w:hint="eastAsia" w:ascii="仿宋_GB2312" w:hAnsi="Arial Narrow" w:eastAsia="仿宋_GB2312" w:cs="宋体"/>
                <w:sz w:val="24"/>
                <w:szCs w:val="24"/>
              </w:rPr>
              <w:t>10（64位）</w:t>
            </w:r>
          </w:p>
        </w:tc>
        <w:tc>
          <w:tcPr>
            <w:tcW w:w="709" w:type="dxa"/>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1</w:t>
            </w:r>
          </w:p>
        </w:tc>
      </w:tr>
      <w:tr>
        <w:tblPrEx>
          <w:tblLayout w:type="fixed"/>
          <w:tblCellMar>
            <w:top w:w="0" w:type="dxa"/>
            <w:left w:w="108" w:type="dxa"/>
            <w:bottom w:w="0" w:type="dxa"/>
            <w:right w:w="108" w:type="dxa"/>
          </w:tblCellMar>
        </w:tblPrEx>
        <w:trPr>
          <w:trHeight w:val="342" w:hRule="atLeast"/>
          <w:jc w:val="center"/>
        </w:trPr>
        <w:tc>
          <w:tcPr>
            <w:tcW w:w="755" w:type="dxa"/>
            <w:tcBorders>
              <w:top w:val="nil"/>
              <w:left w:val="single" w:color="auto" w:sz="4" w:space="0"/>
              <w:bottom w:val="single" w:color="auto" w:sz="4" w:space="0"/>
              <w:right w:val="single" w:color="auto" w:sz="4" w:space="0"/>
            </w:tcBorders>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2</w:t>
            </w:r>
          </w:p>
        </w:tc>
        <w:tc>
          <w:tcPr>
            <w:tcW w:w="1082" w:type="dxa"/>
            <w:tcBorders>
              <w:top w:val="nil"/>
              <w:left w:val="nil"/>
              <w:bottom w:val="single" w:color="auto" w:sz="4" w:space="0"/>
              <w:right w:val="single" w:color="auto" w:sz="4" w:space="0"/>
            </w:tcBorders>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软件</w:t>
            </w:r>
          </w:p>
        </w:tc>
        <w:tc>
          <w:tcPr>
            <w:tcW w:w="5813" w:type="dxa"/>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Ubuntu 18.4</w:t>
            </w:r>
            <w:r>
              <w:rPr>
                <w:rFonts w:hint="eastAsia" w:ascii="仿宋" w:hAnsi="仿宋" w:eastAsia="仿宋" w:cs="宋体"/>
                <w:sz w:val="24"/>
              </w:rPr>
              <w:t>（及以上）</w:t>
            </w:r>
          </w:p>
        </w:tc>
        <w:tc>
          <w:tcPr>
            <w:tcW w:w="709" w:type="dxa"/>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1</w:t>
            </w:r>
          </w:p>
        </w:tc>
      </w:tr>
      <w:tr>
        <w:tblPrEx>
          <w:tblLayout w:type="fixed"/>
          <w:tblCellMar>
            <w:top w:w="0" w:type="dxa"/>
            <w:left w:w="108" w:type="dxa"/>
            <w:bottom w:w="0" w:type="dxa"/>
            <w:right w:w="108" w:type="dxa"/>
          </w:tblCellMar>
        </w:tblPrEx>
        <w:trPr>
          <w:trHeight w:val="342" w:hRule="atLeast"/>
          <w:jc w:val="center"/>
        </w:trPr>
        <w:tc>
          <w:tcPr>
            <w:tcW w:w="755" w:type="dxa"/>
            <w:tcBorders>
              <w:top w:val="nil"/>
              <w:left w:val="single" w:color="auto" w:sz="4" w:space="0"/>
              <w:bottom w:val="single" w:color="auto" w:sz="4" w:space="0"/>
              <w:right w:val="single" w:color="auto" w:sz="4" w:space="0"/>
            </w:tcBorders>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3</w:t>
            </w:r>
          </w:p>
        </w:tc>
        <w:tc>
          <w:tcPr>
            <w:tcW w:w="1082" w:type="dxa"/>
            <w:tcBorders>
              <w:top w:val="nil"/>
              <w:left w:val="nil"/>
              <w:bottom w:val="single" w:color="auto" w:sz="4" w:space="0"/>
              <w:right w:val="single" w:color="auto" w:sz="4" w:space="0"/>
            </w:tcBorders>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软件</w:t>
            </w:r>
          </w:p>
        </w:tc>
        <w:tc>
          <w:tcPr>
            <w:tcW w:w="5813" w:type="dxa"/>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Microsoft Office 2016</w:t>
            </w:r>
          </w:p>
        </w:tc>
        <w:tc>
          <w:tcPr>
            <w:tcW w:w="709" w:type="dxa"/>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1</w:t>
            </w:r>
          </w:p>
        </w:tc>
      </w:tr>
      <w:tr>
        <w:tblPrEx>
          <w:tblLayout w:type="fixed"/>
          <w:tblCellMar>
            <w:top w:w="0" w:type="dxa"/>
            <w:left w:w="108" w:type="dxa"/>
            <w:bottom w:w="0" w:type="dxa"/>
            <w:right w:w="108" w:type="dxa"/>
          </w:tblCellMar>
        </w:tblPrEx>
        <w:trPr>
          <w:trHeight w:val="342" w:hRule="atLeast"/>
          <w:jc w:val="center"/>
        </w:trPr>
        <w:tc>
          <w:tcPr>
            <w:tcW w:w="755" w:type="dxa"/>
            <w:tcBorders>
              <w:top w:val="nil"/>
              <w:left w:val="single" w:color="auto" w:sz="4" w:space="0"/>
              <w:bottom w:val="single" w:color="auto" w:sz="4" w:space="0"/>
              <w:right w:val="single" w:color="auto" w:sz="4" w:space="0"/>
            </w:tcBorders>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4</w:t>
            </w:r>
          </w:p>
        </w:tc>
        <w:tc>
          <w:tcPr>
            <w:tcW w:w="1082" w:type="dxa"/>
            <w:tcBorders>
              <w:top w:val="nil"/>
              <w:left w:val="nil"/>
              <w:bottom w:val="single" w:color="auto" w:sz="4" w:space="0"/>
              <w:right w:val="single" w:color="auto" w:sz="4" w:space="0"/>
            </w:tcBorders>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软件</w:t>
            </w:r>
          </w:p>
        </w:tc>
        <w:tc>
          <w:tcPr>
            <w:tcW w:w="5813" w:type="dxa"/>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Microsoft Visio 2016</w:t>
            </w:r>
          </w:p>
        </w:tc>
        <w:tc>
          <w:tcPr>
            <w:tcW w:w="709" w:type="dxa"/>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1</w:t>
            </w:r>
          </w:p>
        </w:tc>
      </w:tr>
      <w:tr>
        <w:tblPrEx>
          <w:tblLayout w:type="fixed"/>
          <w:tblCellMar>
            <w:top w:w="0" w:type="dxa"/>
            <w:left w:w="108" w:type="dxa"/>
            <w:bottom w:w="0" w:type="dxa"/>
            <w:right w:w="108" w:type="dxa"/>
          </w:tblCellMar>
        </w:tblPrEx>
        <w:trPr>
          <w:trHeight w:val="342" w:hRule="atLeast"/>
          <w:jc w:val="center"/>
        </w:trPr>
        <w:tc>
          <w:tcPr>
            <w:tcW w:w="755" w:type="dxa"/>
            <w:tcBorders>
              <w:top w:val="nil"/>
              <w:left w:val="single" w:color="auto" w:sz="4" w:space="0"/>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5</w:t>
            </w:r>
          </w:p>
        </w:tc>
        <w:tc>
          <w:tcPr>
            <w:tcW w:w="1082" w:type="dxa"/>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软件</w:t>
            </w:r>
          </w:p>
        </w:tc>
        <w:tc>
          <w:tcPr>
            <w:tcW w:w="5813" w:type="dxa"/>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IAR Embedded Workbench for 8051 8.10.1</w:t>
            </w:r>
          </w:p>
        </w:tc>
        <w:tc>
          <w:tcPr>
            <w:tcW w:w="709" w:type="dxa"/>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1</w:t>
            </w:r>
          </w:p>
        </w:tc>
      </w:tr>
      <w:tr>
        <w:tblPrEx>
          <w:tblLayout w:type="fixed"/>
          <w:tblCellMar>
            <w:top w:w="0" w:type="dxa"/>
            <w:left w:w="108" w:type="dxa"/>
            <w:bottom w:w="0" w:type="dxa"/>
            <w:right w:w="108" w:type="dxa"/>
          </w:tblCellMar>
        </w:tblPrEx>
        <w:trPr>
          <w:trHeight w:val="342" w:hRule="atLeast"/>
          <w:jc w:val="center"/>
        </w:trPr>
        <w:tc>
          <w:tcPr>
            <w:tcW w:w="755" w:type="dxa"/>
            <w:tcBorders>
              <w:top w:val="nil"/>
              <w:left w:val="single" w:color="auto" w:sz="4" w:space="0"/>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6</w:t>
            </w:r>
          </w:p>
        </w:tc>
        <w:tc>
          <w:tcPr>
            <w:tcW w:w="1082" w:type="dxa"/>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软件</w:t>
            </w:r>
          </w:p>
        </w:tc>
        <w:tc>
          <w:tcPr>
            <w:tcW w:w="5813" w:type="dxa"/>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Keil uVision 5</w:t>
            </w:r>
          </w:p>
        </w:tc>
        <w:tc>
          <w:tcPr>
            <w:tcW w:w="709" w:type="dxa"/>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1</w:t>
            </w:r>
          </w:p>
        </w:tc>
      </w:tr>
      <w:tr>
        <w:tblPrEx>
          <w:tblLayout w:type="fixed"/>
          <w:tblCellMar>
            <w:top w:w="0" w:type="dxa"/>
            <w:left w:w="108" w:type="dxa"/>
            <w:bottom w:w="0" w:type="dxa"/>
            <w:right w:w="108" w:type="dxa"/>
          </w:tblCellMar>
        </w:tblPrEx>
        <w:trPr>
          <w:trHeight w:val="342" w:hRule="atLeast"/>
          <w:jc w:val="center"/>
        </w:trPr>
        <w:tc>
          <w:tcPr>
            <w:tcW w:w="755" w:type="dxa"/>
            <w:tcBorders>
              <w:top w:val="nil"/>
              <w:left w:val="single" w:color="auto" w:sz="4" w:space="0"/>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7</w:t>
            </w:r>
          </w:p>
        </w:tc>
        <w:tc>
          <w:tcPr>
            <w:tcW w:w="1082" w:type="dxa"/>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软件</w:t>
            </w:r>
          </w:p>
        </w:tc>
        <w:tc>
          <w:tcPr>
            <w:tcW w:w="5813" w:type="dxa"/>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VS</w:t>
            </w:r>
            <w:r>
              <w:rPr>
                <w:rFonts w:hint="eastAsia" w:ascii="仿宋_GB2312" w:hAnsi="Arial Narrow" w:eastAsia="仿宋_GB2312" w:cs="宋体"/>
                <w:sz w:val="24"/>
                <w:szCs w:val="24"/>
              </w:rPr>
              <w:t>C</w:t>
            </w:r>
            <w:r>
              <w:rPr>
                <w:rFonts w:ascii="仿宋_GB2312" w:hAnsi="Arial Narrow" w:eastAsia="仿宋_GB2312" w:cs="宋体"/>
                <w:sz w:val="24"/>
                <w:szCs w:val="24"/>
              </w:rPr>
              <w:t>ode 1.52及以上</w:t>
            </w:r>
          </w:p>
        </w:tc>
        <w:tc>
          <w:tcPr>
            <w:tcW w:w="709" w:type="dxa"/>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1</w:t>
            </w:r>
          </w:p>
        </w:tc>
      </w:tr>
      <w:tr>
        <w:tblPrEx>
          <w:tblLayout w:type="fixed"/>
          <w:tblCellMar>
            <w:top w:w="0" w:type="dxa"/>
            <w:left w:w="108" w:type="dxa"/>
            <w:bottom w:w="0" w:type="dxa"/>
            <w:right w:w="108" w:type="dxa"/>
          </w:tblCellMar>
        </w:tblPrEx>
        <w:trPr>
          <w:trHeight w:val="342" w:hRule="atLeast"/>
          <w:jc w:val="center"/>
        </w:trPr>
        <w:tc>
          <w:tcPr>
            <w:tcW w:w="755" w:type="dxa"/>
            <w:tcBorders>
              <w:top w:val="nil"/>
              <w:left w:val="single" w:color="auto" w:sz="4" w:space="0"/>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8</w:t>
            </w:r>
          </w:p>
        </w:tc>
        <w:tc>
          <w:tcPr>
            <w:tcW w:w="1082" w:type="dxa"/>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软件</w:t>
            </w:r>
          </w:p>
        </w:tc>
        <w:tc>
          <w:tcPr>
            <w:tcW w:w="5813" w:type="dxa"/>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hint="eastAsia" w:ascii="仿宋_GB2312" w:hAnsi="仿宋" w:eastAsia="仿宋_GB2312"/>
                <w:sz w:val="24"/>
                <w:szCs w:val="24"/>
              </w:rPr>
              <w:t>Python 3.6</w:t>
            </w:r>
          </w:p>
        </w:tc>
        <w:tc>
          <w:tcPr>
            <w:tcW w:w="709" w:type="dxa"/>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1</w:t>
            </w:r>
          </w:p>
        </w:tc>
      </w:tr>
      <w:tr>
        <w:tblPrEx>
          <w:tblLayout w:type="fixed"/>
          <w:tblCellMar>
            <w:top w:w="0" w:type="dxa"/>
            <w:left w:w="108" w:type="dxa"/>
            <w:bottom w:w="0" w:type="dxa"/>
            <w:right w:w="108" w:type="dxa"/>
          </w:tblCellMar>
        </w:tblPrEx>
        <w:trPr>
          <w:trHeight w:val="342" w:hRule="atLeast"/>
          <w:jc w:val="center"/>
        </w:trPr>
        <w:tc>
          <w:tcPr>
            <w:tcW w:w="755" w:type="dxa"/>
            <w:tcBorders>
              <w:top w:val="nil"/>
              <w:left w:val="single" w:color="auto" w:sz="4" w:space="0"/>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9</w:t>
            </w:r>
          </w:p>
        </w:tc>
        <w:tc>
          <w:tcPr>
            <w:tcW w:w="1082" w:type="dxa"/>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软件</w:t>
            </w:r>
          </w:p>
        </w:tc>
        <w:tc>
          <w:tcPr>
            <w:tcW w:w="5813" w:type="dxa"/>
            <w:tcBorders>
              <w:top w:val="nil"/>
              <w:left w:val="nil"/>
              <w:bottom w:val="single" w:color="auto" w:sz="4" w:space="0"/>
              <w:right w:val="single" w:color="auto" w:sz="4" w:space="0"/>
            </w:tcBorders>
          </w:tcPr>
          <w:p>
            <w:pPr>
              <w:widowControl/>
              <w:jc w:val="center"/>
              <w:rPr>
                <w:rFonts w:ascii="仿宋_GB2312" w:hAnsi="Arial Narrow" w:eastAsia="仿宋_GB2312" w:cs="宋体"/>
                <w:sz w:val="24"/>
                <w:szCs w:val="24"/>
              </w:rPr>
            </w:pPr>
            <w:r>
              <w:rPr>
                <w:rFonts w:hint="eastAsia" w:ascii="仿宋_GB2312" w:hAnsi="仿宋" w:eastAsia="仿宋_GB2312"/>
                <w:sz w:val="24"/>
                <w:szCs w:val="24"/>
              </w:rPr>
              <w:t>PyCharm社区版 2022.1</w:t>
            </w:r>
          </w:p>
        </w:tc>
        <w:tc>
          <w:tcPr>
            <w:tcW w:w="709" w:type="dxa"/>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1</w:t>
            </w:r>
          </w:p>
        </w:tc>
      </w:tr>
      <w:tr>
        <w:tblPrEx>
          <w:tblLayout w:type="fixed"/>
          <w:tblCellMar>
            <w:top w:w="0" w:type="dxa"/>
            <w:left w:w="108" w:type="dxa"/>
            <w:bottom w:w="0" w:type="dxa"/>
            <w:right w:w="108" w:type="dxa"/>
          </w:tblCellMar>
        </w:tblPrEx>
        <w:trPr>
          <w:trHeight w:val="120" w:hRule="atLeast"/>
          <w:jc w:val="center"/>
        </w:trPr>
        <w:tc>
          <w:tcPr>
            <w:tcW w:w="755" w:type="dxa"/>
            <w:tcBorders>
              <w:top w:val="nil"/>
              <w:left w:val="single" w:color="auto" w:sz="4" w:space="0"/>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10</w:t>
            </w:r>
          </w:p>
        </w:tc>
        <w:tc>
          <w:tcPr>
            <w:tcW w:w="1082" w:type="dxa"/>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软件</w:t>
            </w:r>
          </w:p>
        </w:tc>
        <w:tc>
          <w:tcPr>
            <w:tcW w:w="5813" w:type="dxa"/>
            <w:tcBorders>
              <w:top w:val="nil"/>
              <w:left w:val="nil"/>
              <w:bottom w:val="single" w:color="auto" w:sz="4" w:space="0"/>
              <w:right w:val="single" w:color="auto" w:sz="4" w:space="0"/>
            </w:tcBorders>
          </w:tcPr>
          <w:p>
            <w:pPr>
              <w:widowControl/>
              <w:jc w:val="center"/>
              <w:rPr>
                <w:rFonts w:ascii="仿宋_GB2312" w:hAnsi="Arial Narrow" w:eastAsia="仿宋_GB2312" w:cs="宋体"/>
                <w:sz w:val="24"/>
                <w:szCs w:val="24"/>
              </w:rPr>
            </w:pPr>
            <w:r>
              <w:rPr>
                <w:rFonts w:hint="eastAsia" w:ascii="仿宋_GB2312" w:hAnsi="仿宋" w:eastAsia="仿宋_GB2312"/>
                <w:sz w:val="24"/>
                <w:szCs w:val="24"/>
              </w:rPr>
              <w:t>Internet Information Services(IIS)</w:t>
            </w:r>
          </w:p>
        </w:tc>
        <w:tc>
          <w:tcPr>
            <w:tcW w:w="709" w:type="dxa"/>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1</w:t>
            </w:r>
          </w:p>
        </w:tc>
      </w:tr>
      <w:tr>
        <w:tblPrEx>
          <w:tblLayout w:type="fixed"/>
          <w:tblCellMar>
            <w:top w:w="0" w:type="dxa"/>
            <w:left w:w="108" w:type="dxa"/>
            <w:bottom w:w="0" w:type="dxa"/>
            <w:right w:w="108" w:type="dxa"/>
          </w:tblCellMar>
        </w:tblPrEx>
        <w:trPr>
          <w:trHeight w:val="342" w:hRule="atLeast"/>
          <w:jc w:val="center"/>
        </w:trPr>
        <w:tc>
          <w:tcPr>
            <w:tcW w:w="755" w:type="dxa"/>
            <w:tcBorders>
              <w:top w:val="nil"/>
              <w:left w:val="single" w:color="auto" w:sz="4" w:space="0"/>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11</w:t>
            </w:r>
          </w:p>
        </w:tc>
        <w:tc>
          <w:tcPr>
            <w:tcW w:w="1082" w:type="dxa"/>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软件</w:t>
            </w:r>
          </w:p>
        </w:tc>
        <w:tc>
          <w:tcPr>
            <w:tcW w:w="5813" w:type="dxa"/>
            <w:tcBorders>
              <w:top w:val="nil"/>
              <w:left w:val="nil"/>
              <w:bottom w:val="single" w:color="auto" w:sz="4" w:space="0"/>
              <w:right w:val="single" w:color="auto" w:sz="4" w:space="0"/>
            </w:tcBorders>
          </w:tcPr>
          <w:p>
            <w:pPr>
              <w:widowControl/>
              <w:jc w:val="center"/>
              <w:rPr>
                <w:rFonts w:ascii="仿宋_GB2312" w:hAnsi="Arial Narrow" w:eastAsia="仿宋_GB2312" w:cs="宋体"/>
                <w:sz w:val="24"/>
                <w:szCs w:val="24"/>
              </w:rPr>
            </w:pPr>
            <w:r>
              <w:rPr>
                <w:rFonts w:hint="eastAsia" w:ascii="仿宋_GB2312" w:hAnsi="仿宋" w:eastAsia="仿宋_GB2312"/>
                <w:sz w:val="24"/>
                <w:szCs w:val="24"/>
              </w:rPr>
              <w:t>SQL Server 2012</w:t>
            </w:r>
          </w:p>
        </w:tc>
        <w:tc>
          <w:tcPr>
            <w:tcW w:w="709" w:type="dxa"/>
            <w:tcBorders>
              <w:top w:val="nil"/>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1</w:t>
            </w:r>
          </w:p>
        </w:tc>
      </w:tr>
      <w:tr>
        <w:tblPrEx>
          <w:tblLayout w:type="fixed"/>
          <w:tblCellMar>
            <w:top w:w="0" w:type="dxa"/>
            <w:left w:w="108" w:type="dxa"/>
            <w:bottom w:w="0" w:type="dxa"/>
            <w:right w:w="108" w:type="dxa"/>
          </w:tblCellMar>
        </w:tblPrEx>
        <w:trPr>
          <w:trHeight w:val="342"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12</w:t>
            </w:r>
          </w:p>
        </w:tc>
        <w:tc>
          <w:tcPr>
            <w:tcW w:w="1082" w:type="dxa"/>
            <w:tcBorders>
              <w:top w:val="single" w:color="auto" w:sz="4" w:space="0"/>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软件</w:t>
            </w:r>
          </w:p>
        </w:tc>
        <w:tc>
          <w:tcPr>
            <w:tcW w:w="5813" w:type="dxa"/>
            <w:tcBorders>
              <w:top w:val="single" w:color="auto" w:sz="4" w:space="0"/>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调试软件、网络扫描、侦听工具、串口调试助手等</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1</w:t>
            </w:r>
          </w:p>
        </w:tc>
      </w:tr>
    </w:tbl>
    <w:p>
      <w:pPr>
        <w:spacing w:line="560" w:lineRule="exact"/>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（二）竞赛设备</w:t>
      </w:r>
    </w:p>
    <w:tbl>
      <w:tblPr>
        <w:tblStyle w:val="11"/>
        <w:tblW w:w="5038"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482"/>
        <w:gridCol w:w="1555"/>
        <w:gridCol w:w="2610"/>
      </w:tblGrid>
      <w:tr>
        <w:tblPrEx>
          <w:tblLayout w:type="fixed"/>
          <w:tblCellMar>
            <w:top w:w="0" w:type="dxa"/>
            <w:left w:w="108" w:type="dxa"/>
            <w:bottom w:w="0" w:type="dxa"/>
            <w:right w:w="108" w:type="dxa"/>
          </w:tblCellMar>
        </w:tblPrEx>
        <w:trPr>
          <w:jc w:val="center"/>
        </w:trPr>
        <w:tc>
          <w:tcPr>
            <w:tcW w:w="712" w:type="dxa"/>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序号</w:t>
            </w:r>
          </w:p>
        </w:tc>
        <w:tc>
          <w:tcPr>
            <w:tcW w:w="3482" w:type="dxa"/>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设备名称</w:t>
            </w:r>
          </w:p>
        </w:tc>
        <w:tc>
          <w:tcPr>
            <w:tcW w:w="1555" w:type="dxa"/>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单位</w:t>
            </w:r>
          </w:p>
        </w:tc>
        <w:tc>
          <w:tcPr>
            <w:tcW w:w="2610" w:type="dxa"/>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数量</w:t>
            </w:r>
          </w:p>
        </w:tc>
      </w:tr>
      <w:tr>
        <w:tblPrEx>
          <w:tblLayout w:type="fixed"/>
          <w:tblCellMar>
            <w:top w:w="0" w:type="dxa"/>
            <w:left w:w="108" w:type="dxa"/>
            <w:bottom w:w="0" w:type="dxa"/>
            <w:right w:w="108" w:type="dxa"/>
          </w:tblCellMar>
        </w:tblPrEx>
        <w:trPr>
          <w:jc w:val="center"/>
        </w:trPr>
        <w:tc>
          <w:tcPr>
            <w:tcW w:w="712" w:type="dxa"/>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1</w:t>
            </w:r>
          </w:p>
        </w:tc>
        <w:tc>
          <w:tcPr>
            <w:tcW w:w="3482" w:type="dxa"/>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物联网全栈智能应用实训系统</w:t>
            </w:r>
          </w:p>
        </w:tc>
        <w:tc>
          <w:tcPr>
            <w:tcW w:w="1555" w:type="dxa"/>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套</w:t>
            </w:r>
          </w:p>
        </w:tc>
        <w:tc>
          <w:tcPr>
            <w:tcW w:w="2610" w:type="dxa"/>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1</w:t>
            </w:r>
          </w:p>
        </w:tc>
      </w:tr>
      <w:tr>
        <w:tblPrEx>
          <w:tblLayout w:type="fixed"/>
          <w:tblCellMar>
            <w:top w:w="0" w:type="dxa"/>
            <w:left w:w="108" w:type="dxa"/>
            <w:bottom w:w="0" w:type="dxa"/>
            <w:right w:w="108" w:type="dxa"/>
          </w:tblCellMar>
        </w:tblPrEx>
        <w:trPr>
          <w:jc w:val="center"/>
        </w:trPr>
        <w:tc>
          <w:tcPr>
            <w:tcW w:w="712" w:type="dxa"/>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2</w:t>
            </w:r>
          </w:p>
        </w:tc>
        <w:tc>
          <w:tcPr>
            <w:tcW w:w="3482" w:type="dxa"/>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物联网工具箱及耗材包</w:t>
            </w:r>
          </w:p>
        </w:tc>
        <w:tc>
          <w:tcPr>
            <w:tcW w:w="1555" w:type="dxa"/>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套</w:t>
            </w:r>
          </w:p>
        </w:tc>
        <w:tc>
          <w:tcPr>
            <w:tcW w:w="2610" w:type="dxa"/>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1</w:t>
            </w:r>
          </w:p>
        </w:tc>
      </w:tr>
      <w:tr>
        <w:tblPrEx>
          <w:tblLayout w:type="fixed"/>
          <w:tblCellMar>
            <w:top w:w="0" w:type="dxa"/>
            <w:left w:w="108" w:type="dxa"/>
            <w:bottom w:w="0" w:type="dxa"/>
            <w:right w:w="108" w:type="dxa"/>
          </w:tblCellMar>
        </w:tblPrEx>
        <w:trPr>
          <w:jc w:val="center"/>
        </w:trPr>
        <w:tc>
          <w:tcPr>
            <w:tcW w:w="712" w:type="dxa"/>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3</w:t>
            </w:r>
          </w:p>
        </w:tc>
        <w:tc>
          <w:tcPr>
            <w:tcW w:w="3482" w:type="dxa"/>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工作台</w:t>
            </w:r>
          </w:p>
        </w:tc>
        <w:tc>
          <w:tcPr>
            <w:tcW w:w="1555" w:type="dxa"/>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张</w:t>
            </w:r>
          </w:p>
        </w:tc>
        <w:tc>
          <w:tcPr>
            <w:tcW w:w="2610" w:type="dxa"/>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2</w:t>
            </w:r>
          </w:p>
        </w:tc>
      </w:tr>
      <w:tr>
        <w:tblPrEx>
          <w:tblLayout w:type="fixed"/>
          <w:tblCellMar>
            <w:top w:w="0" w:type="dxa"/>
            <w:left w:w="108" w:type="dxa"/>
            <w:bottom w:w="0" w:type="dxa"/>
            <w:right w:w="108" w:type="dxa"/>
          </w:tblCellMar>
        </w:tblPrEx>
        <w:trPr>
          <w:jc w:val="center"/>
        </w:trPr>
        <w:tc>
          <w:tcPr>
            <w:tcW w:w="712" w:type="dxa"/>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4</w:t>
            </w:r>
          </w:p>
        </w:tc>
        <w:tc>
          <w:tcPr>
            <w:tcW w:w="3482" w:type="dxa"/>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计算机</w:t>
            </w:r>
          </w:p>
        </w:tc>
        <w:tc>
          <w:tcPr>
            <w:tcW w:w="1555" w:type="dxa"/>
            <w:vAlign w:val="center"/>
          </w:tcPr>
          <w:p>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台</w:t>
            </w:r>
          </w:p>
        </w:tc>
        <w:tc>
          <w:tcPr>
            <w:tcW w:w="2610" w:type="dxa"/>
            <w:vAlign w:val="center"/>
          </w:tcPr>
          <w:p>
            <w:pPr>
              <w:widowControl/>
              <w:jc w:val="center"/>
              <w:rPr>
                <w:rFonts w:ascii="仿宋_GB2312" w:hAnsi="Arial Narrow" w:eastAsia="仿宋_GB2312" w:cs="宋体"/>
                <w:sz w:val="24"/>
                <w:szCs w:val="24"/>
              </w:rPr>
            </w:pPr>
            <w:r>
              <w:rPr>
                <w:rFonts w:ascii="仿宋_GB2312" w:hAnsi="Arial Narrow" w:eastAsia="仿宋_GB2312" w:cs="宋体"/>
                <w:sz w:val="24"/>
                <w:szCs w:val="24"/>
              </w:rPr>
              <w:t>2</w:t>
            </w:r>
          </w:p>
        </w:tc>
      </w:tr>
    </w:tbl>
    <w:p>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十一、成绩评定</w:t>
      </w:r>
    </w:p>
    <w:p>
      <w:pPr>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竞赛评分本着公平公正公开的原则，评分标准注重对参赛选手价值观与态度、物联网技术应用能力、团队协作与沟通及组织与管理能力的考察。以技能考核为主，兼顾团队协作精神和职业道德素养综合评定。</w:t>
      </w:r>
    </w:p>
    <w:p>
      <w:pPr>
        <w:snapToGrid w:val="0"/>
        <w:spacing w:line="560" w:lineRule="exact"/>
        <w:ind w:firstLine="280" w:firstLineChars="100"/>
        <w:outlineLvl w:val="0"/>
        <w:rPr>
          <w:rFonts w:ascii="Arial Narrow" w:hAnsi="Arial Narrow" w:eastAsia="仿宋_GB2312" w:cs="Arial"/>
          <w:sz w:val="28"/>
          <w:szCs w:val="30"/>
        </w:rPr>
      </w:pPr>
      <w:r>
        <w:rPr>
          <w:rFonts w:hint="eastAsia" w:ascii="Arial Narrow" w:hAnsi="Arial Narrow" w:eastAsia="仿宋_GB2312" w:cs="Arial"/>
          <w:sz w:val="28"/>
          <w:szCs w:val="30"/>
        </w:rPr>
        <w:t>（一）评分规则</w:t>
      </w:r>
    </w:p>
    <w:p>
      <w:pPr>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本项目评分标准分为：评价分（主观）、测量分（客观）。按各模块评分表分别设置评分小组，由裁判长指定各组裁判人员，分别对各模块进行评分。各评分小组负责所有选手同一指标的现场评分，并签字确认评分结果。</w:t>
      </w:r>
    </w:p>
    <w:p>
      <w:pPr>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1、评价分（主观）</w:t>
      </w:r>
    </w:p>
    <w:p>
      <w:pPr>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评价分（</w:t>
      </w:r>
      <w:r>
        <w:rPr>
          <w:rFonts w:ascii="仿宋_GB2312" w:hAnsi="Arial Narrow" w:eastAsia="仿宋_GB2312" w:cs="Arial"/>
          <w:sz w:val="28"/>
          <w:szCs w:val="30"/>
        </w:rPr>
        <w:t>Judgement</w:t>
      </w:r>
      <w:r>
        <w:rPr>
          <w:rFonts w:hint="eastAsia" w:ascii="仿宋_GB2312" w:hAnsi="Arial Narrow" w:eastAsia="仿宋_GB2312" w:cs="Arial"/>
          <w:sz w:val="28"/>
          <w:szCs w:val="30"/>
        </w:rPr>
        <w:t>）打分方式：3名（N）及以上裁判为一组，各自单独评分，计算出平均权重分，除以3（N）后再乘以该子项的分值计算出实际得分。裁判相互间分差必须小于等于1分，否则需要给出确切理由并在小组长或裁判长的监督下进行调分。</w:t>
      </w:r>
    </w:p>
    <w:p>
      <w:pPr>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权重表如下：</w:t>
      </w:r>
    </w:p>
    <w:tbl>
      <w:tblPr>
        <w:tblStyle w:val="11"/>
        <w:tblW w:w="5000" w:type="pct"/>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6826"/>
      </w:tblGrid>
      <w:tr>
        <w:tblPrEx>
          <w:tblLayout w:type="fixed"/>
          <w:tblCellMar>
            <w:top w:w="0" w:type="dxa"/>
            <w:left w:w="108" w:type="dxa"/>
            <w:bottom w:w="0" w:type="dxa"/>
            <w:right w:w="108" w:type="dxa"/>
          </w:tblCellMar>
        </w:tblPrEx>
        <w:trPr>
          <w:trHeight w:val="397" w:hRule="atLeast"/>
          <w:jc w:val="center"/>
        </w:trPr>
        <w:tc>
          <w:tcPr>
            <w:tcW w:w="1470" w:type="dxa"/>
            <w:tcBorders>
              <w:top w:val="single" w:color="auto" w:sz="12" w:space="0"/>
              <w:left w:val="single" w:color="auto" w:sz="4" w:space="0"/>
              <w:bottom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权重分值</w:t>
            </w:r>
          </w:p>
        </w:tc>
        <w:tc>
          <w:tcPr>
            <w:tcW w:w="6826" w:type="dxa"/>
            <w:tcBorders>
              <w:top w:val="single" w:color="auto" w:sz="12"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要求描述</w:t>
            </w:r>
          </w:p>
        </w:tc>
      </w:tr>
      <w:tr>
        <w:tblPrEx>
          <w:tblLayout w:type="fixed"/>
          <w:tblCellMar>
            <w:top w:w="0" w:type="dxa"/>
            <w:left w:w="108" w:type="dxa"/>
            <w:bottom w:w="0" w:type="dxa"/>
            <w:right w:w="108" w:type="dxa"/>
          </w:tblCellMar>
        </w:tblPrEx>
        <w:trPr>
          <w:trHeight w:val="397" w:hRule="atLeast"/>
          <w:jc w:val="center"/>
        </w:trPr>
        <w:tc>
          <w:tcPr>
            <w:tcW w:w="1470" w:type="dxa"/>
            <w:tcBorders>
              <w:top w:val="single" w:color="auto" w:sz="4" w:space="0"/>
              <w:left w:val="single" w:color="auto" w:sz="4" w:space="0"/>
              <w:bottom w:val="single" w:color="auto" w:sz="4" w:space="0"/>
            </w:tcBorders>
            <w:vAlign w:val="center"/>
          </w:tcPr>
          <w:p>
            <w:pPr>
              <w:jc w:val="center"/>
              <w:rPr>
                <w:rFonts w:ascii="仿宋" w:hAnsi="仿宋" w:eastAsia="仿宋"/>
                <w:sz w:val="24"/>
                <w:szCs w:val="24"/>
              </w:rPr>
            </w:pPr>
            <w:r>
              <w:rPr>
                <w:rFonts w:ascii="仿宋" w:hAnsi="仿宋" w:eastAsia="仿宋"/>
                <w:sz w:val="24"/>
                <w:szCs w:val="24"/>
              </w:rPr>
              <w:t>0</w:t>
            </w:r>
            <w:r>
              <w:rPr>
                <w:rFonts w:hint="eastAsia" w:ascii="仿宋" w:hAnsi="仿宋" w:eastAsia="仿宋"/>
                <w:sz w:val="24"/>
                <w:szCs w:val="24"/>
              </w:rPr>
              <w:t>分</w:t>
            </w:r>
          </w:p>
        </w:tc>
        <w:tc>
          <w:tcPr>
            <w:tcW w:w="6826" w:type="dxa"/>
            <w:tcBorders>
              <w:top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各方面</w:t>
            </w:r>
            <w:r>
              <w:rPr>
                <w:rFonts w:ascii="仿宋" w:hAnsi="仿宋" w:eastAsia="仿宋"/>
                <w:sz w:val="24"/>
                <w:szCs w:val="24"/>
              </w:rPr>
              <w:t>均低于行业标准，</w:t>
            </w:r>
            <w:r>
              <w:rPr>
                <w:rFonts w:hint="eastAsia" w:ascii="仿宋" w:hAnsi="仿宋" w:eastAsia="仿宋"/>
                <w:sz w:val="24"/>
                <w:szCs w:val="24"/>
              </w:rPr>
              <w:t>包括</w:t>
            </w:r>
            <w:r>
              <w:rPr>
                <w:rFonts w:ascii="仿宋" w:hAnsi="仿宋" w:eastAsia="仿宋"/>
                <w:sz w:val="24"/>
                <w:szCs w:val="24"/>
              </w:rPr>
              <w:t>“</w:t>
            </w:r>
            <w:r>
              <w:rPr>
                <w:rFonts w:hint="eastAsia" w:ascii="仿宋" w:hAnsi="仿宋" w:eastAsia="仿宋"/>
                <w:sz w:val="24"/>
                <w:szCs w:val="24"/>
              </w:rPr>
              <w:t>未做尝试</w:t>
            </w:r>
            <w:r>
              <w:rPr>
                <w:rFonts w:ascii="仿宋" w:hAnsi="仿宋" w:eastAsia="仿宋"/>
                <w:sz w:val="24"/>
                <w:szCs w:val="24"/>
              </w:rPr>
              <w:t>”</w:t>
            </w:r>
          </w:p>
        </w:tc>
      </w:tr>
      <w:tr>
        <w:tblPrEx>
          <w:tblLayout w:type="fixed"/>
          <w:tblCellMar>
            <w:top w:w="0" w:type="dxa"/>
            <w:left w:w="108" w:type="dxa"/>
            <w:bottom w:w="0" w:type="dxa"/>
            <w:right w:w="108" w:type="dxa"/>
          </w:tblCellMar>
        </w:tblPrEx>
        <w:trPr>
          <w:trHeight w:val="397" w:hRule="atLeast"/>
          <w:jc w:val="center"/>
        </w:trPr>
        <w:tc>
          <w:tcPr>
            <w:tcW w:w="1470" w:type="dxa"/>
            <w:tcBorders>
              <w:top w:val="single" w:color="auto" w:sz="4" w:space="0"/>
              <w:left w:val="single" w:color="auto" w:sz="4" w:space="0"/>
              <w:bottom w:val="single" w:color="auto" w:sz="4" w:space="0"/>
            </w:tcBorders>
            <w:vAlign w:val="center"/>
          </w:tcPr>
          <w:p>
            <w:pPr>
              <w:jc w:val="cente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分</w:t>
            </w:r>
          </w:p>
        </w:tc>
        <w:tc>
          <w:tcPr>
            <w:tcW w:w="6826" w:type="dxa"/>
            <w:tcBorders>
              <w:top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达到行业</w:t>
            </w:r>
            <w:r>
              <w:rPr>
                <w:rFonts w:ascii="仿宋" w:hAnsi="仿宋" w:eastAsia="仿宋"/>
                <w:sz w:val="24"/>
                <w:szCs w:val="24"/>
              </w:rPr>
              <w:t>标准</w:t>
            </w:r>
          </w:p>
        </w:tc>
      </w:tr>
      <w:tr>
        <w:tblPrEx>
          <w:tblLayout w:type="fixed"/>
          <w:tblCellMar>
            <w:top w:w="0" w:type="dxa"/>
            <w:left w:w="108" w:type="dxa"/>
            <w:bottom w:w="0" w:type="dxa"/>
            <w:right w:w="108" w:type="dxa"/>
          </w:tblCellMar>
        </w:tblPrEx>
        <w:trPr>
          <w:trHeight w:val="397" w:hRule="atLeast"/>
          <w:jc w:val="center"/>
        </w:trPr>
        <w:tc>
          <w:tcPr>
            <w:tcW w:w="1470" w:type="dxa"/>
            <w:tcBorders>
              <w:top w:val="single" w:color="auto" w:sz="4" w:space="0"/>
              <w:left w:val="single" w:color="auto" w:sz="4" w:space="0"/>
              <w:bottom w:val="single" w:color="auto" w:sz="4" w:space="0"/>
            </w:tcBorders>
            <w:vAlign w:val="center"/>
          </w:tcPr>
          <w:p>
            <w:pPr>
              <w:jc w:val="cente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分</w:t>
            </w:r>
          </w:p>
        </w:tc>
        <w:tc>
          <w:tcPr>
            <w:tcW w:w="6826" w:type="dxa"/>
            <w:tcBorders>
              <w:top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达到行业</w:t>
            </w:r>
            <w:r>
              <w:rPr>
                <w:rFonts w:ascii="仿宋" w:hAnsi="仿宋" w:eastAsia="仿宋"/>
                <w:sz w:val="24"/>
                <w:szCs w:val="24"/>
              </w:rPr>
              <w:t>标准，且某些方面超过标准</w:t>
            </w:r>
          </w:p>
        </w:tc>
      </w:tr>
      <w:tr>
        <w:tblPrEx>
          <w:tblLayout w:type="fixed"/>
        </w:tblPrEx>
        <w:trPr>
          <w:trHeight w:val="397" w:hRule="atLeast"/>
          <w:jc w:val="center"/>
        </w:trPr>
        <w:tc>
          <w:tcPr>
            <w:tcW w:w="1470" w:type="dxa"/>
            <w:tcBorders>
              <w:top w:val="single" w:color="auto" w:sz="4" w:space="0"/>
              <w:left w:val="single" w:color="auto" w:sz="4" w:space="0"/>
              <w:bottom w:val="single" w:color="auto" w:sz="12" w:space="0"/>
            </w:tcBorders>
            <w:vAlign w:val="center"/>
          </w:tcPr>
          <w:p>
            <w:pPr>
              <w:jc w:val="cente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分</w:t>
            </w:r>
          </w:p>
        </w:tc>
        <w:tc>
          <w:tcPr>
            <w:tcW w:w="6826" w:type="dxa"/>
            <w:tcBorders>
              <w:top w:val="single" w:color="auto" w:sz="4" w:space="0"/>
              <w:bottom w:val="single" w:color="auto" w:sz="12"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达到行业</w:t>
            </w:r>
            <w:r>
              <w:rPr>
                <w:rFonts w:ascii="仿宋" w:hAnsi="仿宋" w:eastAsia="仿宋"/>
                <w:sz w:val="24"/>
                <w:szCs w:val="24"/>
              </w:rPr>
              <w:t>期待的优秀水平</w:t>
            </w:r>
          </w:p>
        </w:tc>
      </w:tr>
    </w:tbl>
    <w:p>
      <w:pPr/>
    </w:p>
    <w:p>
      <w:pPr>
        <w:ind w:firstLine="480"/>
        <w:rPr>
          <w:rFonts w:ascii="仿宋" w:hAnsi="仿宋" w:eastAsia="仿宋"/>
          <w:sz w:val="28"/>
          <w:szCs w:val="28"/>
        </w:rPr>
      </w:pPr>
      <w:r>
        <w:rPr>
          <w:rFonts w:hint="eastAsia" w:ascii="仿宋" w:hAnsi="仿宋" w:eastAsia="仿宋"/>
          <w:sz w:val="28"/>
          <w:szCs w:val="28"/>
        </w:rPr>
        <w:t>（样例</w:t>
      </w:r>
      <w:r>
        <w:rPr>
          <w:rFonts w:ascii="仿宋" w:hAnsi="仿宋" w:eastAsia="仿宋"/>
          <w:sz w:val="28"/>
          <w:szCs w:val="28"/>
        </w:rPr>
        <w:t>：</w:t>
      </w:r>
      <w:r>
        <w:rPr>
          <w:rFonts w:hint="eastAsia" w:ascii="仿宋" w:hAnsi="仿宋" w:eastAsia="仿宋"/>
          <w:sz w:val="28"/>
          <w:szCs w:val="28"/>
        </w:rPr>
        <w:t>X区连线整齐评价标准参考</w:t>
      </w:r>
      <w:r>
        <w:rPr>
          <w:rFonts w:hint="eastAsia" w:ascii="仿宋" w:hAnsi="仿宋" w:eastAsia="仿宋" w:cs="宋体"/>
          <w:color w:val="000000"/>
          <w:kern w:val="0"/>
          <w:sz w:val="28"/>
          <w:szCs w:val="28"/>
        </w:rPr>
        <w:t>）</w:t>
      </w:r>
    </w:p>
    <w:tbl>
      <w:tblPr>
        <w:tblStyle w:val="11"/>
        <w:tblW w:w="852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7012"/>
      </w:tblGrid>
      <w:tr>
        <w:tblPrEx>
          <w:tblLayout w:type="fixed"/>
          <w:tblCellMar>
            <w:top w:w="0" w:type="dxa"/>
            <w:left w:w="108" w:type="dxa"/>
            <w:bottom w:w="0" w:type="dxa"/>
            <w:right w:w="108" w:type="dxa"/>
          </w:tblCellMar>
        </w:tblPrEx>
        <w:trPr>
          <w:trHeight w:val="397" w:hRule="atLeast"/>
          <w:jc w:val="center"/>
        </w:trPr>
        <w:tc>
          <w:tcPr>
            <w:tcW w:w="1510" w:type="dxa"/>
            <w:tcBorders>
              <w:top w:val="single" w:color="auto" w:sz="12" w:space="0"/>
              <w:left w:val="single" w:color="auto" w:sz="4" w:space="0"/>
              <w:bottom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权重分值</w:t>
            </w:r>
          </w:p>
        </w:tc>
        <w:tc>
          <w:tcPr>
            <w:tcW w:w="7012" w:type="dxa"/>
            <w:tcBorders>
              <w:top w:val="single" w:color="auto" w:sz="12"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要求描述</w:t>
            </w:r>
          </w:p>
        </w:tc>
      </w:tr>
      <w:tr>
        <w:tblPrEx>
          <w:tblLayout w:type="fixed"/>
          <w:tblCellMar>
            <w:top w:w="0" w:type="dxa"/>
            <w:left w:w="108" w:type="dxa"/>
            <w:bottom w:w="0" w:type="dxa"/>
            <w:right w:w="108" w:type="dxa"/>
          </w:tblCellMar>
        </w:tblPrEx>
        <w:trPr>
          <w:trHeight w:val="397" w:hRule="atLeast"/>
          <w:jc w:val="center"/>
        </w:trPr>
        <w:tc>
          <w:tcPr>
            <w:tcW w:w="1510" w:type="dxa"/>
            <w:tcBorders>
              <w:top w:val="single" w:color="auto" w:sz="4" w:space="0"/>
              <w:left w:val="single" w:color="auto" w:sz="4" w:space="0"/>
              <w:bottom w:val="single" w:color="auto" w:sz="4" w:space="0"/>
            </w:tcBorders>
            <w:vAlign w:val="center"/>
          </w:tcPr>
          <w:p>
            <w:pPr>
              <w:jc w:val="center"/>
              <w:rPr>
                <w:rFonts w:ascii="仿宋" w:hAnsi="仿宋" w:eastAsia="仿宋"/>
                <w:sz w:val="24"/>
                <w:szCs w:val="24"/>
              </w:rPr>
            </w:pPr>
            <w:r>
              <w:rPr>
                <w:rFonts w:ascii="仿宋" w:hAnsi="仿宋" w:eastAsia="仿宋"/>
                <w:sz w:val="24"/>
                <w:szCs w:val="24"/>
              </w:rPr>
              <w:t>0</w:t>
            </w:r>
            <w:r>
              <w:rPr>
                <w:rFonts w:hint="eastAsia" w:ascii="仿宋" w:hAnsi="仿宋" w:eastAsia="仿宋"/>
                <w:sz w:val="24"/>
                <w:szCs w:val="24"/>
              </w:rPr>
              <w:t>分</w:t>
            </w:r>
          </w:p>
        </w:tc>
        <w:tc>
          <w:tcPr>
            <w:tcW w:w="7012" w:type="dxa"/>
            <w:tcBorders>
              <w:top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cs="宋体"/>
                <w:color w:val="000000"/>
                <w:kern w:val="0"/>
                <w:sz w:val="24"/>
                <w:szCs w:val="24"/>
              </w:rPr>
              <w:t>不接受（接线杂乱，未完成接线数量超过1根及以上）</w:t>
            </w:r>
          </w:p>
        </w:tc>
      </w:tr>
      <w:tr>
        <w:tblPrEx>
          <w:tblLayout w:type="fixed"/>
          <w:tblCellMar>
            <w:top w:w="0" w:type="dxa"/>
            <w:left w:w="108" w:type="dxa"/>
            <w:bottom w:w="0" w:type="dxa"/>
            <w:right w:w="108" w:type="dxa"/>
          </w:tblCellMar>
        </w:tblPrEx>
        <w:trPr>
          <w:trHeight w:val="397" w:hRule="atLeast"/>
          <w:jc w:val="center"/>
        </w:trPr>
        <w:tc>
          <w:tcPr>
            <w:tcW w:w="1510" w:type="dxa"/>
            <w:tcBorders>
              <w:top w:val="single" w:color="auto" w:sz="4" w:space="0"/>
              <w:left w:val="single" w:color="auto" w:sz="4" w:space="0"/>
              <w:bottom w:val="single" w:color="auto" w:sz="4" w:space="0"/>
            </w:tcBorders>
            <w:vAlign w:val="center"/>
          </w:tcPr>
          <w:p>
            <w:pPr>
              <w:jc w:val="cente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分</w:t>
            </w:r>
          </w:p>
        </w:tc>
        <w:tc>
          <w:tcPr>
            <w:tcW w:w="7012" w:type="dxa"/>
            <w:tcBorders>
              <w:top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cs="宋体"/>
                <w:color w:val="000000"/>
                <w:kern w:val="0"/>
                <w:sz w:val="24"/>
                <w:szCs w:val="24"/>
              </w:rPr>
              <w:t>符合行业标准（能够在线槽中规范连线）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10" w:type="dxa"/>
            <w:tcBorders>
              <w:top w:val="single" w:color="auto" w:sz="4" w:space="0"/>
              <w:left w:val="single" w:color="auto" w:sz="4" w:space="0"/>
              <w:bottom w:val="single" w:color="auto" w:sz="4" w:space="0"/>
            </w:tcBorders>
            <w:vAlign w:val="center"/>
          </w:tcPr>
          <w:p>
            <w:pPr>
              <w:jc w:val="cente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分</w:t>
            </w:r>
          </w:p>
        </w:tc>
        <w:tc>
          <w:tcPr>
            <w:tcW w:w="7012" w:type="dxa"/>
            <w:tcBorders>
              <w:top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cs="宋体"/>
                <w:color w:val="000000"/>
                <w:kern w:val="0"/>
                <w:sz w:val="24"/>
                <w:szCs w:val="24"/>
              </w:rPr>
              <w:t>符合行业标准并略高与行业标准（设备接线合理，在线槽中规范连线。）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10" w:type="dxa"/>
            <w:tcBorders>
              <w:top w:val="single" w:color="auto" w:sz="4" w:space="0"/>
              <w:left w:val="single" w:color="auto" w:sz="4" w:space="0"/>
              <w:bottom w:val="single" w:color="auto" w:sz="12" w:space="0"/>
            </w:tcBorders>
            <w:vAlign w:val="center"/>
          </w:tcPr>
          <w:p>
            <w:pPr>
              <w:jc w:val="cente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分</w:t>
            </w:r>
          </w:p>
        </w:tc>
        <w:tc>
          <w:tcPr>
            <w:tcW w:w="7012" w:type="dxa"/>
            <w:tcBorders>
              <w:top w:val="single" w:color="auto" w:sz="4" w:space="0"/>
              <w:bottom w:val="single" w:color="auto" w:sz="12" w:space="0"/>
              <w:right w:val="single" w:color="auto" w:sz="4" w:space="0"/>
            </w:tcBorders>
            <w:vAlign w:val="center"/>
          </w:tcPr>
          <w:p>
            <w:pPr>
              <w:jc w:val="left"/>
              <w:rPr>
                <w:rFonts w:ascii="仿宋" w:hAnsi="仿宋" w:eastAsia="仿宋"/>
                <w:sz w:val="24"/>
                <w:szCs w:val="24"/>
              </w:rPr>
            </w:pPr>
            <w:r>
              <w:rPr>
                <w:rFonts w:hint="eastAsia" w:ascii="仿宋" w:hAnsi="仿宋" w:eastAsia="仿宋" w:cs="宋体"/>
                <w:color w:val="000000"/>
                <w:kern w:val="0"/>
                <w:sz w:val="24"/>
                <w:szCs w:val="24"/>
              </w:rPr>
              <w:t>完美（设备接口之间接线规范、美观，方便维护）。</w:t>
            </w:r>
          </w:p>
        </w:tc>
      </w:tr>
    </w:tbl>
    <w:p>
      <w:pPr>
        <w:ind w:firstLine="480"/>
      </w:pPr>
    </w:p>
    <w:p>
      <w:pPr>
        <w:ind w:firstLine="560" w:firstLineChars="200"/>
        <w:rPr>
          <w:rFonts w:ascii="仿宋_GB2312" w:hAnsi="Arial Narrow" w:eastAsia="仿宋_GB2312" w:cs="Arial"/>
          <w:sz w:val="28"/>
          <w:szCs w:val="30"/>
        </w:rPr>
      </w:pPr>
      <w:r>
        <w:rPr>
          <w:rFonts w:ascii="仿宋_GB2312" w:hAnsi="Arial Narrow" w:eastAsia="仿宋_GB2312" w:cs="Arial"/>
          <w:sz w:val="28"/>
          <w:szCs w:val="30"/>
        </w:rPr>
        <w:t>2</w:t>
      </w:r>
      <w:r>
        <w:rPr>
          <w:rFonts w:hint="eastAsia" w:ascii="仿宋_GB2312" w:hAnsi="Arial Narrow" w:eastAsia="仿宋_GB2312" w:cs="Arial"/>
          <w:sz w:val="28"/>
          <w:szCs w:val="30"/>
        </w:rPr>
        <w:t>、测量分（客观）</w:t>
      </w:r>
    </w:p>
    <w:p>
      <w:pPr>
        <w:ind w:firstLine="560" w:firstLineChars="200"/>
        <w:rPr>
          <w:rFonts w:ascii="仿宋_GB2312" w:hAnsi="Arial Narrow" w:eastAsia="仿宋_GB2312" w:cs="Arial"/>
          <w:sz w:val="28"/>
          <w:szCs w:val="30"/>
        </w:rPr>
      </w:pPr>
      <w:bookmarkStart w:id="2" w:name="OLE_LINK10"/>
      <w:bookmarkStart w:id="3" w:name="OLE_LINK9"/>
      <w:r>
        <w:rPr>
          <w:rFonts w:hint="eastAsia" w:ascii="仿宋_GB2312" w:hAnsi="Arial Narrow" w:eastAsia="仿宋_GB2312" w:cs="Arial"/>
          <w:sz w:val="28"/>
          <w:szCs w:val="30"/>
        </w:rPr>
        <w:t>测量分（M</w:t>
      </w:r>
      <w:r>
        <w:rPr>
          <w:rFonts w:ascii="仿宋_GB2312" w:hAnsi="Arial Narrow" w:eastAsia="仿宋_GB2312" w:cs="Arial"/>
          <w:sz w:val="28"/>
          <w:szCs w:val="30"/>
        </w:rPr>
        <w:t>easurement</w:t>
      </w:r>
      <w:r>
        <w:rPr>
          <w:rFonts w:hint="eastAsia" w:ascii="仿宋_GB2312" w:hAnsi="Arial Narrow" w:eastAsia="仿宋_GB2312" w:cs="Arial"/>
          <w:sz w:val="28"/>
          <w:szCs w:val="30"/>
        </w:rPr>
        <w:t>）打分方式：按模块设置若干个评分组，每组由</w:t>
      </w:r>
      <w:r>
        <w:rPr>
          <w:rFonts w:ascii="仿宋_GB2312" w:hAnsi="Arial Narrow" w:eastAsia="仿宋_GB2312" w:cs="Arial"/>
          <w:sz w:val="28"/>
          <w:szCs w:val="30"/>
        </w:rPr>
        <w:t>3</w:t>
      </w:r>
      <w:r>
        <w:rPr>
          <w:rFonts w:hint="eastAsia" w:ascii="仿宋_GB2312" w:hAnsi="Arial Narrow" w:eastAsia="仿宋_GB2312" w:cs="Arial"/>
          <w:sz w:val="28"/>
          <w:szCs w:val="30"/>
        </w:rPr>
        <w:t>名及以上裁判构成。每个组所有裁判一起商议，在对该选手在该项中的实际得分达成一致后最终只给出一个分值。若裁判数量较多，也可以另定分组模式。</w:t>
      </w:r>
    </w:p>
    <w:p>
      <w:pPr>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测量分评分准则样例表：</w:t>
      </w:r>
    </w:p>
    <w:bookmarkEnd w:id="2"/>
    <w:bookmarkEnd w:id="3"/>
    <w:tbl>
      <w:tblPr>
        <w:tblStyle w:val="11"/>
        <w:tblW w:w="5000" w:type="pct"/>
        <w:jc w:val="center"/>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618"/>
        <w:gridCol w:w="2766"/>
        <w:gridCol w:w="1342"/>
        <w:gridCol w:w="1244"/>
        <w:gridCol w:w="132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618" w:type="dxa"/>
            <w:tcBorders>
              <w:top w:val="single" w:color="000000" w:sz="12" w:space="0"/>
              <w:left w:val="single" w:color="auto" w:sz="4" w:space="0"/>
              <w:bottom w:val="single" w:color="000000" w:sz="4" w:space="0"/>
            </w:tcBorders>
            <w:vAlign w:val="center"/>
          </w:tcPr>
          <w:p>
            <w:pPr>
              <w:jc w:val="center"/>
              <w:rPr>
                <w:rFonts w:ascii="仿宋" w:hAnsi="仿宋" w:eastAsia="仿宋"/>
                <w:b/>
                <w:sz w:val="24"/>
                <w:szCs w:val="24"/>
              </w:rPr>
            </w:pPr>
            <w:r>
              <w:rPr>
                <w:rFonts w:hint="eastAsia" w:ascii="仿宋" w:hAnsi="仿宋" w:eastAsia="仿宋"/>
                <w:b/>
                <w:sz w:val="24"/>
                <w:szCs w:val="24"/>
              </w:rPr>
              <w:t>类型</w:t>
            </w:r>
          </w:p>
        </w:tc>
        <w:tc>
          <w:tcPr>
            <w:tcW w:w="2766" w:type="dxa"/>
            <w:tcBorders>
              <w:top w:val="single" w:color="000000" w:sz="12" w:space="0"/>
            </w:tcBorders>
            <w:vAlign w:val="center"/>
          </w:tcPr>
          <w:p>
            <w:pPr>
              <w:jc w:val="center"/>
              <w:rPr>
                <w:rFonts w:ascii="仿宋" w:hAnsi="仿宋" w:eastAsia="仿宋"/>
                <w:b/>
                <w:sz w:val="24"/>
                <w:szCs w:val="24"/>
              </w:rPr>
            </w:pPr>
            <w:r>
              <w:rPr>
                <w:rFonts w:hint="eastAsia" w:ascii="仿宋" w:hAnsi="仿宋" w:eastAsia="仿宋"/>
                <w:b/>
                <w:sz w:val="24"/>
                <w:szCs w:val="24"/>
              </w:rPr>
              <w:t>示例</w:t>
            </w:r>
          </w:p>
        </w:tc>
        <w:tc>
          <w:tcPr>
            <w:tcW w:w="1342" w:type="dxa"/>
            <w:tcBorders>
              <w:top w:val="single" w:color="000000" w:sz="12" w:space="0"/>
            </w:tcBorders>
            <w:vAlign w:val="center"/>
          </w:tcPr>
          <w:p>
            <w:pPr>
              <w:jc w:val="center"/>
              <w:rPr>
                <w:rFonts w:ascii="仿宋" w:hAnsi="仿宋" w:eastAsia="仿宋"/>
                <w:b/>
                <w:sz w:val="24"/>
                <w:szCs w:val="24"/>
              </w:rPr>
            </w:pPr>
            <w:r>
              <w:rPr>
                <w:rFonts w:hint="eastAsia" w:ascii="仿宋" w:hAnsi="仿宋" w:eastAsia="仿宋"/>
                <w:b/>
                <w:sz w:val="24"/>
                <w:szCs w:val="24"/>
              </w:rPr>
              <w:t>最高分值</w:t>
            </w:r>
          </w:p>
        </w:tc>
        <w:tc>
          <w:tcPr>
            <w:tcW w:w="1244" w:type="dxa"/>
            <w:tcBorders>
              <w:top w:val="single" w:color="000000" w:sz="12" w:space="0"/>
            </w:tcBorders>
            <w:vAlign w:val="center"/>
          </w:tcPr>
          <w:p>
            <w:pPr>
              <w:jc w:val="center"/>
              <w:rPr>
                <w:rFonts w:ascii="仿宋" w:hAnsi="仿宋" w:eastAsia="仿宋"/>
                <w:b/>
                <w:sz w:val="24"/>
                <w:szCs w:val="24"/>
              </w:rPr>
            </w:pPr>
            <w:r>
              <w:rPr>
                <w:rFonts w:hint="eastAsia" w:ascii="仿宋" w:hAnsi="仿宋" w:eastAsia="仿宋"/>
                <w:b/>
                <w:sz w:val="24"/>
                <w:szCs w:val="24"/>
              </w:rPr>
              <w:t>正确分值</w:t>
            </w:r>
          </w:p>
        </w:tc>
        <w:tc>
          <w:tcPr>
            <w:tcW w:w="1326" w:type="dxa"/>
            <w:tcBorders>
              <w:top w:val="single" w:color="000000" w:sz="12" w:space="0"/>
              <w:bottom w:val="single" w:color="000000"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不正确分值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618" w:type="dxa"/>
            <w:tcBorders>
              <w:top w:val="single" w:color="000000" w:sz="4" w:space="0"/>
              <w:left w:val="single" w:color="auto" w:sz="4" w:space="0"/>
              <w:bottom w:val="single" w:color="000000" w:sz="4" w:space="0"/>
            </w:tcBorders>
            <w:vAlign w:val="center"/>
          </w:tcPr>
          <w:p>
            <w:pPr>
              <w:jc w:val="center"/>
              <w:rPr>
                <w:rFonts w:ascii="仿宋" w:hAnsi="仿宋" w:eastAsia="仿宋"/>
                <w:sz w:val="24"/>
                <w:szCs w:val="24"/>
              </w:rPr>
            </w:pPr>
            <w:r>
              <w:rPr>
                <w:rFonts w:hint="eastAsia" w:ascii="仿宋" w:hAnsi="仿宋" w:eastAsia="仿宋"/>
                <w:sz w:val="24"/>
                <w:szCs w:val="24"/>
              </w:rPr>
              <w:t>满分或零分</w:t>
            </w:r>
          </w:p>
        </w:tc>
        <w:tc>
          <w:tcPr>
            <w:tcW w:w="2766" w:type="dxa"/>
            <w:vAlign w:val="center"/>
          </w:tcPr>
          <w:p>
            <w:pPr>
              <w:jc w:val="center"/>
              <w:rPr>
                <w:rFonts w:ascii="仿宋" w:hAnsi="仿宋" w:eastAsia="仿宋"/>
                <w:sz w:val="24"/>
                <w:szCs w:val="24"/>
              </w:rPr>
            </w:pPr>
          </w:p>
        </w:tc>
        <w:tc>
          <w:tcPr>
            <w:tcW w:w="1342" w:type="dxa"/>
            <w:vAlign w:val="center"/>
          </w:tcPr>
          <w:p>
            <w:pPr>
              <w:jc w:val="center"/>
              <w:rPr>
                <w:rFonts w:ascii="仿宋" w:hAnsi="仿宋" w:eastAsia="仿宋"/>
                <w:sz w:val="24"/>
                <w:szCs w:val="24"/>
              </w:rPr>
            </w:pPr>
          </w:p>
        </w:tc>
        <w:tc>
          <w:tcPr>
            <w:tcW w:w="1244" w:type="dxa"/>
            <w:vAlign w:val="center"/>
          </w:tcPr>
          <w:p>
            <w:pPr>
              <w:jc w:val="center"/>
              <w:rPr>
                <w:rFonts w:ascii="仿宋" w:hAnsi="仿宋" w:eastAsia="仿宋"/>
                <w:sz w:val="24"/>
                <w:szCs w:val="24"/>
              </w:rPr>
            </w:pPr>
          </w:p>
        </w:tc>
        <w:tc>
          <w:tcPr>
            <w:tcW w:w="1326" w:type="dxa"/>
            <w:tcBorders>
              <w:top w:val="single" w:color="000000" w:sz="4" w:space="0"/>
              <w:bottom w:val="single" w:color="000000" w:sz="4" w:space="0"/>
              <w:right w:val="single" w:color="auto" w:sz="4" w:space="0"/>
            </w:tcBorders>
            <w:vAlign w:val="center"/>
          </w:tcPr>
          <w:p>
            <w:pPr>
              <w:jc w:val="center"/>
              <w:rPr>
                <w:rFonts w:ascii="仿宋" w:hAnsi="仿宋" w:eastAsia="仿宋"/>
                <w:sz w:val="24"/>
                <w:szCs w:val="24"/>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618" w:type="dxa"/>
            <w:tcBorders>
              <w:top w:val="single" w:color="000000" w:sz="4" w:space="0"/>
              <w:left w:val="single" w:color="auto" w:sz="4" w:space="0"/>
              <w:bottom w:val="single" w:color="000000" w:sz="12" w:space="0"/>
            </w:tcBorders>
            <w:vAlign w:val="center"/>
          </w:tcPr>
          <w:p>
            <w:pPr>
              <w:jc w:val="center"/>
              <w:rPr>
                <w:rFonts w:ascii="仿宋" w:hAnsi="仿宋" w:eastAsia="仿宋"/>
                <w:sz w:val="24"/>
                <w:szCs w:val="24"/>
              </w:rPr>
            </w:pPr>
            <w:r>
              <w:rPr>
                <w:rFonts w:hint="eastAsia" w:ascii="仿宋" w:hAnsi="仿宋" w:eastAsia="仿宋"/>
                <w:sz w:val="24"/>
                <w:szCs w:val="24"/>
              </w:rPr>
              <w:t>从零分开始加</w:t>
            </w:r>
          </w:p>
        </w:tc>
        <w:tc>
          <w:tcPr>
            <w:tcW w:w="2766" w:type="dxa"/>
            <w:tcBorders>
              <w:bottom w:val="single" w:color="000000" w:sz="12" w:space="0"/>
            </w:tcBorders>
            <w:vAlign w:val="center"/>
          </w:tcPr>
          <w:p>
            <w:pPr>
              <w:jc w:val="center"/>
              <w:rPr>
                <w:rFonts w:ascii="仿宋" w:hAnsi="仿宋" w:eastAsia="仿宋"/>
                <w:sz w:val="24"/>
                <w:szCs w:val="24"/>
              </w:rPr>
            </w:pPr>
          </w:p>
        </w:tc>
        <w:tc>
          <w:tcPr>
            <w:tcW w:w="1342" w:type="dxa"/>
            <w:tcBorders>
              <w:bottom w:val="single" w:color="000000" w:sz="12" w:space="0"/>
            </w:tcBorders>
            <w:vAlign w:val="center"/>
          </w:tcPr>
          <w:p>
            <w:pPr>
              <w:jc w:val="center"/>
              <w:rPr>
                <w:rFonts w:ascii="仿宋" w:hAnsi="仿宋" w:eastAsia="仿宋"/>
                <w:sz w:val="24"/>
                <w:szCs w:val="24"/>
              </w:rPr>
            </w:pPr>
          </w:p>
        </w:tc>
        <w:tc>
          <w:tcPr>
            <w:tcW w:w="1244" w:type="dxa"/>
            <w:tcBorders>
              <w:bottom w:val="single" w:color="000000" w:sz="12" w:space="0"/>
            </w:tcBorders>
            <w:vAlign w:val="center"/>
          </w:tcPr>
          <w:p>
            <w:pPr>
              <w:jc w:val="center"/>
              <w:rPr>
                <w:rFonts w:ascii="仿宋" w:hAnsi="仿宋" w:eastAsia="仿宋"/>
                <w:sz w:val="24"/>
                <w:szCs w:val="24"/>
              </w:rPr>
            </w:pPr>
          </w:p>
        </w:tc>
        <w:tc>
          <w:tcPr>
            <w:tcW w:w="1326" w:type="dxa"/>
            <w:tcBorders>
              <w:top w:val="single" w:color="000000" w:sz="4" w:space="0"/>
              <w:bottom w:val="single" w:color="000000" w:sz="12" w:space="0"/>
              <w:right w:val="single" w:color="auto" w:sz="4" w:space="0"/>
            </w:tcBorders>
            <w:vAlign w:val="center"/>
          </w:tcPr>
          <w:p>
            <w:pPr>
              <w:jc w:val="center"/>
              <w:rPr>
                <w:rFonts w:ascii="仿宋" w:hAnsi="仿宋" w:eastAsia="仿宋"/>
                <w:sz w:val="24"/>
                <w:szCs w:val="24"/>
              </w:rPr>
            </w:pPr>
          </w:p>
        </w:tc>
      </w:tr>
    </w:tbl>
    <w:p>
      <w:pPr>
        <w:ind w:firstLine="480"/>
      </w:pPr>
    </w:p>
    <w:p>
      <w:pPr>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（样例：测量评分准则）</w:t>
      </w:r>
    </w:p>
    <w:tbl>
      <w:tblPr>
        <w:tblStyle w:val="11"/>
        <w:tblW w:w="5000" w:type="pct"/>
        <w:jc w:val="center"/>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618"/>
        <w:gridCol w:w="2766"/>
        <w:gridCol w:w="1342"/>
        <w:gridCol w:w="1244"/>
        <w:gridCol w:w="132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618" w:type="dxa"/>
            <w:tcBorders>
              <w:top w:val="single" w:color="000000" w:sz="12" w:space="0"/>
              <w:left w:val="single" w:color="auto" w:sz="4" w:space="0"/>
              <w:bottom w:val="single" w:color="000000" w:sz="4" w:space="0"/>
            </w:tcBorders>
            <w:vAlign w:val="center"/>
          </w:tcPr>
          <w:p>
            <w:pPr>
              <w:jc w:val="center"/>
              <w:rPr>
                <w:rFonts w:ascii="仿宋" w:hAnsi="仿宋" w:eastAsia="仿宋"/>
                <w:b/>
                <w:sz w:val="24"/>
                <w:szCs w:val="24"/>
              </w:rPr>
            </w:pPr>
            <w:r>
              <w:rPr>
                <w:rFonts w:hint="eastAsia" w:ascii="仿宋" w:hAnsi="仿宋" w:eastAsia="仿宋"/>
                <w:b/>
                <w:sz w:val="24"/>
                <w:szCs w:val="24"/>
              </w:rPr>
              <w:t>类型</w:t>
            </w:r>
          </w:p>
        </w:tc>
        <w:tc>
          <w:tcPr>
            <w:tcW w:w="2766" w:type="dxa"/>
            <w:tcBorders>
              <w:top w:val="single" w:color="000000" w:sz="12" w:space="0"/>
            </w:tcBorders>
            <w:vAlign w:val="center"/>
          </w:tcPr>
          <w:p>
            <w:pPr>
              <w:jc w:val="center"/>
              <w:rPr>
                <w:rFonts w:ascii="仿宋" w:hAnsi="仿宋" w:eastAsia="仿宋"/>
                <w:b/>
                <w:sz w:val="24"/>
                <w:szCs w:val="24"/>
              </w:rPr>
            </w:pPr>
            <w:r>
              <w:rPr>
                <w:rFonts w:hint="eastAsia" w:ascii="仿宋" w:hAnsi="仿宋" w:eastAsia="仿宋"/>
                <w:b/>
                <w:sz w:val="24"/>
                <w:szCs w:val="24"/>
              </w:rPr>
              <w:t>示例</w:t>
            </w:r>
          </w:p>
        </w:tc>
        <w:tc>
          <w:tcPr>
            <w:tcW w:w="1342" w:type="dxa"/>
            <w:tcBorders>
              <w:top w:val="single" w:color="000000" w:sz="12" w:space="0"/>
            </w:tcBorders>
            <w:vAlign w:val="center"/>
          </w:tcPr>
          <w:p>
            <w:pPr>
              <w:jc w:val="center"/>
              <w:rPr>
                <w:rFonts w:ascii="仿宋" w:hAnsi="仿宋" w:eastAsia="仿宋"/>
                <w:b/>
                <w:sz w:val="24"/>
                <w:szCs w:val="24"/>
              </w:rPr>
            </w:pPr>
            <w:r>
              <w:rPr>
                <w:rFonts w:hint="eastAsia" w:ascii="仿宋" w:hAnsi="仿宋" w:eastAsia="仿宋"/>
                <w:b/>
                <w:sz w:val="24"/>
                <w:szCs w:val="24"/>
              </w:rPr>
              <w:t>最高分值</w:t>
            </w:r>
          </w:p>
        </w:tc>
        <w:tc>
          <w:tcPr>
            <w:tcW w:w="1244" w:type="dxa"/>
            <w:tcBorders>
              <w:top w:val="single" w:color="000000" w:sz="12" w:space="0"/>
            </w:tcBorders>
            <w:vAlign w:val="center"/>
          </w:tcPr>
          <w:p>
            <w:pPr>
              <w:jc w:val="center"/>
              <w:rPr>
                <w:rFonts w:ascii="仿宋" w:hAnsi="仿宋" w:eastAsia="仿宋"/>
                <w:b/>
                <w:sz w:val="24"/>
                <w:szCs w:val="24"/>
              </w:rPr>
            </w:pPr>
            <w:r>
              <w:rPr>
                <w:rFonts w:hint="eastAsia" w:ascii="仿宋" w:hAnsi="仿宋" w:eastAsia="仿宋"/>
                <w:b/>
                <w:sz w:val="24"/>
                <w:szCs w:val="24"/>
              </w:rPr>
              <w:t>正确分值</w:t>
            </w:r>
          </w:p>
        </w:tc>
        <w:tc>
          <w:tcPr>
            <w:tcW w:w="1326" w:type="dxa"/>
            <w:tcBorders>
              <w:top w:val="single" w:color="000000" w:sz="12" w:space="0"/>
              <w:bottom w:val="single" w:color="000000"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不正确分值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618" w:type="dxa"/>
            <w:tcBorders>
              <w:top w:val="single" w:color="000000" w:sz="4" w:space="0"/>
              <w:left w:val="single" w:color="auto" w:sz="4" w:space="0"/>
              <w:bottom w:val="single" w:color="000000" w:sz="4" w:space="0"/>
            </w:tcBorders>
            <w:vAlign w:val="center"/>
          </w:tcPr>
          <w:p>
            <w:pPr>
              <w:jc w:val="center"/>
              <w:rPr>
                <w:rFonts w:ascii="仿宋" w:hAnsi="仿宋" w:eastAsia="仿宋"/>
                <w:sz w:val="24"/>
                <w:szCs w:val="24"/>
              </w:rPr>
            </w:pPr>
            <w:r>
              <w:rPr>
                <w:rFonts w:hint="eastAsia" w:ascii="仿宋" w:hAnsi="仿宋" w:eastAsia="仿宋"/>
                <w:sz w:val="24"/>
                <w:szCs w:val="24"/>
              </w:rPr>
              <w:t>满分或零分</w:t>
            </w:r>
          </w:p>
        </w:tc>
        <w:tc>
          <w:tcPr>
            <w:tcW w:w="2766" w:type="dxa"/>
            <w:tcBorders>
              <w:bottom w:val="single" w:color="000000" w:sz="4" w:space="0"/>
            </w:tcBorders>
            <w:vAlign w:val="center"/>
          </w:tcPr>
          <w:p>
            <w:pPr>
              <w:jc w:val="center"/>
              <w:rPr>
                <w:rFonts w:ascii="仿宋" w:hAnsi="仿宋" w:eastAsia="仿宋"/>
                <w:sz w:val="24"/>
                <w:szCs w:val="24"/>
              </w:rPr>
            </w:pPr>
            <w:r>
              <w:rPr>
                <w:rFonts w:hint="eastAsia" w:ascii="仿宋" w:hAnsi="仿宋" w:eastAsia="仿宋"/>
                <w:sz w:val="24"/>
                <w:szCs w:val="24"/>
              </w:rPr>
              <w:t>配置温湿度传感器地址</w:t>
            </w:r>
          </w:p>
        </w:tc>
        <w:tc>
          <w:tcPr>
            <w:tcW w:w="1342" w:type="dxa"/>
            <w:tcBorders>
              <w:bottom w:val="single" w:color="000000" w:sz="4" w:space="0"/>
            </w:tcBorders>
            <w:vAlign w:val="center"/>
          </w:tcPr>
          <w:p>
            <w:pPr>
              <w:jc w:val="center"/>
              <w:rPr>
                <w:rFonts w:ascii="仿宋" w:hAnsi="仿宋" w:eastAsia="仿宋"/>
                <w:sz w:val="24"/>
                <w:szCs w:val="24"/>
              </w:rPr>
            </w:pPr>
            <w:r>
              <w:rPr>
                <w:rFonts w:ascii="仿宋" w:hAnsi="仿宋" w:eastAsia="仿宋"/>
                <w:sz w:val="24"/>
                <w:szCs w:val="24"/>
              </w:rPr>
              <w:t>0.50</w:t>
            </w:r>
          </w:p>
        </w:tc>
        <w:tc>
          <w:tcPr>
            <w:tcW w:w="1244" w:type="dxa"/>
            <w:tcBorders>
              <w:bottom w:val="single" w:color="000000" w:sz="4" w:space="0"/>
            </w:tcBorders>
            <w:vAlign w:val="center"/>
          </w:tcPr>
          <w:p>
            <w:pPr>
              <w:jc w:val="center"/>
              <w:rPr>
                <w:rFonts w:ascii="仿宋" w:hAnsi="仿宋" w:eastAsia="仿宋"/>
                <w:sz w:val="24"/>
                <w:szCs w:val="24"/>
              </w:rPr>
            </w:pPr>
            <w:r>
              <w:rPr>
                <w:rFonts w:ascii="仿宋" w:hAnsi="仿宋" w:eastAsia="仿宋"/>
                <w:sz w:val="24"/>
                <w:szCs w:val="24"/>
              </w:rPr>
              <w:t>0.50</w:t>
            </w:r>
          </w:p>
        </w:tc>
        <w:tc>
          <w:tcPr>
            <w:tcW w:w="1326" w:type="dxa"/>
            <w:tcBorders>
              <w:top w:val="single" w:color="000000" w:sz="4" w:space="0"/>
              <w:bottom w:val="single" w:color="000000"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618" w:type="dxa"/>
            <w:tcBorders>
              <w:top w:val="single" w:color="000000" w:sz="4" w:space="0"/>
              <w:left w:val="single" w:color="auto" w:sz="4" w:space="0"/>
              <w:bottom w:val="single" w:color="000000" w:sz="12" w:space="0"/>
            </w:tcBorders>
            <w:vAlign w:val="center"/>
          </w:tcPr>
          <w:p>
            <w:pPr>
              <w:jc w:val="center"/>
              <w:rPr>
                <w:rFonts w:ascii="仿宋" w:hAnsi="仿宋" w:eastAsia="仿宋"/>
                <w:sz w:val="24"/>
                <w:szCs w:val="24"/>
              </w:rPr>
            </w:pPr>
            <w:r>
              <w:rPr>
                <w:rFonts w:hint="eastAsia" w:ascii="仿宋" w:hAnsi="仿宋" w:eastAsia="仿宋"/>
                <w:sz w:val="24"/>
                <w:szCs w:val="24"/>
              </w:rPr>
              <w:t>从零分开始加</w:t>
            </w:r>
          </w:p>
        </w:tc>
        <w:tc>
          <w:tcPr>
            <w:tcW w:w="2766" w:type="dxa"/>
            <w:tcBorders>
              <w:top w:val="single" w:color="000000" w:sz="4" w:space="0"/>
              <w:bottom w:val="single" w:color="000000" w:sz="12" w:space="0"/>
            </w:tcBorders>
            <w:vAlign w:val="center"/>
          </w:tcPr>
          <w:p>
            <w:pPr>
              <w:jc w:val="center"/>
              <w:rPr>
                <w:rFonts w:ascii="仿宋" w:hAnsi="仿宋" w:eastAsia="仿宋"/>
                <w:sz w:val="24"/>
                <w:szCs w:val="24"/>
              </w:rPr>
            </w:pPr>
            <w:r>
              <w:rPr>
                <w:rFonts w:hint="eastAsia" w:ascii="仿宋" w:hAnsi="仿宋" w:eastAsia="仿宋"/>
                <w:sz w:val="24"/>
                <w:szCs w:val="24"/>
              </w:rPr>
              <w:t>通过物联网云平台控制各执行器运作。</w:t>
            </w:r>
          </w:p>
        </w:tc>
        <w:tc>
          <w:tcPr>
            <w:tcW w:w="1342" w:type="dxa"/>
            <w:tcBorders>
              <w:top w:val="single" w:color="000000" w:sz="4" w:space="0"/>
              <w:bottom w:val="single" w:color="000000" w:sz="12" w:space="0"/>
            </w:tcBorders>
            <w:vAlign w:val="center"/>
          </w:tcPr>
          <w:p>
            <w:pPr>
              <w:jc w:val="center"/>
              <w:rPr>
                <w:rFonts w:ascii="仿宋" w:hAnsi="仿宋" w:eastAsia="仿宋"/>
                <w:sz w:val="24"/>
                <w:szCs w:val="24"/>
              </w:rPr>
            </w:pPr>
            <w:r>
              <w:rPr>
                <w:rFonts w:ascii="仿宋" w:hAnsi="仿宋" w:eastAsia="仿宋"/>
                <w:sz w:val="24"/>
                <w:szCs w:val="24"/>
              </w:rPr>
              <w:t>1.0</w:t>
            </w:r>
          </w:p>
        </w:tc>
        <w:tc>
          <w:tcPr>
            <w:tcW w:w="1244" w:type="dxa"/>
            <w:tcBorders>
              <w:top w:val="single" w:color="000000" w:sz="4" w:space="0"/>
              <w:bottom w:val="single" w:color="000000" w:sz="12" w:space="0"/>
            </w:tcBorders>
            <w:vAlign w:val="center"/>
          </w:tcPr>
          <w:p>
            <w:pPr>
              <w:jc w:val="center"/>
              <w:rPr>
                <w:rFonts w:ascii="仿宋" w:hAnsi="仿宋" w:eastAsia="仿宋"/>
                <w:sz w:val="24"/>
                <w:szCs w:val="24"/>
              </w:rPr>
            </w:pPr>
            <w:r>
              <w:rPr>
                <w:rFonts w:ascii="仿宋" w:hAnsi="仿宋" w:eastAsia="仿宋"/>
                <w:sz w:val="24"/>
                <w:szCs w:val="24"/>
              </w:rPr>
              <w:t>1.0</w:t>
            </w:r>
          </w:p>
        </w:tc>
        <w:tc>
          <w:tcPr>
            <w:tcW w:w="1326" w:type="dxa"/>
            <w:tcBorders>
              <w:top w:val="single" w:color="000000" w:sz="4" w:space="0"/>
              <w:bottom w:val="single" w:color="000000" w:sz="12"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0 – 0.5</w:t>
            </w:r>
          </w:p>
        </w:tc>
      </w:tr>
    </w:tbl>
    <w:p>
      <w:pPr>
        <w:ind w:firstLine="480"/>
      </w:pPr>
    </w:p>
    <w:p>
      <w:pPr>
        <w:snapToGrid w:val="0"/>
        <w:spacing w:line="560" w:lineRule="exact"/>
        <w:ind w:firstLine="280" w:firstLineChars="100"/>
        <w:outlineLvl w:val="0"/>
        <w:rPr>
          <w:rFonts w:ascii="Arial Narrow" w:hAnsi="Arial Narrow" w:eastAsia="仿宋_GB2312" w:cs="Arial"/>
          <w:sz w:val="28"/>
          <w:szCs w:val="30"/>
        </w:rPr>
      </w:pPr>
      <w:r>
        <w:rPr>
          <w:rFonts w:hint="eastAsia" w:ascii="Arial Narrow" w:hAnsi="Arial Narrow" w:eastAsia="仿宋_GB2312" w:cs="Arial"/>
          <w:sz w:val="28"/>
          <w:szCs w:val="30"/>
        </w:rPr>
        <w:t>（二）评判方式</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裁判组在竞赛规定的结束时间后，分组对参赛队伍进行考评，每组裁判</w:t>
      </w:r>
      <w:r>
        <w:rPr>
          <w:rFonts w:ascii="仿宋_GB2312" w:hAnsi="Arial Narrow" w:eastAsia="仿宋_GB2312" w:cs="Arial"/>
          <w:sz w:val="28"/>
          <w:szCs w:val="30"/>
        </w:rPr>
        <w:t>3</w:t>
      </w:r>
      <w:r>
        <w:rPr>
          <w:rFonts w:hint="eastAsia" w:ascii="仿宋_GB2312" w:hAnsi="Arial Narrow" w:eastAsia="仿宋_GB2312" w:cs="Arial"/>
          <w:sz w:val="28"/>
          <w:szCs w:val="30"/>
        </w:rPr>
        <w:t>名及以上。裁判员每人有一份评分表，裁判员按照评分表中要求安装设备和提交结果按照评分表中标准进行打分评判。</w:t>
      </w:r>
    </w:p>
    <w:p>
      <w:pPr>
        <w:snapToGrid w:val="0"/>
        <w:spacing w:line="560" w:lineRule="exact"/>
        <w:ind w:firstLine="280" w:firstLineChars="100"/>
        <w:outlineLvl w:val="0"/>
        <w:rPr>
          <w:rFonts w:ascii="Arial Narrow" w:hAnsi="Arial Narrow" w:eastAsia="仿宋_GB2312" w:cs="Arial"/>
          <w:sz w:val="28"/>
          <w:szCs w:val="30"/>
        </w:rPr>
      </w:pPr>
      <w:r>
        <w:rPr>
          <w:rFonts w:hint="eastAsia" w:ascii="Arial Narrow" w:hAnsi="Arial Narrow" w:eastAsia="仿宋_GB2312" w:cs="Arial"/>
          <w:sz w:val="28"/>
          <w:szCs w:val="30"/>
        </w:rPr>
        <w:t>（三）评分方法</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1、组织与分工</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（1）参与大赛赛项成绩管理的组织机构包括裁判组、监督仲裁组，受赛项执委会领导。</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（2）</w:t>
      </w:r>
      <w:r>
        <w:rPr>
          <w:rFonts w:hint="eastAsia" w:ascii="仿宋_GB2312" w:eastAsia="仿宋_GB2312"/>
          <w:sz w:val="28"/>
        </w:rPr>
        <w:t>裁判组实行“裁判长负责制”，设裁判长1名，全面负责赛项的裁判管理工作并处理比赛中出现的争议问题，并配裁判员若干名，负责协助裁判长工作</w:t>
      </w:r>
      <w:r>
        <w:rPr>
          <w:rFonts w:hint="eastAsia" w:ascii="仿宋_GB2312" w:hAnsi="Arial Narrow" w:eastAsia="仿宋_GB2312" w:cs="Arial"/>
          <w:sz w:val="28"/>
          <w:szCs w:val="30"/>
        </w:rPr>
        <w:t>。</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（3）</w:t>
      </w:r>
      <w:r>
        <w:rPr>
          <w:rFonts w:hint="eastAsia" w:ascii="仿宋_GB2312" w:eastAsia="仿宋_GB2312"/>
          <w:sz w:val="28"/>
        </w:rPr>
        <w:t>裁判员根据比赛需要分为检录裁判、加密裁判、现场裁判和评分裁判。</w:t>
      </w:r>
      <w:r>
        <w:rPr>
          <w:rFonts w:hint="eastAsia" w:ascii="仿宋_GB2312" w:hAnsi="Arial Narrow" w:eastAsia="仿宋_GB2312" w:cs="Arial"/>
          <w:sz w:val="28"/>
          <w:szCs w:val="30"/>
        </w:rPr>
        <w:t>检录工作人员负责对参赛队伍（选手）进行点名登记、身份核对等工作；加密裁判负责组织参赛队伍（选手）抽签，对参赛队信息、抽签代码等进行加密、解密工作；现场裁判按规定做好赛场记录，维护赛场纪律；评分裁判负责对参赛队伍（选手）的比赛作品、比赛表现按赛项评分标准进行评定。</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（4）</w:t>
      </w:r>
      <w:r>
        <w:rPr>
          <w:rFonts w:ascii="仿宋_GB2312" w:hAnsi="Arial Narrow" w:eastAsia="仿宋_GB2312" w:cs="Arial"/>
          <w:sz w:val="28"/>
        </w:rPr>
        <w:t>监督仲裁</w:t>
      </w:r>
      <w:r>
        <w:rPr>
          <w:rFonts w:hint="eastAsia" w:ascii="仿宋_GB2312" w:hAnsi="Arial Narrow" w:eastAsia="仿宋_GB2312" w:cs="Arial"/>
          <w:sz w:val="28"/>
          <w:szCs w:val="30"/>
        </w:rPr>
        <w:t>组对裁判组的工作进行全程监督，并对竞赛成绩抽检复核。</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（5）</w:t>
      </w:r>
      <w:r>
        <w:rPr>
          <w:rFonts w:ascii="仿宋_GB2312" w:hAnsi="Arial Narrow" w:eastAsia="仿宋_GB2312" w:cs="Arial"/>
          <w:sz w:val="28"/>
        </w:rPr>
        <w:t>监督仲裁</w:t>
      </w:r>
      <w:r>
        <w:rPr>
          <w:rFonts w:hint="eastAsia" w:ascii="仿宋_GB2312" w:hAnsi="Arial Narrow" w:eastAsia="仿宋_GB2312" w:cs="Arial"/>
          <w:sz w:val="28"/>
          <w:szCs w:val="30"/>
        </w:rPr>
        <w:t>组负责接受由参赛队领队提出的对竞赛</w:t>
      </w:r>
      <w:r>
        <w:rPr>
          <w:rFonts w:ascii="仿宋_GB2312" w:hAnsi="Arial Narrow" w:eastAsia="仿宋_GB2312" w:cs="Arial"/>
          <w:sz w:val="28"/>
          <w:szCs w:val="30"/>
        </w:rPr>
        <w:t>过程</w:t>
      </w:r>
      <w:r>
        <w:rPr>
          <w:rFonts w:hint="eastAsia" w:ascii="仿宋_GB2312" w:hAnsi="Arial Narrow" w:eastAsia="仿宋_GB2312" w:cs="Arial"/>
          <w:sz w:val="28"/>
          <w:szCs w:val="30"/>
        </w:rPr>
        <w:t>的申诉，组织复议并及时反馈复议结果。</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2、成绩评定方法</w:t>
      </w:r>
    </w:p>
    <w:p>
      <w:pPr>
        <w:spacing w:line="360" w:lineRule="auto"/>
        <w:ind w:firstLine="560" w:firstLineChars="200"/>
        <w:rPr>
          <w:rFonts w:ascii="仿宋_GB2312" w:eastAsia="仿宋_GB2312"/>
          <w:sz w:val="28"/>
        </w:rPr>
      </w:pPr>
      <w:r>
        <w:rPr>
          <w:rFonts w:hint="eastAsia" w:ascii="仿宋_GB2312" w:eastAsia="仿宋_GB2312"/>
          <w:sz w:val="28"/>
        </w:rPr>
        <w:t>成绩评定是根据竞赛考核目标、内容对参赛队或选手在竞赛过程中的表现和最终成果做出评价，本赛项的评分方法分结果评分。结果评分是对参赛选手提交的竞赛成果和作答卷，依据赛项评价标准进行评价评分。所有的评分表、成绩汇总表备案以供核查，最终的成绩由裁判长进行审核确认并上报大赛组委会。</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3、成绩解</w:t>
      </w:r>
      <w:r>
        <w:rPr>
          <w:rFonts w:ascii="仿宋_GB2312" w:hAnsi="Arial Narrow" w:eastAsia="仿宋_GB2312" w:cs="Arial"/>
          <w:sz w:val="28"/>
          <w:szCs w:val="30"/>
        </w:rPr>
        <w:t>密</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裁判长正式提交赛位（竞赛作品）评分结果并复核无误后，加密裁判在</w:t>
      </w:r>
      <w:r>
        <w:rPr>
          <w:rFonts w:ascii="仿宋_GB2312" w:hAnsi="Arial Narrow" w:eastAsia="仿宋_GB2312" w:cs="Arial"/>
          <w:sz w:val="28"/>
        </w:rPr>
        <w:t>监督仲裁</w:t>
      </w:r>
      <w:r>
        <w:rPr>
          <w:rFonts w:hint="eastAsia" w:ascii="仿宋_GB2312" w:hAnsi="Arial Narrow" w:eastAsia="仿宋_GB2312" w:cs="Arial"/>
          <w:sz w:val="28"/>
          <w:szCs w:val="30"/>
        </w:rPr>
        <w:t>组人员监督下对加密结果进行逐层解密。</w:t>
      </w:r>
    </w:p>
    <w:p>
      <w:pPr>
        <w:numPr>
          <w:ilvl w:val="0"/>
          <w:numId w:val="3"/>
        </w:num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成绩公布</w:t>
      </w:r>
    </w:p>
    <w:p>
      <w:pPr>
        <w:ind w:firstLine="560" w:firstLineChars="200"/>
        <w:rPr>
          <w:rFonts w:ascii="仿宋_GB2312" w:hAnsi="Arial Narrow" w:eastAsia="仿宋_GB2312" w:cs="Arial"/>
          <w:sz w:val="28"/>
          <w:szCs w:val="30"/>
        </w:rPr>
      </w:pPr>
      <w:r>
        <w:rPr>
          <w:rFonts w:hint="eastAsia" w:ascii="仿宋_GB2312" w:eastAsia="仿宋_GB2312"/>
          <w:sz w:val="28"/>
        </w:rPr>
        <w:t>赛项成绩在赛项结束后由赛项组委会负责公布最终成绩。任何组织和个人，不得擅自对大赛成绩进行涂改、伪造或用于欺诈等违法犯罪活动、如需使用大赛成绩，应报赛项执委会审批。</w:t>
      </w:r>
    </w:p>
    <w:p>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十二、奖项设定</w:t>
      </w:r>
    </w:p>
    <w:p>
      <w:pPr>
        <w:spacing w:line="360" w:lineRule="auto"/>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 xml:space="preserve">本赛项的奖项设团队奖。 </w:t>
      </w:r>
    </w:p>
    <w:p>
      <w:pPr>
        <w:spacing w:line="360" w:lineRule="auto"/>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 xml:space="preserve">设奖比例为：以赛项实际参赛队总数为基数，一、二、三等奖获奖比例分别为 10%、20%、30%（小数点后四舍五入）。 </w:t>
      </w:r>
    </w:p>
    <w:p>
      <w:pPr>
        <w:spacing w:line="360" w:lineRule="auto"/>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如出现参赛队总分相同情况，按照 A、B、C模块顺序的得分高低排序，即总成绩相同的情况下比较 A 模块的成绩，A 模块成绩高的排名优先，如果 A 模块成绩也相同，则按 B 模块的成绩进行排名，以此类推完成相同成绩的排序。如果 A、B、C各模块分值均相同，则查看文档撰写规范、职业素养的分值进行排序。</w:t>
      </w:r>
    </w:p>
    <w:p>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十三、赛场预案</w:t>
      </w:r>
    </w:p>
    <w:p>
      <w:pPr>
        <w:widowControl/>
        <w:spacing w:line="560" w:lineRule="exact"/>
        <w:ind w:firstLine="560" w:firstLineChars="200"/>
        <w:jc w:val="left"/>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按照《全国职业院校技能大赛制度汇编》中相关制度执行。</w:t>
      </w:r>
    </w:p>
    <w:p>
      <w:pPr>
        <w:spacing w:line="560" w:lineRule="exact"/>
        <w:ind w:firstLine="560" w:firstLineChars="200"/>
        <w:rPr>
          <w:rFonts w:ascii="仿宋_GB2312" w:hAnsi="Cambria" w:eastAsia="仿宋_GB2312"/>
          <w:bCs/>
          <w:color w:val="000000"/>
          <w:kern w:val="28"/>
          <w:sz w:val="28"/>
          <w:szCs w:val="28"/>
        </w:rPr>
      </w:pPr>
      <w:r>
        <w:rPr>
          <w:rFonts w:hint="eastAsia" w:ascii="仿宋_GB2312" w:hAnsi="仿宋_GB2312" w:eastAsia="仿宋_GB2312"/>
          <w:color w:val="000000"/>
          <w:sz w:val="28"/>
          <w:szCs w:val="32"/>
        </w:rPr>
        <w:t>1</w:t>
      </w:r>
      <w:r>
        <w:rPr>
          <w:rFonts w:hint="eastAsia" w:ascii="仿宋_GB2312" w:hAnsi="Cambria" w:eastAsia="仿宋_GB2312"/>
          <w:bCs/>
          <w:color w:val="000000"/>
          <w:kern w:val="28"/>
          <w:sz w:val="28"/>
          <w:szCs w:val="28"/>
        </w:rPr>
        <w:t>.竞赛软硬件环境和电脑在比赛前进行压力测试，验证功能正常。竞赛现场准备有</w:t>
      </w:r>
      <w:r>
        <w:rPr>
          <w:rFonts w:ascii="仿宋_GB2312" w:hAnsi="Cambria" w:eastAsia="仿宋_GB2312"/>
          <w:bCs/>
          <w:color w:val="000000"/>
          <w:kern w:val="28"/>
          <w:sz w:val="28"/>
          <w:szCs w:val="28"/>
        </w:rPr>
        <w:t>1</w:t>
      </w:r>
      <w:r>
        <w:rPr>
          <w:rFonts w:hint="eastAsia" w:ascii="仿宋_GB2312" w:hAnsi="Cambria" w:eastAsia="仿宋_GB2312"/>
          <w:bCs/>
          <w:color w:val="000000"/>
          <w:kern w:val="28"/>
          <w:sz w:val="28"/>
          <w:szCs w:val="28"/>
        </w:rPr>
        <w:t>-</w:t>
      </w:r>
      <w:r>
        <w:rPr>
          <w:rFonts w:ascii="仿宋_GB2312" w:hAnsi="Cambria" w:eastAsia="仿宋_GB2312"/>
          <w:bCs/>
          <w:color w:val="000000"/>
          <w:kern w:val="28"/>
          <w:sz w:val="28"/>
          <w:szCs w:val="28"/>
        </w:rPr>
        <w:t>2</w:t>
      </w:r>
      <w:r>
        <w:rPr>
          <w:rFonts w:hint="eastAsia" w:ascii="仿宋_GB2312" w:hAnsi="Cambria" w:eastAsia="仿宋_GB2312"/>
          <w:bCs/>
          <w:color w:val="000000"/>
          <w:kern w:val="28"/>
          <w:sz w:val="28"/>
          <w:szCs w:val="28"/>
        </w:rPr>
        <w:t>套完整的竞赛环境，保证在出现</w:t>
      </w:r>
      <w:r>
        <w:rPr>
          <w:rFonts w:hint="eastAsia" w:ascii="仿宋_GB2312" w:hAnsi="Cambria" w:eastAsia="仿宋_GB2312"/>
          <w:bCs/>
          <w:color w:val="000000"/>
          <w:kern w:val="28"/>
          <w:sz w:val="28"/>
          <w:szCs w:val="28"/>
        </w:rPr>
        <w:t>非选手</w:t>
      </w:r>
      <w:r>
        <w:rPr>
          <w:rFonts w:hint="eastAsia" w:ascii="仿宋_GB2312" w:hAnsi="Cambria" w:eastAsia="仿宋_GB2312"/>
          <w:bCs/>
          <w:color w:val="000000"/>
          <w:kern w:val="28"/>
          <w:sz w:val="28"/>
          <w:szCs w:val="28"/>
        </w:rPr>
        <w:t>原因的损坏时，经现场裁判认定，裁判长确认后，由赛场技术支持人员予以及时更换。</w:t>
      </w:r>
    </w:p>
    <w:p>
      <w:pPr>
        <w:spacing w:line="560" w:lineRule="exact"/>
        <w:ind w:firstLine="560" w:firstLineChars="200"/>
        <w:rPr>
          <w:rFonts w:ascii="仿宋_GB2312" w:hAnsi="Cambria" w:eastAsia="仿宋_GB2312"/>
          <w:bCs/>
          <w:color w:val="000000"/>
          <w:kern w:val="28"/>
          <w:sz w:val="28"/>
          <w:szCs w:val="28"/>
        </w:rPr>
      </w:pPr>
      <w:r>
        <w:rPr>
          <w:rFonts w:ascii="仿宋_GB2312" w:hAnsi="Cambria" w:eastAsia="仿宋_GB2312"/>
          <w:bCs/>
          <w:color w:val="000000"/>
          <w:kern w:val="28"/>
          <w:sz w:val="28"/>
          <w:szCs w:val="28"/>
        </w:rPr>
        <w:t>2</w:t>
      </w:r>
      <w:r>
        <w:rPr>
          <w:rFonts w:hint="eastAsia" w:ascii="仿宋_GB2312" w:hAnsi="Cambria" w:eastAsia="仿宋_GB2312"/>
          <w:bCs/>
          <w:color w:val="000000"/>
          <w:kern w:val="28"/>
          <w:sz w:val="28"/>
          <w:szCs w:val="28"/>
        </w:rPr>
        <w:t>.竞赛过程中出现设备掉电、故障等意外时，现场裁判需及时确认情况，安排赛场技术支持人员进行处理，现场裁判登记详细情况，填写补时登记表，报裁判长批准后，可安排延长补足相应选手的比赛时间。</w:t>
      </w:r>
    </w:p>
    <w:p>
      <w:pPr>
        <w:spacing w:line="560" w:lineRule="exact"/>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3.比赛过程中，选手如怀疑设备问题，且有明确证据确认损坏由</w:t>
      </w:r>
      <w:r>
        <w:rPr>
          <w:rFonts w:hint="eastAsia" w:ascii="仿宋_GB2312" w:hAnsi="Cambria" w:eastAsia="仿宋_GB2312"/>
          <w:bCs/>
          <w:color w:val="000000"/>
          <w:kern w:val="28"/>
          <w:sz w:val="28"/>
          <w:szCs w:val="28"/>
        </w:rPr>
        <w:t>非选手</w:t>
      </w:r>
      <w:r>
        <w:rPr>
          <w:rFonts w:hint="eastAsia" w:ascii="仿宋_GB2312" w:hAnsi="Cambria" w:eastAsia="仿宋_GB2312"/>
          <w:bCs/>
          <w:color w:val="000000"/>
          <w:kern w:val="28"/>
          <w:sz w:val="28"/>
          <w:szCs w:val="28"/>
        </w:rPr>
        <w:t>因素造成，可向裁判提交书面说明，经技术人员判断和裁判长裁决认可，可更换设备，并由裁判长裁决是否补时和补时长度，没有明确证据确认损坏由</w:t>
      </w:r>
      <w:r>
        <w:rPr>
          <w:rFonts w:hint="eastAsia" w:ascii="仿宋_GB2312" w:hAnsi="Cambria" w:eastAsia="仿宋_GB2312"/>
          <w:bCs/>
          <w:color w:val="000000"/>
          <w:kern w:val="28"/>
          <w:sz w:val="28"/>
          <w:szCs w:val="28"/>
        </w:rPr>
        <w:t>非选手</w:t>
      </w:r>
      <w:r>
        <w:rPr>
          <w:rFonts w:hint="eastAsia" w:ascii="仿宋_GB2312" w:hAnsi="Cambria" w:eastAsia="仿宋_GB2312"/>
          <w:bCs/>
          <w:color w:val="000000"/>
          <w:kern w:val="28"/>
          <w:sz w:val="28"/>
          <w:szCs w:val="28"/>
        </w:rPr>
        <w:t>因素造成设备损坏的，不予更换设备和补时。</w:t>
      </w:r>
    </w:p>
    <w:p>
      <w:pPr>
        <w:spacing w:line="560" w:lineRule="exact"/>
        <w:ind w:firstLine="560" w:firstLineChars="200"/>
        <w:rPr>
          <w:rFonts w:ascii="仿宋_GB2312" w:hAnsi="Cambria" w:eastAsia="仿宋_GB2312"/>
          <w:bCs/>
          <w:color w:val="000000"/>
          <w:kern w:val="28"/>
          <w:sz w:val="28"/>
          <w:szCs w:val="28"/>
        </w:rPr>
      </w:pPr>
      <w:r>
        <w:rPr>
          <w:rFonts w:ascii="仿宋_GB2312" w:hAnsi="Cambria" w:eastAsia="仿宋_GB2312"/>
          <w:bCs/>
          <w:color w:val="000000"/>
          <w:kern w:val="28"/>
          <w:sz w:val="28"/>
          <w:szCs w:val="28"/>
        </w:rPr>
        <w:t>4</w:t>
      </w:r>
      <w:r>
        <w:rPr>
          <w:rFonts w:hint="eastAsia" w:ascii="仿宋_GB2312" w:hAnsi="Cambria" w:eastAsia="仿宋_GB2312"/>
          <w:bCs/>
          <w:color w:val="000000"/>
          <w:kern w:val="28"/>
          <w:sz w:val="28"/>
          <w:szCs w:val="28"/>
        </w:rPr>
        <w:t>.本赛项竞赛过程中各个竞赛工位为独立供电</w:t>
      </w:r>
      <w:r>
        <w:rPr>
          <w:rFonts w:hint="eastAsia" w:ascii="仿宋_GB2312" w:hAnsi="Cambria" w:eastAsia="仿宋_GB2312"/>
          <w:bCs/>
          <w:color w:val="000000"/>
          <w:kern w:val="28"/>
          <w:sz w:val="28"/>
          <w:szCs w:val="28"/>
        </w:rPr>
        <w:t>且各个</w:t>
      </w:r>
      <w:r>
        <w:rPr>
          <w:rFonts w:hint="eastAsia" w:ascii="仿宋_GB2312" w:hAnsi="Cambria" w:eastAsia="仿宋_GB2312"/>
          <w:bCs/>
          <w:color w:val="000000"/>
          <w:kern w:val="28"/>
          <w:sz w:val="28"/>
          <w:szCs w:val="28"/>
        </w:rPr>
        <w:t>参赛队均采用独立网络进行竞赛，如在竞赛时</w:t>
      </w:r>
      <w:r>
        <w:rPr>
          <w:rFonts w:hint="eastAsia" w:ascii="仿宋_GB2312" w:hAnsi="Cambria" w:eastAsia="仿宋_GB2312"/>
          <w:bCs/>
          <w:color w:val="000000"/>
          <w:kern w:val="28"/>
          <w:sz w:val="28"/>
          <w:szCs w:val="28"/>
        </w:rPr>
        <w:t>某赛位</w:t>
      </w:r>
      <w:r>
        <w:rPr>
          <w:rFonts w:hint="eastAsia" w:ascii="仿宋_GB2312" w:hAnsi="Cambria" w:eastAsia="仿宋_GB2312"/>
          <w:bCs/>
          <w:color w:val="000000"/>
          <w:kern w:val="28"/>
          <w:sz w:val="28"/>
          <w:szCs w:val="28"/>
        </w:rPr>
        <w:t>参赛队出现意外境况不会影响</w:t>
      </w:r>
      <w:r>
        <w:rPr>
          <w:rFonts w:hint="eastAsia" w:ascii="仿宋_GB2312" w:hAnsi="Cambria" w:eastAsia="仿宋_GB2312"/>
          <w:bCs/>
          <w:color w:val="000000"/>
          <w:kern w:val="28"/>
          <w:sz w:val="28"/>
          <w:szCs w:val="28"/>
        </w:rPr>
        <w:t>其它赛位正常</w:t>
      </w:r>
      <w:r>
        <w:rPr>
          <w:rFonts w:hint="eastAsia" w:ascii="仿宋_GB2312" w:hAnsi="Cambria" w:eastAsia="仿宋_GB2312"/>
          <w:bCs/>
          <w:color w:val="000000"/>
          <w:kern w:val="28"/>
          <w:sz w:val="28"/>
          <w:szCs w:val="28"/>
        </w:rPr>
        <w:t>比赛，不会由此对成绩产生影响。</w:t>
      </w:r>
    </w:p>
    <w:p>
      <w:pPr>
        <w:ind w:firstLine="560" w:firstLineChars="200"/>
        <w:rPr>
          <w:rFonts w:ascii="仿宋_GB2312" w:hAnsi="Cambria" w:eastAsia="仿宋_GB2312"/>
          <w:bCs/>
          <w:color w:val="000000"/>
          <w:kern w:val="28"/>
          <w:sz w:val="28"/>
          <w:szCs w:val="28"/>
        </w:rPr>
      </w:pPr>
      <w:r>
        <w:rPr>
          <w:rFonts w:ascii="仿宋_GB2312" w:hAnsi="Cambria" w:eastAsia="仿宋_GB2312"/>
          <w:bCs/>
          <w:color w:val="000000"/>
          <w:kern w:val="28"/>
          <w:sz w:val="28"/>
          <w:szCs w:val="28"/>
        </w:rPr>
        <w:t>5</w:t>
      </w:r>
      <w:r>
        <w:rPr>
          <w:rFonts w:hint="eastAsia" w:ascii="仿宋_GB2312" w:hAnsi="Cambria" w:eastAsia="仿宋_GB2312"/>
          <w:bCs/>
          <w:color w:val="000000"/>
          <w:kern w:val="28"/>
          <w:sz w:val="28"/>
          <w:szCs w:val="28"/>
        </w:rPr>
        <w:t>.比赛期间发生大规模意外事故和安全问题，发现者应第一时间</w:t>
      </w:r>
      <w:r>
        <w:rPr>
          <w:rFonts w:hint="eastAsia" w:ascii="仿宋_GB2312" w:hAnsi="Cambria" w:eastAsia="仿宋_GB2312"/>
          <w:bCs/>
          <w:color w:val="000000"/>
          <w:kern w:val="28"/>
          <w:sz w:val="28"/>
          <w:szCs w:val="28"/>
        </w:rPr>
        <w:t>报告赛项执委会，赛项执委会应采取中止比赛、快速疏散人群等措施避免事态扩大，</w:t>
      </w:r>
      <w:r>
        <w:rPr>
          <w:rFonts w:hint="eastAsia" w:ascii="仿宋_GB2312" w:hAnsi="Cambria" w:eastAsia="仿宋_GB2312"/>
          <w:bCs/>
          <w:color w:val="000000"/>
          <w:kern w:val="28"/>
          <w:sz w:val="28"/>
          <w:szCs w:val="28"/>
        </w:rPr>
        <w:t>并第一时间</w:t>
      </w:r>
      <w:r>
        <w:rPr>
          <w:rFonts w:hint="eastAsia" w:ascii="仿宋_GB2312" w:hAnsi="Cambria" w:eastAsia="仿宋_GB2312"/>
          <w:bCs/>
          <w:color w:val="000000"/>
          <w:kern w:val="28"/>
          <w:sz w:val="28"/>
          <w:szCs w:val="28"/>
        </w:rPr>
        <w:t>报告赛</w:t>
      </w:r>
      <w:r>
        <w:rPr>
          <w:rFonts w:ascii="仿宋_GB2312" w:hAnsi="Cambria" w:eastAsia="仿宋_GB2312"/>
          <w:bCs/>
          <w:color w:val="000000"/>
          <w:kern w:val="28"/>
          <w:sz w:val="28"/>
          <w:szCs w:val="28"/>
        </w:rPr>
        <w:t>项</w:t>
      </w:r>
      <w:r>
        <w:rPr>
          <w:rFonts w:hint="eastAsia" w:ascii="仿宋_GB2312" w:hAnsi="Cambria" w:eastAsia="仿宋_GB2312"/>
          <w:bCs/>
          <w:color w:val="000000"/>
          <w:kern w:val="28"/>
          <w:sz w:val="28"/>
          <w:szCs w:val="28"/>
        </w:rPr>
        <w:t>执委会。赛项出现重大安全问题可以停赛，是否停赛由赛</w:t>
      </w:r>
      <w:r>
        <w:rPr>
          <w:rFonts w:ascii="仿宋_GB2312" w:hAnsi="Cambria" w:eastAsia="仿宋_GB2312"/>
          <w:bCs/>
          <w:color w:val="000000"/>
          <w:kern w:val="28"/>
          <w:sz w:val="28"/>
          <w:szCs w:val="28"/>
        </w:rPr>
        <w:t>项</w:t>
      </w:r>
      <w:r>
        <w:rPr>
          <w:rFonts w:hint="eastAsia" w:ascii="仿宋_GB2312" w:hAnsi="Cambria" w:eastAsia="仿宋_GB2312"/>
          <w:bCs/>
          <w:color w:val="000000"/>
          <w:kern w:val="28"/>
          <w:sz w:val="28"/>
          <w:szCs w:val="28"/>
        </w:rPr>
        <w:t>执委会决定。事后，赛</w:t>
      </w:r>
      <w:r>
        <w:rPr>
          <w:rFonts w:ascii="仿宋_GB2312" w:hAnsi="Cambria" w:eastAsia="仿宋_GB2312"/>
          <w:bCs/>
          <w:color w:val="000000"/>
          <w:kern w:val="28"/>
          <w:sz w:val="28"/>
          <w:szCs w:val="28"/>
        </w:rPr>
        <w:t>项</w:t>
      </w:r>
      <w:r>
        <w:rPr>
          <w:rFonts w:hint="eastAsia" w:ascii="仿宋_GB2312" w:hAnsi="Cambria" w:eastAsia="仿宋_GB2312"/>
          <w:bCs/>
          <w:color w:val="000000"/>
          <w:kern w:val="28"/>
          <w:sz w:val="28"/>
          <w:szCs w:val="28"/>
        </w:rPr>
        <w:t>执委会应向上级领导部门报告详细情况。</w:t>
      </w:r>
    </w:p>
    <w:p>
      <w:pPr>
        <w:ind w:firstLine="560" w:firstLineChars="200"/>
        <w:rPr>
          <w:rFonts w:ascii="仿宋_GB2312" w:eastAsia="仿宋_GB2312"/>
          <w:color w:val="000000"/>
          <w:sz w:val="28"/>
          <w:szCs w:val="28"/>
        </w:rPr>
      </w:pPr>
      <w:r>
        <w:rPr>
          <w:rFonts w:ascii="仿宋_GB2312" w:eastAsia="仿宋_GB2312"/>
          <w:color w:val="000000"/>
          <w:sz w:val="28"/>
          <w:szCs w:val="28"/>
        </w:rPr>
        <w:t>6.比赛期间如发生特殊情况，参赛选手需保持镇静，服从现场工作人员指挥，有序撤离。</w:t>
      </w:r>
    </w:p>
    <w:p>
      <w:pPr>
        <w:ind w:firstLine="560" w:firstLineChars="200"/>
        <w:rPr>
          <w:rFonts w:ascii="仿宋_GB2312" w:eastAsia="仿宋_GB2312"/>
          <w:color w:val="000000"/>
          <w:sz w:val="28"/>
          <w:szCs w:val="28"/>
        </w:rPr>
      </w:pPr>
      <w:r>
        <w:rPr>
          <w:rFonts w:ascii="仿宋_GB2312" w:eastAsia="仿宋_GB2312"/>
          <w:color w:val="000000"/>
          <w:sz w:val="28"/>
          <w:szCs w:val="28"/>
        </w:rPr>
        <w:t>7.安保人员发现不安全隐患及时通报。</w:t>
      </w:r>
    </w:p>
    <w:p>
      <w:pPr>
        <w:ind w:firstLine="560" w:firstLineChars="200"/>
      </w:pPr>
      <w:r>
        <w:rPr>
          <w:rFonts w:ascii="仿宋_GB2312" w:eastAsia="仿宋_GB2312"/>
          <w:color w:val="000000"/>
          <w:sz w:val="28"/>
          <w:szCs w:val="28"/>
        </w:rPr>
        <w:t>8.竞赛现场配备医疗服务站，备有必须药品。</w:t>
      </w:r>
      <w:r>
        <w:t xml:space="preserve"> </w:t>
      </w:r>
    </w:p>
    <w:p>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十四、赛项安全</w:t>
      </w:r>
    </w:p>
    <w:p>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赛事安全是技能竞赛一切工作顺利开展的先决条件，是赛事筹备和运行工作必须考虑的核心问题。赛项执委会采取切实有效措施保证大赛期间参赛选手、指导教师、裁判员、工作人员及观众的人身安全。</w:t>
      </w:r>
    </w:p>
    <w:p>
      <w:pPr>
        <w:snapToGrid w:val="0"/>
        <w:spacing w:line="560" w:lineRule="exact"/>
        <w:ind w:firstLine="280" w:firstLineChars="100"/>
        <w:outlineLvl w:val="0"/>
        <w:rPr>
          <w:rFonts w:ascii="Arial Narrow" w:hAnsi="Arial Narrow" w:eastAsia="仿宋_GB2312" w:cs="Arial"/>
          <w:sz w:val="28"/>
          <w:szCs w:val="30"/>
        </w:rPr>
      </w:pPr>
      <w:r>
        <w:rPr>
          <w:rFonts w:hint="eastAsia" w:ascii="Arial Narrow" w:hAnsi="Arial Narrow" w:eastAsia="仿宋_GB2312" w:cs="Arial"/>
          <w:sz w:val="28"/>
          <w:szCs w:val="30"/>
        </w:rPr>
        <w:t>（一）比赛环境</w:t>
      </w:r>
    </w:p>
    <w:p>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1.赛项执委会须在赛前组织专人对比赛现场、住宿场所和交通保障进行考察，并对安全工作提出明确要求。赛场的布置，赛场内的器材、设备，应符合国家有关安全规定。如有必要，也可进行赛场仿真模拟测试，以发现可能出现的问题。承办院校赛前须按照赛项执委会要求排除安全隐患。</w:t>
      </w:r>
    </w:p>
    <w:p>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2.赛场周围要设立警戒线，要求所有参赛人员必须凭赛项执委会印发的有效证件进入场地，防止无关人员进入发生意外事件。比赛现场内应参照相关职业岗位的要求为选手提供必要的劳动保护。在具有</w:t>
      </w:r>
      <w:r>
        <w:rPr>
          <w:rFonts w:hint="eastAsia" w:ascii="仿宋_GB2312" w:hAnsi="Cambria" w:eastAsia="仿宋_GB2312"/>
          <w:bCs/>
          <w:color w:val="000000"/>
          <w:kern w:val="28"/>
          <w:sz w:val="28"/>
          <w:szCs w:val="28"/>
        </w:rPr>
        <w:t>危险性的操作环节，裁判员要严防选手出现错误操作。</w:t>
      </w:r>
    </w:p>
    <w:p>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3.承办院校应提供保证应急预案实施的条件。对于比赛内容涉及高空作业、可能有坠物、大用电量、易发生火灾等情况的赛项，必须明确制度和预案，并配备急救人员与设施。</w:t>
      </w:r>
    </w:p>
    <w:p>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4.严格控制与参赛无关的易燃易爆以及各类危险品进入比赛场地，不许随便携带书包进入赛场。</w:t>
      </w:r>
    </w:p>
    <w:p>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5.配备先进的仪器，防止有人利用电磁波干扰比赛秩序。大赛现场需对赛场进行网络安全控制，以免场内外信息交互，充分体现大赛的严肃、公平和公正性。</w:t>
      </w:r>
    </w:p>
    <w:p>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6.赛项执委会须会同承办院校制定开放赛场和体验区的人员疏导方案。赛场环境中存在人员密集、车流人流交错的区域，除了设置齐全的指示标志外，须增加引导人员，并开辟备用通道。</w:t>
      </w:r>
    </w:p>
    <w:p>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7.大赛期间，承办院校须在赛场管理的关键岗位，增加力量，建立安全管理日志。</w:t>
      </w:r>
    </w:p>
    <w:p>
      <w:pPr>
        <w:snapToGrid w:val="0"/>
        <w:spacing w:line="560" w:lineRule="exact"/>
        <w:ind w:firstLine="280" w:firstLineChars="100"/>
        <w:outlineLvl w:val="0"/>
        <w:rPr>
          <w:rFonts w:ascii="Arial Narrow" w:hAnsi="Arial Narrow" w:eastAsia="仿宋_GB2312" w:cs="Arial"/>
          <w:sz w:val="28"/>
          <w:szCs w:val="30"/>
        </w:rPr>
      </w:pPr>
      <w:r>
        <w:rPr>
          <w:rFonts w:hint="eastAsia" w:ascii="Arial Narrow" w:hAnsi="Arial Narrow" w:eastAsia="仿宋_GB2312" w:cs="Arial"/>
          <w:sz w:val="28"/>
          <w:szCs w:val="30"/>
        </w:rPr>
        <w:t>（二）生活条件</w:t>
      </w:r>
    </w:p>
    <w:p>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1.比赛期间，原则上由赛项承办院校统一安排参赛选手和指导教师食宿。承办院校须尊重少数民族的信仰及文化，根据国家相关的民族政策，安排好少数民族选手和教师的饮食起居。</w:t>
      </w:r>
    </w:p>
    <w:p>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2.比赛期间安排的住宿地应具有宾馆/住宿经营许可资质。以学校宿舍作为住宿地的，大赛期间的住宿、卫生、饮食安全等由执委会和提供宿舍的学校共同负责。</w:t>
      </w:r>
    </w:p>
    <w:p>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3.大赛期间有组织的参观和观摩活动的交通安全由赛</w:t>
      </w:r>
      <w:r>
        <w:rPr>
          <w:rFonts w:ascii="仿宋_GB2312" w:hAnsi="Cambria" w:eastAsia="仿宋_GB2312"/>
          <w:bCs/>
          <w:color w:val="000000"/>
          <w:kern w:val="28"/>
          <w:sz w:val="28"/>
          <w:szCs w:val="28"/>
        </w:rPr>
        <w:t>项</w:t>
      </w:r>
      <w:r>
        <w:rPr>
          <w:rFonts w:hint="eastAsia" w:ascii="仿宋_GB2312" w:hAnsi="Cambria" w:eastAsia="仿宋_GB2312"/>
          <w:bCs/>
          <w:color w:val="000000"/>
          <w:kern w:val="28"/>
          <w:sz w:val="28"/>
          <w:szCs w:val="28"/>
        </w:rPr>
        <w:t>组委会</w:t>
      </w:r>
      <w:r>
        <w:rPr>
          <w:rFonts w:hint="eastAsia" w:ascii="仿宋_GB2312" w:hAnsi="Cambria" w:eastAsia="仿宋_GB2312"/>
          <w:bCs/>
          <w:color w:val="000000"/>
          <w:kern w:val="28"/>
          <w:sz w:val="28"/>
          <w:szCs w:val="28"/>
        </w:rPr>
        <w:t>负责。赛项执委会和承办院校须保证比赛期间选手、指导教师和裁判员、工作人员的交通安全。</w:t>
      </w:r>
    </w:p>
    <w:p>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4.各赛项的安全管理，除了可以采取必要的安全隔离措施外，应严格遵守国家相关法律法规，保护个人隐私和人身自由。</w:t>
      </w:r>
    </w:p>
    <w:p>
      <w:pPr>
        <w:snapToGrid w:val="0"/>
        <w:spacing w:line="560" w:lineRule="exact"/>
        <w:ind w:firstLine="280" w:firstLineChars="100"/>
        <w:outlineLvl w:val="0"/>
        <w:rPr>
          <w:rFonts w:ascii="Arial Narrow" w:hAnsi="Arial Narrow" w:eastAsia="仿宋_GB2312" w:cs="Arial"/>
          <w:sz w:val="28"/>
          <w:szCs w:val="30"/>
        </w:rPr>
      </w:pPr>
      <w:r>
        <w:rPr>
          <w:rFonts w:hint="eastAsia" w:ascii="Arial Narrow" w:hAnsi="Arial Narrow" w:eastAsia="仿宋_GB2312" w:cs="Arial"/>
          <w:sz w:val="28"/>
          <w:szCs w:val="30"/>
        </w:rPr>
        <w:t>（三）应急处理</w:t>
      </w:r>
    </w:p>
    <w:p>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比赛期间发生意外事故时，发现者应在第一时间报告赛项执委会，同时采取措施，避免事态扩大。赛项执委会应立即启动预案予以解决并向赛项</w:t>
      </w:r>
      <w:r>
        <w:rPr>
          <w:rFonts w:ascii="仿宋_GB2312" w:hAnsi="Cambria" w:eastAsia="仿宋_GB2312"/>
          <w:bCs/>
          <w:color w:val="000000"/>
          <w:kern w:val="28"/>
          <w:sz w:val="28"/>
          <w:szCs w:val="28"/>
        </w:rPr>
        <w:t>组</w:t>
      </w:r>
      <w:r>
        <w:rPr>
          <w:rFonts w:hint="eastAsia" w:ascii="仿宋_GB2312" w:hAnsi="Cambria" w:eastAsia="仿宋_GB2312"/>
          <w:bCs/>
          <w:color w:val="000000"/>
          <w:kern w:val="28"/>
          <w:sz w:val="28"/>
          <w:szCs w:val="28"/>
        </w:rPr>
        <w:t>委会报告。出现重大安全问题的赛项可以停赛，是否停赛由赛</w:t>
      </w:r>
      <w:r>
        <w:rPr>
          <w:rFonts w:ascii="仿宋_GB2312" w:hAnsi="Cambria" w:eastAsia="仿宋_GB2312"/>
          <w:bCs/>
          <w:color w:val="000000"/>
          <w:kern w:val="28"/>
          <w:sz w:val="28"/>
          <w:szCs w:val="28"/>
        </w:rPr>
        <w:t>项</w:t>
      </w:r>
      <w:r>
        <w:rPr>
          <w:rFonts w:hint="eastAsia" w:ascii="仿宋_GB2312" w:hAnsi="Cambria" w:eastAsia="仿宋_GB2312"/>
          <w:bCs/>
          <w:color w:val="000000"/>
          <w:kern w:val="28"/>
          <w:sz w:val="28"/>
          <w:szCs w:val="28"/>
        </w:rPr>
        <w:t>组委会决定。事后，赛</w:t>
      </w:r>
      <w:r>
        <w:rPr>
          <w:rFonts w:ascii="仿宋_GB2312" w:hAnsi="Cambria" w:eastAsia="仿宋_GB2312"/>
          <w:bCs/>
          <w:color w:val="000000"/>
          <w:kern w:val="28"/>
          <w:sz w:val="28"/>
          <w:szCs w:val="28"/>
        </w:rPr>
        <w:t>项</w:t>
      </w:r>
      <w:r>
        <w:rPr>
          <w:rFonts w:hint="eastAsia" w:ascii="仿宋_GB2312" w:hAnsi="Cambria" w:eastAsia="仿宋_GB2312"/>
          <w:bCs/>
          <w:color w:val="000000"/>
          <w:kern w:val="28"/>
          <w:sz w:val="28"/>
          <w:szCs w:val="28"/>
        </w:rPr>
        <w:t>执委会应向上级领导部门报告详细情况。</w:t>
      </w:r>
    </w:p>
    <w:p>
      <w:pPr>
        <w:snapToGrid w:val="0"/>
        <w:spacing w:line="560" w:lineRule="exact"/>
        <w:ind w:firstLine="280" w:firstLineChars="100"/>
        <w:outlineLvl w:val="0"/>
        <w:rPr>
          <w:rFonts w:ascii="Arial Narrow" w:hAnsi="Arial Narrow" w:eastAsia="仿宋_GB2312" w:cs="Arial"/>
          <w:sz w:val="28"/>
          <w:szCs w:val="30"/>
        </w:rPr>
      </w:pPr>
      <w:r>
        <w:rPr>
          <w:rFonts w:hint="eastAsia" w:ascii="Arial Narrow" w:hAnsi="Arial Narrow" w:eastAsia="仿宋_GB2312" w:cs="Arial"/>
          <w:sz w:val="28"/>
          <w:szCs w:val="30"/>
        </w:rPr>
        <w:t>（四）处罚措施</w:t>
      </w:r>
    </w:p>
    <w:p>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1.因参赛队伍原因造成重大安全事故的，取消其获奖资格。</w:t>
      </w:r>
    </w:p>
    <w:p>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2.参赛队伍有发生重大安全事故隐患，经赛场工作人员提示、警告无效的，可取消其继续比赛的资格。</w:t>
      </w:r>
    </w:p>
    <w:p>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3.赛事工作人员违规的，按照相应的制度追究责任。情节恶劣并造成重大安全事故的，由司法机关追究相应法律责任。</w:t>
      </w:r>
    </w:p>
    <w:p>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十五、竞赛须知</w:t>
      </w:r>
    </w:p>
    <w:p>
      <w:pPr>
        <w:snapToGrid w:val="0"/>
        <w:spacing w:line="560" w:lineRule="exact"/>
        <w:ind w:firstLine="280" w:firstLineChars="100"/>
        <w:outlineLvl w:val="0"/>
        <w:rPr>
          <w:rFonts w:ascii="Arial Narrow" w:hAnsi="Arial Narrow" w:eastAsia="仿宋_GB2312"/>
          <w:sz w:val="30"/>
          <w:szCs w:val="30"/>
        </w:rPr>
      </w:pPr>
      <w:r>
        <w:rPr>
          <w:rFonts w:hint="eastAsia" w:ascii="Arial Narrow" w:hAnsi="Arial Narrow" w:eastAsia="仿宋_GB2312" w:cs="Arial"/>
          <w:sz w:val="28"/>
          <w:szCs w:val="30"/>
        </w:rPr>
        <w:t>（一）参赛队须知</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1</w:t>
      </w:r>
      <w:r>
        <w:rPr>
          <w:rFonts w:ascii="仿宋_GB2312" w:hAnsi="Arial Narrow" w:eastAsia="仿宋_GB2312" w:cs="Arial"/>
          <w:sz w:val="28"/>
          <w:szCs w:val="30"/>
        </w:rPr>
        <w:t>.</w:t>
      </w:r>
      <w:r>
        <w:rPr>
          <w:rFonts w:hint="eastAsia" w:ascii="仿宋_GB2312" w:hAnsi="Arial Narrow" w:eastAsia="仿宋_GB2312" w:cs="Arial"/>
          <w:sz w:val="28"/>
          <w:szCs w:val="30"/>
        </w:rPr>
        <w:t>参赛</w:t>
      </w:r>
      <w:r>
        <w:rPr>
          <w:rFonts w:ascii="仿宋_GB2312" w:hAnsi="Arial Narrow" w:eastAsia="仿宋_GB2312" w:cs="Arial"/>
          <w:sz w:val="28"/>
          <w:szCs w:val="30"/>
        </w:rPr>
        <w:t>队</w:t>
      </w:r>
      <w:r>
        <w:rPr>
          <w:rFonts w:hint="eastAsia" w:ascii="仿宋_GB2312" w:hAnsi="Arial Narrow" w:eastAsia="仿宋_GB2312" w:cs="Arial"/>
          <w:sz w:val="28"/>
          <w:szCs w:val="30"/>
        </w:rPr>
        <w:t>应该</w:t>
      </w:r>
      <w:r>
        <w:rPr>
          <w:rFonts w:ascii="仿宋_GB2312" w:hAnsi="Arial Narrow" w:eastAsia="仿宋_GB2312" w:cs="Arial"/>
          <w:sz w:val="28"/>
          <w:szCs w:val="30"/>
        </w:rPr>
        <w:t>参加</w:t>
      </w:r>
      <w:r>
        <w:rPr>
          <w:rFonts w:hint="eastAsia" w:ascii="仿宋_GB2312" w:hAnsi="Arial Narrow" w:eastAsia="仿宋_GB2312" w:cs="Arial"/>
          <w:sz w:val="28"/>
          <w:szCs w:val="30"/>
        </w:rPr>
        <w:t>赛项</w:t>
      </w:r>
      <w:r>
        <w:rPr>
          <w:rFonts w:ascii="仿宋_GB2312" w:hAnsi="Arial Narrow" w:eastAsia="仿宋_GB2312" w:cs="Arial"/>
          <w:sz w:val="28"/>
          <w:szCs w:val="30"/>
        </w:rPr>
        <w:t>承办单位组织的闭赛式等</w:t>
      </w:r>
      <w:r>
        <w:rPr>
          <w:rFonts w:hint="eastAsia" w:ascii="仿宋_GB2312" w:hAnsi="Arial Narrow" w:eastAsia="仿宋_GB2312" w:cs="Arial"/>
          <w:sz w:val="28"/>
          <w:szCs w:val="30"/>
        </w:rPr>
        <w:t>各项</w:t>
      </w:r>
      <w:r>
        <w:rPr>
          <w:rFonts w:ascii="仿宋_GB2312" w:hAnsi="Arial Narrow" w:eastAsia="仿宋_GB2312" w:cs="Arial"/>
          <w:sz w:val="28"/>
          <w:szCs w:val="30"/>
        </w:rPr>
        <w:t>赛事活动</w:t>
      </w:r>
      <w:r>
        <w:rPr>
          <w:rFonts w:hint="eastAsia" w:ascii="仿宋_GB2312" w:hAnsi="Arial Narrow" w:eastAsia="仿宋_GB2312" w:cs="Arial"/>
          <w:sz w:val="28"/>
          <w:szCs w:val="30"/>
        </w:rPr>
        <w:t>。</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2</w:t>
      </w:r>
      <w:r>
        <w:rPr>
          <w:rFonts w:ascii="仿宋_GB2312" w:hAnsi="Arial Narrow" w:eastAsia="仿宋_GB2312" w:cs="Arial"/>
          <w:sz w:val="28"/>
          <w:szCs w:val="30"/>
        </w:rPr>
        <w:t>.</w:t>
      </w:r>
      <w:r>
        <w:rPr>
          <w:rFonts w:hint="eastAsia" w:ascii="仿宋_GB2312" w:hAnsi="Arial Narrow" w:eastAsia="仿宋_GB2312" w:cs="Arial"/>
          <w:sz w:val="28"/>
          <w:szCs w:val="30"/>
        </w:rPr>
        <w:t>在赛事期间，领队及参赛队其他成员不得私自接触裁判，凡发现有弄虚作假者，取消其参赛资格，成绩无效。</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3</w:t>
      </w:r>
      <w:r>
        <w:rPr>
          <w:rFonts w:ascii="仿宋_GB2312" w:hAnsi="Arial Narrow" w:eastAsia="仿宋_GB2312" w:cs="Arial"/>
          <w:sz w:val="28"/>
          <w:szCs w:val="30"/>
        </w:rPr>
        <w:t>.</w:t>
      </w:r>
      <w:r>
        <w:rPr>
          <w:rFonts w:hint="eastAsia" w:ascii="仿宋_GB2312" w:hAnsi="Arial Narrow" w:eastAsia="仿宋_GB2312" w:cs="Arial"/>
          <w:sz w:val="28"/>
          <w:szCs w:val="30"/>
        </w:rPr>
        <w:t>所有</w:t>
      </w:r>
      <w:r>
        <w:rPr>
          <w:rFonts w:ascii="仿宋_GB2312" w:hAnsi="Arial Narrow" w:eastAsia="仿宋_GB2312" w:cs="Arial"/>
          <w:sz w:val="28"/>
          <w:szCs w:val="30"/>
        </w:rPr>
        <w:t>参赛</w:t>
      </w:r>
      <w:r>
        <w:rPr>
          <w:rFonts w:hint="eastAsia" w:ascii="仿宋_GB2312" w:hAnsi="Arial Narrow" w:eastAsia="仿宋_GB2312" w:cs="Arial"/>
          <w:sz w:val="28"/>
          <w:szCs w:val="30"/>
        </w:rPr>
        <w:t>人员须</w:t>
      </w:r>
      <w:r>
        <w:rPr>
          <w:rFonts w:ascii="仿宋_GB2312" w:hAnsi="Arial Narrow" w:eastAsia="仿宋_GB2312" w:cs="Arial"/>
          <w:sz w:val="28"/>
          <w:szCs w:val="30"/>
        </w:rPr>
        <w:t>按照赛项规程</w:t>
      </w:r>
      <w:r>
        <w:rPr>
          <w:rFonts w:hint="eastAsia" w:ascii="仿宋_GB2312" w:hAnsi="Arial Narrow" w:eastAsia="仿宋_GB2312" w:cs="Arial"/>
          <w:sz w:val="28"/>
          <w:szCs w:val="30"/>
        </w:rPr>
        <w:t>要求按照</w:t>
      </w:r>
      <w:r>
        <w:rPr>
          <w:rFonts w:ascii="仿宋_GB2312" w:hAnsi="Arial Narrow" w:eastAsia="仿宋_GB2312" w:cs="Arial"/>
          <w:sz w:val="28"/>
          <w:szCs w:val="30"/>
        </w:rPr>
        <w:t>完成赛项评价工作。</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4</w:t>
      </w:r>
      <w:r>
        <w:rPr>
          <w:rFonts w:ascii="仿宋_GB2312" w:hAnsi="Arial Narrow" w:eastAsia="仿宋_GB2312" w:cs="Arial"/>
          <w:sz w:val="28"/>
          <w:szCs w:val="30"/>
        </w:rPr>
        <w:t>.</w:t>
      </w:r>
      <w:r>
        <w:rPr>
          <w:rFonts w:hint="eastAsia" w:ascii="仿宋_GB2312" w:hAnsi="Arial Narrow" w:eastAsia="仿宋_GB2312" w:cs="Arial"/>
          <w:sz w:val="28"/>
          <w:szCs w:val="30"/>
        </w:rPr>
        <w:t>对于</w:t>
      </w:r>
      <w:r>
        <w:rPr>
          <w:rFonts w:ascii="仿宋_GB2312" w:hAnsi="Arial Narrow" w:eastAsia="仿宋_GB2312" w:cs="Arial"/>
          <w:sz w:val="28"/>
          <w:szCs w:val="30"/>
        </w:rPr>
        <w:t>有碍比赛公正和比赛正常进行的</w:t>
      </w:r>
      <w:r>
        <w:rPr>
          <w:rFonts w:hint="eastAsia" w:ascii="仿宋_GB2312" w:hAnsi="Arial Narrow" w:eastAsia="仿宋_GB2312" w:cs="Arial"/>
          <w:sz w:val="28"/>
          <w:szCs w:val="30"/>
        </w:rPr>
        <w:t>参赛队</w:t>
      </w:r>
      <w:r>
        <w:rPr>
          <w:rFonts w:ascii="仿宋_GB2312" w:hAnsi="Arial Narrow" w:eastAsia="仿宋_GB2312" w:cs="Arial"/>
          <w:sz w:val="28"/>
          <w:szCs w:val="30"/>
        </w:rPr>
        <w:t>，视其情节轻重</w:t>
      </w:r>
      <w:r>
        <w:rPr>
          <w:rFonts w:hint="eastAsia" w:ascii="仿宋_GB2312" w:hAnsi="Arial Narrow" w:eastAsia="仿宋_GB2312" w:cs="Arial"/>
          <w:sz w:val="28"/>
          <w:szCs w:val="30"/>
        </w:rPr>
        <w:t>，按照《全国职业院校技能大赛奖惩办法》</w:t>
      </w:r>
      <w:r>
        <w:rPr>
          <w:rFonts w:ascii="仿宋_GB2312" w:hAnsi="Arial Narrow" w:eastAsia="仿宋_GB2312" w:cs="Arial"/>
          <w:sz w:val="28"/>
          <w:szCs w:val="30"/>
        </w:rPr>
        <w:t>给予警告</w:t>
      </w:r>
      <w:r>
        <w:rPr>
          <w:rFonts w:hint="eastAsia" w:ascii="仿宋_GB2312" w:hAnsi="Arial Narrow" w:eastAsia="仿宋_GB2312" w:cs="Arial"/>
          <w:sz w:val="28"/>
          <w:szCs w:val="30"/>
        </w:rPr>
        <w:t>、</w:t>
      </w:r>
      <w:r>
        <w:rPr>
          <w:rFonts w:ascii="仿宋_GB2312" w:hAnsi="Arial Narrow" w:eastAsia="仿宋_GB2312" w:cs="Arial"/>
          <w:sz w:val="28"/>
          <w:szCs w:val="30"/>
        </w:rPr>
        <w:t>取消</w:t>
      </w:r>
      <w:r>
        <w:rPr>
          <w:rFonts w:hint="eastAsia" w:ascii="仿宋_GB2312" w:hAnsi="Arial Narrow" w:eastAsia="仿宋_GB2312" w:cs="Arial"/>
          <w:sz w:val="28"/>
          <w:szCs w:val="30"/>
        </w:rPr>
        <w:t>比赛</w:t>
      </w:r>
      <w:r>
        <w:rPr>
          <w:rFonts w:ascii="仿宋_GB2312" w:hAnsi="Arial Narrow" w:eastAsia="仿宋_GB2312" w:cs="Arial"/>
          <w:sz w:val="28"/>
          <w:szCs w:val="30"/>
        </w:rPr>
        <w:t>成绩</w:t>
      </w:r>
      <w:r>
        <w:rPr>
          <w:rFonts w:hint="eastAsia" w:ascii="仿宋_GB2312" w:hAnsi="Arial Narrow" w:eastAsia="仿宋_GB2312" w:cs="Arial"/>
          <w:sz w:val="28"/>
          <w:szCs w:val="30"/>
        </w:rPr>
        <w:t>、</w:t>
      </w:r>
      <w:r>
        <w:rPr>
          <w:rFonts w:ascii="仿宋_GB2312" w:hAnsi="Arial Narrow" w:eastAsia="仿宋_GB2312" w:cs="Arial"/>
          <w:sz w:val="28"/>
          <w:szCs w:val="30"/>
        </w:rPr>
        <w:t>通报批评</w:t>
      </w:r>
      <w:r>
        <w:rPr>
          <w:rFonts w:hint="eastAsia" w:ascii="仿宋_GB2312" w:hAnsi="Arial Narrow" w:eastAsia="仿宋_GB2312" w:cs="Arial"/>
          <w:sz w:val="28"/>
          <w:szCs w:val="30"/>
        </w:rPr>
        <w:t>等处理。其中</w:t>
      </w:r>
      <w:r>
        <w:rPr>
          <w:rFonts w:ascii="仿宋_GB2312" w:hAnsi="Arial Narrow" w:eastAsia="仿宋_GB2312" w:cs="Arial"/>
          <w:sz w:val="28"/>
          <w:szCs w:val="30"/>
        </w:rPr>
        <w:t>，</w:t>
      </w:r>
      <w:r>
        <w:rPr>
          <w:rFonts w:hint="eastAsia" w:ascii="仿宋_GB2312" w:hAnsi="Arial Narrow" w:eastAsia="仿宋_GB2312" w:cs="Arial"/>
          <w:sz w:val="28"/>
          <w:szCs w:val="30"/>
        </w:rPr>
        <w:t>对于比赛过程及有关活动</w:t>
      </w:r>
      <w:r>
        <w:rPr>
          <w:rFonts w:ascii="仿宋_GB2312" w:hAnsi="Arial Narrow" w:eastAsia="仿宋_GB2312" w:cs="Arial"/>
          <w:sz w:val="28"/>
          <w:szCs w:val="30"/>
        </w:rPr>
        <w:t>造成重</w:t>
      </w:r>
      <w:r>
        <w:rPr>
          <w:rFonts w:hint="eastAsia" w:ascii="仿宋_GB2312" w:hAnsi="Arial Narrow" w:eastAsia="仿宋_GB2312" w:cs="Arial"/>
          <w:sz w:val="28"/>
          <w:szCs w:val="30"/>
        </w:rPr>
        <w:t>大</w:t>
      </w:r>
      <w:r>
        <w:rPr>
          <w:rFonts w:ascii="仿宋_GB2312" w:hAnsi="Arial Narrow" w:eastAsia="仿宋_GB2312" w:cs="Arial"/>
          <w:sz w:val="28"/>
          <w:szCs w:val="30"/>
        </w:rPr>
        <w:t>影响的，</w:t>
      </w:r>
      <w:r>
        <w:rPr>
          <w:rFonts w:hint="eastAsia" w:ascii="仿宋_GB2312" w:hAnsi="Arial Narrow" w:eastAsia="仿宋_GB2312" w:cs="Arial"/>
          <w:sz w:val="28"/>
          <w:szCs w:val="30"/>
        </w:rPr>
        <w:t>以适当方式通告参赛院校或</w:t>
      </w:r>
      <w:r>
        <w:rPr>
          <w:rFonts w:ascii="仿宋_GB2312" w:hAnsi="Arial Narrow" w:eastAsia="仿宋_GB2312" w:cs="Arial"/>
          <w:sz w:val="28"/>
          <w:szCs w:val="30"/>
        </w:rPr>
        <w:t>其</w:t>
      </w:r>
      <w:r>
        <w:rPr>
          <w:rFonts w:hint="eastAsia" w:ascii="仿宋_GB2312" w:hAnsi="Arial Narrow" w:eastAsia="仿宋_GB2312" w:cs="Arial"/>
          <w:sz w:val="28"/>
          <w:szCs w:val="30"/>
        </w:rPr>
        <w:t>所属</w:t>
      </w:r>
      <w:r>
        <w:rPr>
          <w:rFonts w:ascii="仿宋_GB2312" w:hAnsi="Arial Narrow" w:eastAsia="仿宋_GB2312" w:cs="Arial"/>
          <w:sz w:val="28"/>
          <w:szCs w:val="30"/>
        </w:rPr>
        <w:t>地区的教育行政主管部门</w:t>
      </w:r>
      <w:r>
        <w:rPr>
          <w:rFonts w:hint="eastAsia" w:ascii="仿宋_GB2312" w:hAnsi="Arial Narrow" w:eastAsia="仿宋_GB2312" w:cs="Arial"/>
          <w:sz w:val="28"/>
          <w:szCs w:val="30"/>
        </w:rPr>
        <w:t>依据有关规定</w:t>
      </w:r>
      <w:r>
        <w:rPr>
          <w:rFonts w:ascii="仿宋_GB2312" w:hAnsi="Arial Narrow" w:eastAsia="仿宋_GB2312" w:cs="Arial"/>
          <w:sz w:val="28"/>
          <w:szCs w:val="30"/>
        </w:rPr>
        <w:t>给予行政或纪律处分</w:t>
      </w:r>
      <w:r>
        <w:rPr>
          <w:rFonts w:hint="eastAsia" w:ascii="仿宋_GB2312" w:hAnsi="Arial Narrow" w:eastAsia="仿宋_GB2312" w:cs="Arial"/>
          <w:sz w:val="28"/>
          <w:szCs w:val="30"/>
        </w:rPr>
        <w:t>，</w:t>
      </w:r>
      <w:r>
        <w:rPr>
          <w:rFonts w:ascii="仿宋_GB2312" w:hAnsi="Arial Narrow" w:eastAsia="仿宋_GB2312" w:cs="Arial"/>
          <w:sz w:val="28"/>
          <w:szCs w:val="30"/>
        </w:rPr>
        <w:t>同时</w:t>
      </w:r>
      <w:r>
        <w:rPr>
          <w:rFonts w:hint="eastAsia" w:ascii="仿宋_GB2312" w:hAnsi="Arial Narrow" w:eastAsia="仿宋_GB2312" w:cs="Arial"/>
          <w:sz w:val="28"/>
          <w:szCs w:val="30"/>
        </w:rPr>
        <w:t>停止该院校</w:t>
      </w:r>
      <w:r>
        <w:rPr>
          <w:rFonts w:ascii="仿宋_GB2312" w:hAnsi="Arial Narrow" w:eastAsia="仿宋_GB2312" w:cs="Arial"/>
          <w:sz w:val="28"/>
          <w:szCs w:val="30"/>
        </w:rPr>
        <w:t>参加全国职业院校技能大赛1</w:t>
      </w:r>
      <w:r>
        <w:rPr>
          <w:rFonts w:hint="eastAsia" w:ascii="仿宋_GB2312" w:hAnsi="Arial Narrow" w:eastAsia="仿宋_GB2312" w:cs="Arial"/>
          <w:sz w:val="28"/>
          <w:szCs w:val="30"/>
        </w:rPr>
        <w:t>年。涉及刑事犯罪的</w:t>
      </w:r>
      <w:r>
        <w:rPr>
          <w:rFonts w:ascii="仿宋_GB2312" w:hAnsi="Arial Narrow" w:eastAsia="仿宋_GB2312" w:cs="Arial"/>
          <w:sz w:val="28"/>
          <w:szCs w:val="30"/>
        </w:rPr>
        <w:t>移交司法机关处理。</w:t>
      </w:r>
    </w:p>
    <w:p>
      <w:pPr>
        <w:snapToGrid w:val="0"/>
        <w:spacing w:line="560" w:lineRule="exact"/>
        <w:ind w:firstLine="280" w:firstLineChars="100"/>
        <w:outlineLvl w:val="0"/>
        <w:rPr>
          <w:rFonts w:ascii="Arial Narrow" w:hAnsi="Arial Narrow" w:eastAsia="仿宋_GB2312" w:cs="Arial"/>
          <w:sz w:val="28"/>
          <w:szCs w:val="30"/>
        </w:rPr>
      </w:pPr>
      <w:r>
        <w:rPr>
          <w:rFonts w:hint="eastAsia" w:ascii="Arial Narrow" w:hAnsi="Arial Narrow" w:eastAsia="仿宋_GB2312" w:cs="Arial"/>
          <w:sz w:val="28"/>
          <w:szCs w:val="30"/>
        </w:rPr>
        <w:t>（二）指导教师须知</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1</w:t>
      </w:r>
      <w:r>
        <w:rPr>
          <w:rFonts w:ascii="仿宋_GB2312" w:hAnsi="Arial Narrow" w:eastAsia="仿宋_GB2312" w:cs="Arial"/>
          <w:sz w:val="28"/>
          <w:szCs w:val="30"/>
        </w:rPr>
        <w:t>.</w:t>
      </w:r>
      <w:r>
        <w:rPr>
          <w:rFonts w:hint="eastAsia" w:ascii="仿宋_GB2312" w:hAnsi="Arial Narrow" w:eastAsia="仿宋_GB2312" w:cs="Arial"/>
          <w:sz w:val="28"/>
          <w:szCs w:val="30"/>
        </w:rPr>
        <w:t>指导</w:t>
      </w:r>
      <w:r>
        <w:rPr>
          <w:rFonts w:ascii="仿宋_GB2312" w:hAnsi="Arial Narrow" w:eastAsia="仿宋_GB2312" w:cs="Arial"/>
          <w:sz w:val="28"/>
          <w:szCs w:val="30"/>
        </w:rPr>
        <w:t>教师</w:t>
      </w:r>
      <w:r>
        <w:rPr>
          <w:rFonts w:hint="eastAsia" w:ascii="仿宋_GB2312" w:hAnsi="Arial Narrow" w:eastAsia="仿宋_GB2312" w:cs="Arial"/>
          <w:sz w:val="28"/>
          <w:szCs w:val="30"/>
        </w:rPr>
        <w:t>应该</w:t>
      </w:r>
      <w:r>
        <w:rPr>
          <w:rFonts w:ascii="仿宋_GB2312" w:hAnsi="Arial Narrow" w:eastAsia="仿宋_GB2312" w:cs="Arial"/>
          <w:sz w:val="28"/>
          <w:szCs w:val="30"/>
        </w:rPr>
        <w:t>根据专业</w:t>
      </w:r>
      <w:r>
        <w:rPr>
          <w:rFonts w:hint="eastAsia" w:ascii="仿宋_GB2312" w:hAnsi="Arial Narrow" w:eastAsia="仿宋_GB2312" w:cs="Arial"/>
          <w:sz w:val="28"/>
          <w:szCs w:val="30"/>
        </w:rPr>
        <w:t>教学</w:t>
      </w:r>
      <w:r>
        <w:rPr>
          <w:rFonts w:ascii="仿宋_GB2312" w:hAnsi="Arial Narrow" w:eastAsia="仿宋_GB2312" w:cs="Arial"/>
          <w:sz w:val="28"/>
          <w:szCs w:val="30"/>
        </w:rPr>
        <w:t>计划和赛项规程合理制定训练方案，</w:t>
      </w:r>
      <w:r>
        <w:rPr>
          <w:rFonts w:hint="eastAsia" w:ascii="仿宋_GB2312" w:hAnsi="Arial Narrow" w:eastAsia="仿宋_GB2312" w:cs="Arial"/>
          <w:sz w:val="28"/>
          <w:szCs w:val="30"/>
        </w:rPr>
        <w:t>认真</w:t>
      </w:r>
      <w:r>
        <w:rPr>
          <w:rFonts w:ascii="仿宋_GB2312" w:hAnsi="Arial Narrow" w:eastAsia="仿宋_GB2312" w:cs="Arial"/>
          <w:sz w:val="28"/>
          <w:szCs w:val="30"/>
        </w:rPr>
        <w:t>指导选手训练</w:t>
      </w:r>
      <w:r>
        <w:rPr>
          <w:rFonts w:hint="eastAsia" w:ascii="仿宋_GB2312" w:hAnsi="Arial Narrow" w:eastAsia="仿宋_GB2312" w:cs="Arial"/>
          <w:sz w:val="28"/>
          <w:szCs w:val="30"/>
        </w:rPr>
        <w:t>，培养</w:t>
      </w:r>
      <w:r>
        <w:rPr>
          <w:rFonts w:ascii="仿宋_GB2312" w:hAnsi="Arial Narrow" w:eastAsia="仿宋_GB2312" w:cs="Arial"/>
          <w:sz w:val="28"/>
          <w:szCs w:val="30"/>
        </w:rPr>
        <w:t>选手的综合职业能力和</w:t>
      </w:r>
      <w:r>
        <w:rPr>
          <w:rFonts w:hint="eastAsia" w:ascii="仿宋_GB2312" w:hAnsi="Arial Narrow" w:eastAsia="仿宋_GB2312" w:cs="Arial"/>
          <w:sz w:val="28"/>
          <w:szCs w:val="30"/>
        </w:rPr>
        <w:t>良好</w:t>
      </w:r>
      <w:r>
        <w:rPr>
          <w:rFonts w:ascii="仿宋_GB2312" w:hAnsi="Arial Narrow" w:eastAsia="仿宋_GB2312" w:cs="Arial"/>
          <w:sz w:val="28"/>
          <w:szCs w:val="30"/>
        </w:rPr>
        <w:t>的职业素养，克服</w:t>
      </w:r>
      <w:r>
        <w:rPr>
          <w:rFonts w:hint="eastAsia" w:ascii="仿宋_GB2312" w:hAnsi="Arial Narrow" w:eastAsia="仿宋_GB2312" w:cs="Arial"/>
          <w:sz w:val="28"/>
          <w:szCs w:val="30"/>
        </w:rPr>
        <w:t>功利化</w:t>
      </w:r>
      <w:r>
        <w:rPr>
          <w:rFonts w:ascii="仿宋_GB2312" w:hAnsi="Arial Narrow" w:eastAsia="仿宋_GB2312" w:cs="Arial"/>
          <w:sz w:val="28"/>
          <w:szCs w:val="30"/>
        </w:rPr>
        <w:t>思想，</w:t>
      </w:r>
      <w:r>
        <w:rPr>
          <w:rFonts w:hint="eastAsia" w:ascii="仿宋_GB2312" w:hAnsi="Arial Narrow" w:eastAsia="仿宋_GB2312" w:cs="Arial"/>
          <w:sz w:val="28"/>
          <w:szCs w:val="30"/>
        </w:rPr>
        <w:t>避免为赛而学</w:t>
      </w:r>
      <w:r>
        <w:rPr>
          <w:rFonts w:ascii="仿宋_GB2312" w:hAnsi="Arial Narrow" w:eastAsia="仿宋_GB2312" w:cs="Arial"/>
          <w:sz w:val="28"/>
          <w:szCs w:val="30"/>
        </w:rPr>
        <w:t>、以赛代学。</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2</w:t>
      </w:r>
      <w:r>
        <w:rPr>
          <w:rFonts w:ascii="仿宋_GB2312" w:hAnsi="Arial Narrow" w:eastAsia="仿宋_GB2312" w:cs="Arial"/>
          <w:sz w:val="28"/>
          <w:szCs w:val="30"/>
        </w:rPr>
        <w:t>.</w:t>
      </w:r>
      <w:r>
        <w:rPr>
          <w:rFonts w:hint="eastAsia" w:ascii="仿宋_GB2312" w:hAnsi="Arial Narrow" w:eastAsia="仿宋_GB2312" w:cs="Arial"/>
          <w:sz w:val="28"/>
          <w:szCs w:val="30"/>
        </w:rPr>
        <w:t>指导</w:t>
      </w:r>
      <w:r>
        <w:rPr>
          <w:rFonts w:ascii="仿宋_GB2312" w:hAnsi="Arial Narrow" w:eastAsia="仿宋_GB2312" w:cs="Arial"/>
          <w:sz w:val="28"/>
          <w:szCs w:val="30"/>
        </w:rPr>
        <w:t>教师应该根据赛项规程要求</w:t>
      </w:r>
      <w:r>
        <w:rPr>
          <w:rFonts w:hint="eastAsia" w:ascii="仿宋_GB2312" w:hAnsi="Arial Narrow" w:eastAsia="仿宋_GB2312" w:cs="Arial"/>
          <w:sz w:val="28"/>
          <w:szCs w:val="30"/>
        </w:rPr>
        <w:t>做好参赛</w:t>
      </w:r>
      <w:r>
        <w:rPr>
          <w:rFonts w:ascii="仿宋_GB2312" w:hAnsi="Arial Narrow" w:eastAsia="仿宋_GB2312" w:cs="Arial"/>
          <w:sz w:val="28"/>
          <w:szCs w:val="30"/>
        </w:rPr>
        <w:t>选手</w:t>
      </w:r>
      <w:r>
        <w:rPr>
          <w:rFonts w:hint="eastAsia" w:ascii="仿宋_GB2312" w:hAnsi="Arial Narrow" w:eastAsia="仿宋_GB2312" w:cs="Arial"/>
          <w:sz w:val="28"/>
          <w:szCs w:val="30"/>
        </w:rPr>
        <w:t>安全</w:t>
      </w:r>
      <w:r>
        <w:rPr>
          <w:rFonts w:ascii="仿宋_GB2312" w:hAnsi="Arial Narrow" w:eastAsia="仿宋_GB2312" w:cs="Arial"/>
          <w:sz w:val="28"/>
          <w:szCs w:val="30"/>
        </w:rPr>
        <w:t>工作</w:t>
      </w:r>
      <w:r>
        <w:rPr>
          <w:rFonts w:hint="eastAsia" w:ascii="仿宋_GB2312" w:hAnsi="Arial Narrow" w:eastAsia="仿宋_GB2312" w:cs="Arial"/>
          <w:sz w:val="28"/>
          <w:szCs w:val="30"/>
        </w:rPr>
        <w:t>，并</w:t>
      </w:r>
      <w:r>
        <w:rPr>
          <w:rFonts w:ascii="仿宋_GB2312" w:hAnsi="Arial Narrow" w:eastAsia="仿宋_GB2312" w:cs="Arial"/>
          <w:sz w:val="28"/>
          <w:szCs w:val="30"/>
        </w:rPr>
        <w:t>积极做好选手的</w:t>
      </w:r>
      <w:r>
        <w:rPr>
          <w:rFonts w:hint="eastAsia" w:ascii="仿宋_GB2312" w:hAnsi="Arial Narrow" w:eastAsia="仿宋_GB2312" w:cs="Arial"/>
          <w:sz w:val="28"/>
          <w:szCs w:val="30"/>
        </w:rPr>
        <w:t>安全</w:t>
      </w:r>
      <w:r>
        <w:rPr>
          <w:rFonts w:ascii="仿宋_GB2312" w:hAnsi="Arial Narrow" w:eastAsia="仿宋_GB2312" w:cs="Arial"/>
          <w:sz w:val="28"/>
          <w:szCs w:val="30"/>
        </w:rPr>
        <w:t>教育</w:t>
      </w:r>
      <w:r>
        <w:rPr>
          <w:rFonts w:hint="eastAsia" w:ascii="仿宋_GB2312" w:hAnsi="Arial Narrow" w:eastAsia="仿宋_GB2312" w:cs="Arial"/>
          <w:sz w:val="28"/>
          <w:szCs w:val="30"/>
        </w:rPr>
        <w:t>。</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3</w:t>
      </w:r>
      <w:r>
        <w:rPr>
          <w:rFonts w:ascii="仿宋_GB2312" w:hAnsi="Arial Narrow" w:eastAsia="仿宋_GB2312" w:cs="Arial"/>
          <w:sz w:val="28"/>
          <w:szCs w:val="30"/>
        </w:rPr>
        <w:t>.</w:t>
      </w:r>
      <w:r>
        <w:rPr>
          <w:rFonts w:hint="eastAsia" w:ascii="仿宋_GB2312" w:hAnsi="Arial Narrow" w:eastAsia="仿宋_GB2312" w:cs="Arial"/>
          <w:sz w:val="28"/>
          <w:szCs w:val="30"/>
        </w:rPr>
        <w:t>指导</w:t>
      </w:r>
      <w:r>
        <w:rPr>
          <w:rFonts w:ascii="仿宋_GB2312" w:hAnsi="Arial Narrow" w:eastAsia="仿宋_GB2312" w:cs="Arial"/>
          <w:sz w:val="28"/>
          <w:szCs w:val="30"/>
        </w:rPr>
        <w:t>教师</w:t>
      </w:r>
      <w:r>
        <w:rPr>
          <w:rFonts w:hint="eastAsia" w:ascii="仿宋_GB2312" w:hAnsi="Arial Narrow" w:eastAsia="仿宋_GB2312" w:cs="Arial"/>
          <w:sz w:val="28"/>
          <w:szCs w:val="30"/>
        </w:rPr>
        <w:t>参加</w:t>
      </w:r>
      <w:r>
        <w:rPr>
          <w:rFonts w:ascii="仿宋_GB2312" w:hAnsi="Arial Narrow" w:eastAsia="仿宋_GB2312" w:cs="Arial"/>
          <w:sz w:val="28"/>
          <w:szCs w:val="30"/>
        </w:rPr>
        <w:t>赛项观摩</w:t>
      </w:r>
      <w:r>
        <w:rPr>
          <w:rFonts w:hint="eastAsia" w:ascii="仿宋_GB2312" w:hAnsi="Arial Narrow" w:eastAsia="仿宋_GB2312" w:cs="Arial"/>
          <w:sz w:val="28"/>
          <w:szCs w:val="30"/>
        </w:rPr>
        <w:t>等</w:t>
      </w:r>
      <w:r>
        <w:rPr>
          <w:rFonts w:ascii="仿宋_GB2312" w:hAnsi="Arial Narrow" w:eastAsia="仿宋_GB2312" w:cs="Arial"/>
          <w:sz w:val="28"/>
          <w:szCs w:val="30"/>
        </w:rPr>
        <w:t>活动，不得违反赛项规定进入赛场</w:t>
      </w:r>
      <w:r>
        <w:rPr>
          <w:rFonts w:hint="eastAsia" w:ascii="仿宋_GB2312" w:hAnsi="Arial Narrow" w:eastAsia="仿宋_GB2312" w:cs="Arial"/>
          <w:sz w:val="28"/>
          <w:szCs w:val="30"/>
        </w:rPr>
        <w:t>，</w:t>
      </w:r>
      <w:r>
        <w:rPr>
          <w:rFonts w:ascii="仿宋_GB2312" w:hAnsi="Arial Narrow" w:eastAsia="仿宋_GB2312" w:cs="Arial"/>
          <w:sz w:val="28"/>
          <w:szCs w:val="30"/>
        </w:rPr>
        <w:t>干扰比赛正常进行</w:t>
      </w:r>
      <w:r>
        <w:rPr>
          <w:rFonts w:hint="eastAsia" w:ascii="仿宋_GB2312" w:hAnsi="Arial Narrow" w:eastAsia="仿宋_GB2312" w:cs="Arial"/>
          <w:sz w:val="28"/>
          <w:szCs w:val="30"/>
        </w:rPr>
        <w:t>。</w:t>
      </w:r>
    </w:p>
    <w:p>
      <w:pPr>
        <w:snapToGrid w:val="0"/>
        <w:spacing w:line="560" w:lineRule="exact"/>
        <w:ind w:firstLine="280" w:firstLineChars="100"/>
        <w:outlineLvl w:val="0"/>
        <w:rPr>
          <w:rFonts w:ascii="Arial Narrow" w:hAnsi="Arial Narrow" w:eastAsia="仿宋_GB2312" w:cs="Arial"/>
          <w:sz w:val="28"/>
          <w:szCs w:val="30"/>
        </w:rPr>
      </w:pPr>
      <w:r>
        <w:rPr>
          <w:rFonts w:hint="eastAsia" w:ascii="Arial Narrow" w:hAnsi="Arial Narrow" w:eastAsia="仿宋_GB2312" w:cs="Arial"/>
          <w:sz w:val="28"/>
          <w:szCs w:val="30"/>
        </w:rPr>
        <w:t>（三）参赛选手须知</w:t>
      </w:r>
    </w:p>
    <w:p>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1.</w:t>
      </w:r>
      <w:r>
        <w:rPr>
          <w:rFonts w:hint="eastAsia" w:ascii="仿宋_GB2312" w:hAnsi="Arial Narrow" w:eastAsia="仿宋_GB2312" w:cs="Arial"/>
          <w:sz w:val="28"/>
          <w:szCs w:val="30"/>
        </w:rPr>
        <w:t>参赛选手凭赛</w:t>
      </w:r>
      <w:r>
        <w:rPr>
          <w:rFonts w:ascii="仿宋_GB2312" w:hAnsi="Arial Narrow" w:eastAsia="仿宋_GB2312" w:cs="Arial"/>
          <w:sz w:val="28"/>
          <w:szCs w:val="30"/>
        </w:rPr>
        <w:t>项</w:t>
      </w:r>
      <w:r>
        <w:rPr>
          <w:rFonts w:hint="eastAsia" w:ascii="仿宋_GB2312" w:hAnsi="Arial Narrow" w:eastAsia="仿宋_GB2312" w:cs="Arial"/>
          <w:sz w:val="28"/>
          <w:szCs w:val="30"/>
        </w:rPr>
        <w:t>执委会颁发的参赛凭证和有效身份证件（身份证、学生证）参加竞赛及相关活动，在赛场内操作期间应当始终佩带参赛凭证以备检查。</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2</w:t>
      </w:r>
      <w:r>
        <w:rPr>
          <w:rFonts w:ascii="仿宋_GB2312" w:hAnsi="Arial Narrow" w:eastAsia="仿宋_GB2312" w:cs="Arial"/>
          <w:sz w:val="28"/>
          <w:szCs w:val="30"/>
        </w:rPr>
        <w:t>.</w:t>
      </w:r>
      <w:r>
        <w:rPr>
          <w:rFonts w:hint="eastAsia" w:ascii="仿宋_GB2312" w:hAnsi="Arial Narrow" w:eastAsia="仿宋_GB2312" w:cs="Arial"/>
          <w:sz w:val="28"/>
          <w:szCs w:val="30"/>
        </w:rPr>
        <w:t>参赛选手须严格按规定时间进入比赛场地，对现场条件进行确认并签字，按统一指令开始竞赛，在收到开赛信号前不得启动操作。各参赛队自行决定分工、工作程序和时间安排，在指定工位上完成竞赛项目。</w:t>
      </w:r>
    </w:p>
    <w:p>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3.</w:t>
      </w:r>
      <w:r>
        <w:rPr>
          <w:rFonts w:hint="eastAsia" w:ascii="仿宋_GB2312" w:hAnsi="Arial Narrow" w:eastAsia="仿宋_GB2312" w:cs="Arial"/>
          <w:sz w:val="28"/>
          <w:szCs w:val="30"/>
        </w:rPr>
        <w:t>参赛选手不允许携带任何竞赛</w:t>
      </w:r>
      <w:r>
        <w:rPr>
          <w:rFonts w:ascii="仿宋_GB2312" w:hAnsi="Arial Narrow" w:eastAsia="仿宋_GB2312" w:cs="Arial"/>
          <w:sz w:val="28"/>
          <w:szCs w:val="30"/>
        </w:rPr>
        <w:t>规程</w:t>
      </w:r>
      <w:r>
        <w:rPr>
          <w:rFonts w:hint="eastAsia" w:ascii="仿宋_GB2312" w:hAnsi="Arial Narrow" w:eastAsia="仿宋_GB2312" w:cs="Arial"/>
          <w:sz w:val="28"/>
          <w:szCs w:val="30"/>
        </w:rPr>
        <w:t>禁止</w:t>
      </w:r>
      <w:r>
        <w:rPr>
          <w:rFonts w:ascii="仿宋_GB2312" w:hAnsi="Arial Narrow" w:eastAsia="仿宋_GB2312" w:cs="Arial"/>
          <w:sz w:val="28"/>
          <w:szCs w:val="30"/>
        </w:rPr>
        <w:t>使用的</w:t>
      </w:r>
      <w:r>
        <w:rPr>
          <w:rFonts w:hint="eastAsia" w:ascii="仿宋_GB2312" w:hAnsi="Arial Narrow" w:eastAsia="仿宋_GB2312" w:cs="Arial"/>
          <w:sz w:val="28"/>
          <w:szCs w:val="30"/>
        </w:rPr>
        <w:t>电子产品及通讯工具，以及其它与竞赛有关的资料和书籍，不得以任何方式泄露参赛院校、选手姓名等涉及竞赛场上应该保密的信息。</w:t>
      </w:r>
    </w:p>
    <w:p>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4.</w:t>
      </w:r>
      <w:r>
        <w:rPr>
          <w:rFonts w:hint="eastAsia" w:ascii="仿宋_GB2312" w:hAnsi="Arial Narrow" w:eastAsia="仿宋_GB2312" w:cs="Arial"/>
          <w:sz w:val="28"/>
          <w:szCs w:val="30"/>
        </w:rPr>
        <w:t>参赛选手比赛时间内连续工作，食品、饮水等由赛场统一提供。选手休息、饮食及如厕时间均计算在比赛时间内。</w:t>
      </w:r>
    </w:p>
    <w:p>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5.</w:t>
      </w:r>
      <w:r>
        <w:rPr>
          <w:rFonts w:hint="eastAsia" w:ascii="仿宋_GB2312" w:hAnsi="Arial Narrow" w:eastAsia="仿宋_GB2312" w:cs="Arial"/>
          <w:sz w:val="28"/>
          <w:szCs w:val="30"/>
        </w:rPr>
        <w:t>竞赛期间，参赛选手不得提前离开赛场。如特殊原因（如身体不适等）无法继续参赛的，需举手请示裁判，经裁判同意后方可离开赛场。选手离开赛场后不得在场外逗留，也不得再返回赛场。</w:t>
      </w:r>
    </w:p>
    <w:p>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6.</w:t>
      </w:r>
      <w:r>
        <w:rPr>
          <w:rFonts w:hint="eastAsia" w:ascii="仿宋_GB2312" w:hAnsi="Arial Narrow" w:eastAsia="仿宋_GB2312" w:cs="Arial"/>
          <w:sz w:val="28"/>
          <w:szCs w:val="30"/>
        </w:rPr>
        <w:t>竞赛结束时间到后，选手不得再进行任何与竞赛有关的操作。参赛队若提前结束比赛，应向裁判员举手示意，裁判员记录比赛完成时间。</w:t>
      </w:r>
    </w:p>
    <w:p>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7.</w:t>
      </w:r>
      <w:r>
        <w:rPr>
          <w:rFonts w:hint="eastAsia" w:ascii="仿宋_GB2312" w:hAnsi="Arial Narrow" w:eastAsia="仿宋_GB2312" w:cs="Arial"/>
          <w:sz w:val="28"/>
          <w:szCs w:val="30"/>
        </w:rPr>
        <w:t>参赛选手须按照竞赛要求及规定提交竞赛结果及相关文件，禁止在竞赛成果上做任何与竞赛无关的标记，如单位名称、参赛者姓名等，否则视为作弊。</w:t>
      </w:r>
    </w:p>
    <w:p>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8.</w:t>
      </w:r>
      <w:r>
        <w:rPr>
          <w:rFonts w:hint="eastAsia" w:ascii="仿宋_GB2312" w:hAnsi="Arial Narrow" w:eastAsia="仿宋_GB2312" w:cs="Arial"/>
          <w:sz w:val="28"/>
          <w:szCs w:val="30"/>
        </w:rPr>
        <w:t>参赛选手须严格遵守操作规程，确保人身及设备安全。竞赛期间，若因选手个人原因出现安全事件或设备故障不能进行竞赛的，由裁判组裁定其竞赛结束，保留竞赛资格，累计其有效竞赛成绩；非选手个人原因出现的设备故障，由裁判组做出裁决，可视具体情况给选手补足排除故障耗费时间。</w:t>
      </w:r>
    </w:p>
    <w:p>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9.</w:t>
      </w:r>
      <w:r>
        <w:rPr>
          <w:rFonts w:hint="eastAsia" w:ascii="仿宋_GB2312" w:hAnsi="Arial Narrow" w:eastAsia="仿宋_GB2312" w:cs="Arial"/>
          <w:sz w:val="28"/>
          <w:szCs w:val="30"/>
        </w:rPr>
        <w:t>参赛选手须严格遵守赛场规章制度、服从裁判，文明竞赛。有作弊行为的，参赛队该项成绩为0分；如有不服从裁判、扰乱赛场秩序等不文明行为，按照相关规定扣减分数，情节严重的取消比赛资格和成绩。</w:t>
      </w:r>
    </w:p>
    <w:p>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10.</w:t>
      </w:r>
      <w:r>
        <w:rPr>
          <w:rFonts w:hint="eastAsia" w:ascii="仿宋_GB2312" w:hAnsi="Arial Narrow" w:eastAsia="仿宋_GB2312" w:cs="Arial"/>
          <w:sz w:val="28"/>
          <w:szCs w:val="30"/>
        </w:rPr>
        <w:t>为培养技能型人才的工作风格，在参赛期间，参赛选手应当注意保持工作环境及设备摆放，符合企业生产“5S”（即整理、整顿、清扫、清洁和素养）的原则，如果过于脏乱，裁判员有权酌情扣分。</w:t>
      </w:r>
    </w:p>
    <w:p>
      <w:pPr>
        <w:snapToGrid w:val="0"/>
        <w:spacing w:line="560" w:lineRule="exact"/>
        <w:ind w:firstLine="280" w:firstLineChars="100"/>
        <w:outlineLvl w:val="0"/>
        <w:rPr>
          <w:rFonts w:ascii="Arial Narrow" w:hAnsi="Arial Narrow" w:eastAsia="仿宋_GB2312" w:cs="Arial"/>
          <w:sz w:val="28"/>
          <w:szCs w:val="30"/>
        </w:rPr>
      </w:pPr>
      <w:r>
        <w:rPr>
          <w:rFonts w:hint="eastAsia" w:ascii="Arial Narrow" w:hAnsi="Arial Narrow" w:eastAsia="仿宋_GB2312" w:cs="Arial"/>
          <w:sz w:val="28"/>
          <w:szCs w:val="30"/>
        </w:rPr>
        <w:t>（四）工作人员须知</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1.服从赛项执委会的领导，遵守职业道德、坚持原则、按章办事，以高度负责的精神、严肃认真的态度和严谨细致的作风做好工作，为赛场提供有序的服务。</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2.佩带工作人员证件，仪表整洁，</w:t>
      </w:r>
      <w:r>
        <w:rPr>
          <w:rFonts w:ascii="仿宋_GB2312" w:hAnsi="Arial Narrow" w:eastAsia="仿宋_GB2312" w:cs="Arial"/>
          <w:sz w:val="28"/>
          <w:szCs w:val="30"/>
        </w:rPr>
        <w:t>忠于职守，</w:t>
      </w:r>
      <w:r>
        <w:rPr>
          <w:rFonts w:hint="eastAsia" w:ascii="仿宋_GB2312" w:hAnsi="Arial Narrow" w:eastAsia="仿宋_GB2312" w:cs="Arial"/>
          <w:sz w:val="28"/>
          <w:szCs w:val="30"/>
        </w:rPr>
        <w:t>语言举止文明礼貌。</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3.熟悉《竞赛规程》，认真执行竞赛规则，严格按照工作程序和有关规定办事，</w:t>
      </w:r>
      <w:r>
        <w:rPr>
          <w:rFonts w:ascii="仿宋_GB2312" w:hAnsi="Arial Narrow" w:eastAsia="仿宋_GB2312" w:cs="Arial"/>
          <w:sz w:val="28"/>
          <w:szCs w:val="30"/>
        </w:rPr>
        <w:t>遇突发事件，按照应急预案，组织指挥人员疏散，确保人员安全。</w:t>
      </w:r>
    </w:p>
    <w:p>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4.</w:t>
      </w:r>
      <w:r>
        <w:rPr>
          <w:rFonts w:hint="eastAsia" w:ascii="仿宋_GB2312" w:hAnsi="Arial Narrow" w:eastAsia="仿宋_GB2312" w:cs="Arial"/>
          <w:sz w:val="28"/>
          <w:szCs w:val="30"/>
        </w:rPr>
        <w:t>坚守岗位，不迟到，不早退，不擅离职守。</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5</w:t>
      </w:r>
      <w:r>
        <w:rPr>
          <w:rFonts w:ascii="仿宋_GB2312" w:hAnsi="Arial Narrow" w:eastAsia="仿宋_GB2312" w:cs="Arial"/>
          <w:sz w:val="28"/>
          <w:szCs w:val="30"/>
        </w:rPr>
        <w:t>.</w:t>
      </w:r>
      <w:r>
        <w:rPr>
          <w:rFonts w:hint="eastAsia" w:ascii="仿宋_GB2312" w:hAnsi="Arial Narrow" w:eastAsia="仿宋_GB2312" w:cs="Arial"/>
          <w:sz w:val="28"/>
          <w:szCs w:val="30"/>
        </w:rPr>
        <w:t>赛场工作人员要积极维护好赛场秩序，以利于参赛选手正常发挥水平。</w:t>
      </w:r>
    </w:p>
    <w:p>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6.</w:t>
      </w:r>
      <w:r>
        <w:rPr>
          <w:rFonts w:hint="eastAsia" w:ascii="仿宋_GB2312" w:hAnsi="Arial Narrow" w:eastAsia="仿宋_GB2312" w:cs="Arial"/>
          <w:sz w:val="28"/>
          <w:szCs w:val="30"/>
        </w:rPr>
        <w:t>赛场工作人员在比赛中不回答选手提出的任何有关比赛技术问题，如遇争议问题，需上报执委会。</w:t>
      </w:r>
    </w:p>
    <w:p>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十六、申诉与仲裁</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1</w:t>
      </w:r>
      <w:r>
        <w:rPr>
          <w:rFonts w:ascii="仿宋_GB2312" w:hAnsi="Arial Narrow" w:eastAsia="仿宋_GB2312" w:cs="Arial"/>
          <w:sz w:val="28"/>
          <w:szCs w:val="30"/>
        </w:rPr>
        <w:t>.</w:t>
      </w:r>
      <w:r>
        <w:rPr>
          <w:rFonts w:hint="eastAsia" w:ascii="仿宋_GB2312" w:hAnsi="Arial Narrow" w:eastAsia="仿宋_GB2312" w:cs="Arial"/>
          <w:sz w:val="28"/>
          <w:szCs w:val="30"/>
        </w:rPr>
        <w:t>各参赛队对不符合大赛和赛项规程规定的仪器、设备、工装、材料、物件、计算机软硬件、竞赛使用工具、用品，竞赛执裁、赛场管理，以及工作人员的不规范行为等，可向赛项监督仲裁组提出申诉。申诉主体为参赛队领队。参赛队领队可在比赛结束后（选手赛场比赛内容全部完成）1小时之内向监督仲裁组提出书面申诉。</w:t>
      </w:r>
    </w:p>
    <w:p>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2.</w:t>
      </w:r>
      <w:r>
        <w:rPr>
          <w:rFonts w:hint="eastAsia" w:ascii="仿宋_GB2312" w:hAnsi="Arial Narrow" w:eastAsia="仿宋_GB2312" w:cs="Arial"/>
          <w:sz w:val="28"/>
          <w:szCs w:val="30"/>
        </w:rPr>
        <w:t>书面申诉应对申诉事件的现象、发生时间、涉及人员、申诉依据等进行充分、实事求是的叙述，并由领队亲笔签名。非书面申诉不予受理。</w:t>
      </w:r>
    </w:p>
    <w:p>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3.</w:t>
      </w:r>
      <w:r>
        <w:rPr>
          <w:rFonts w:hint="eastAsia" w:ascii="仿宋_GB2312" w:hAnsi="Arial Narrow" w:eastAsia="仿宋_GB2312" w:cs="Arial"/>
          <w:sz w:val="28"/>
          <w:szCs w:val="30"/>
        </w:rPr>
        <w:t>赛项监督仲裁组</w:t>
      </w:r>
      <w:r>
        <w:rPr>
          <w:rFonts w:hint="eastAsia" w:ascii="仿宋_GB2312" w:eastAsia="仿宋_GB2312"/>
          <w:sz w:val="28"/>
        </w:rPr>
        <w:t>收到申诉报告后，应根据申诉事由进行审查，2小时内通知申诉方，告知申诉处理结果</w:t>
      </w:r>
      <w:r>
        <w:rPr>
          <w:rFonts w:hint="eastAsia" w:ascii="仿宋_GB2312" w:hAnsi="Arial Narrow" w:eastAsia="仿宋_GB2312" w:cs="Arial"/>
          <w:sz w:val="28"/>
          <w:szCs w:val="30"/>
        </w:rPr>
        <w:t>。</w:t>
      </w:r>
    </w:p>
    <w:p>
      <w:pPr>
        <w:snapToGrid w:val="0"/>
        <w:spacing w:line="560" w:lineRule="exact"/>
        <w:ind w:firstLine="560" w:firstLineChars="200"/>
        <w:rPr>
          <w:rFonts w:ascii="仿宋_GB2312" w:hAnsi="Arial Narrow" w:eastAsia="仿宋_GB2312" w:cs="Arial"/>
          <w:sz w:val="28"/>
          <w:szCs w:val="30"/>
        </w:rPr>
      </w:pPr>
      <w:r>
        <w:rPr>
          <w:rFonts w:hint="eastAsia" w:ascii="仿宋_GB2312" w:eastAsia="仿宋_GB2312"/>
          <w:sz w:val="28"/>
        </w:rPr>
        <w:t>4.申诉人不得无故拒不接受处理结果，不允许采取过激行为刁难、攻击工作人员，否则视为放弃申诉。申诉人不满意赛项仲裁工作组的处理结果的，可向大赛仲裁委员会提出复议申请。大赛仲裁委员会在接到复议申请后的1天内组织复议，并及时反馈复议结果。大赛仲裁委员会的仲裁结果为最终结果</w:t>
      </w:r>
      <w:r>
        <w:rPr>
          <w:rFonts w:ascii="仿宋_GB2312" w:eastAsia="仿宋_GB2312"/>
          <w:sz w:val="28"/>
        </w:rPr>
        <w:t>。</w:t>
      </w:r>
    </w:p>
    <w:p>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5.</w:t>
      </w:r>
      <w:r>
        <w:rPr>
          <w:rFonts w:hint="eastAsia" w:ascii="仿宋_GB2312" w:hAnsi="Arial Narrow" w:eastAsia="仿宋_GB2312" w:cs="Arial"/>
          <w:sz w:val="28"/>
          <w:szCs w:val="30"/>
        </w:rPr>
        <w:t>仲裁结果由申诉人签收，不能代收，如在约定时间和地点申诉人离开，视为自行放弃申诉。</w:t>
      </w:r>
    </w:p>
    <w:p>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6.</w:t>
      </w:r>
      <w:r>
        <w:rPr>
          <w:rFonts w:hint="eastAsia" w:ascii="仿宋_GB2312" w:hAnsi="Arial Narrow" w:eastAsia="仿宋_GB2312" w:cs="Arial"/>
          <w:sz w:val="28"/>
          <w:szCs w:val="30"/>
        </w:rPr>
        <w:t>申诉方可随时提出放弃申诉。</w:t>
      </w:r>
    </w:p>
    <w:p>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7.</w:t>
      </w:r>
      <w:r>
        <w:rPr>
          <w:rFonts w:hint="eastAsia" w:ascii="仿宋_GB2312" w:hAnsi="Arial Narrow" w:eastAsia="仿宋_GB2312" w:cs="Arial"/>
          <w:sz w:val="28"/>
          <w:szCs w:val="30"/>
        </w:rPr>
        <w:t>申诉方不得以任何理由采取过激行为扰乱赛场秩序。</w:t>
      </w:r>
    </w:p>
    <w:p>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十七、竞赛观摩</w:t>
      </w:r>
    </w:p>
    <w:p>
      <w:pPr>
        <w:snapToGrid w:val="0"/>
        <w:spacing w:line="560" w:lineRule="exact"/>
        <w:ind w:firstLine="280" w:firstLineChars="100"/>
        <w:outlineLvl w:val="0"/>
        <w:rPr>
          <w:rFonts w:ascii="Arial Narrow" w:hAnsi="Arial Narrow" w:eastAsia="仿宋_GB2312" w:cs="Arial"/>
          <w:sz w:val="28"/>
          <w:szCs w:val="30"/>
        </w:rPr>
      </w:pPr>
      <w:r>
        <w:rPr>
          <w:rFonts w:hint="eastAsia" w:ascii="Arial Narrow" w:hAnsi="Arial Narrow" w:eastAsia="仿宋_GB2312" w:cs="Arial"/>
          <w:sz w:val="28"/>
          <w:szCs w:val="30"/>
        </w:rPr>
        <w:t>（</w:t>
      </w:r>
      <w:r>
        <w:rPr>
          <w:rFonts w:ascii="Arial Narrow" w:hAnsi="Arial Narrow" w:eastAsia="仿宋_GB2312" w:cs="Arial"/>
          <w:sz w:val="28"/>
          <w:szCs w:val="30"/>
        </w:rPr>
        <w:t>一）</w:t>
      </w:r>
      <w:r>
        <w:rPr>
          <w:rFonts w:hint="eastAsia" w:ascii="Arial Narrow" w:hAnsi="Arial Narrow" w:eastAsia="仿宋_GB2312" w:cs="Arial"/>
          <w:sz w:val="28"/>
          <w:szCs w:val="30"/>
        </w:rPr>
        <w:t>公开</w:t>
      </w:r>
      <w:r>
        <w:rPr>
          <w:rFonts w:ascii="Arial Narrow" w:hAnsi="Arial Narrow" w:eastAsia="仿宋_GB2312" w:cs="Arial"/>
          <w:sz w:val="28"/>
          <w:szCs w:val="30"/>
        </w:rPr>
        <w:t>观摩</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媒体观众可以在不打扰选手竞赛的要求下，沿现场指定观摩通道有组织地参观竞赛现场，了解物联网技术及职业教育教学成果。</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在赛场外布置开放式展区，对物联网技术应用进行科普宣传，将物联网技术应用在人们生活中的应用或者未来生活的应用对公众进行展现。</w:t>
      </w:r>
    </w:p>
    <w:p>
      <w:pPr>
        <w:snapToGrid w:val="0"/>
        <w:spacing w:line="560" w:lineRule="exact"/>
        <w:ind w:firstLine="280" w:firstLineChars="100"/>
        <w:outlineLvl w:val="0"/>
        <w:rPr>
          <w:rFonts w:ascii="Arial Narrow" w:hAnsi="Arial Narrow" w:eastAsia="仿宋_GB2312" w:cs="Arial"/>
          <w:sz w:val="28"/>
          <w:szCs w:val="30"/>
        </w:rPr>
      </w:pPr>
      <w:r>
        <w:rPr>
          <w:rFonts w:hint="eastAsia" w:ascii="Arial Narrow" w:hAnsi="Arial Narrow" w:eastAsia="仿宋_GB2312" w:cs="Arial"/>
          <w:sz w:val="28"/>
          <w:szCs w:val="30"/>
        </w:rPr>
        <w:t>（</w:t>
      </w:r>
      <w:r>
        <w:rPr>
          <w:rFonts w:ascii="Arial Narrow" w:hAnsi="Arial Narrow" w:eastAsia="仿宋_GB2312" w:cs="Arial"/>
          <w:sz w:val="28"/>
          <w:szCs w:val="30"/>
        </w:rPr>
        <w:t>二）</w:t>
      </w:r>
      <w:r>
        <w:rPr>
          <w:rFonts w:hint="eastAsia" w:ascii="Arial Narrow" w:hAnsi="Arial Narrow" w:eastAsia="仿宋_GB2312" w:cs="Arial"/>
          <w:sz w:val="28"/>
          <w:szCs w:val="30"/>
        </w:rPr>
        <w:t>组织</w:t>
      </w:r>
      <w:r>
        <w:rPr>
          <w:rFonts w:ascii="Arial Narrow" w:hAnsi="Arial Narrow" w:eastAsia="仿宋_GB2312" w:cs="Arial"/>
          <w:sz w:val="28"/>
          <w:szCs w:val="30"/>
        </w:rPr>
        <w:t>安排</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观摩</w:t>
      </w:r>
      <w:r>
        <w:rPr>
          <w:rFonts w:ascii="仿宋_GB2312" w:hAnsi="Arial Narrow" w:eastAsia="仿宋_GB2312" w:cs="Arial"/>
          <w:sz w:val="28"/>
          <w:szCs w:val="30"/>
        </w:rPr>
        <w:t>团</w:t>
      </w:r>
      <w:r>
        <w:rPr>
          <w:rFonts w:hint="eastAsia" w:ascii="仿宋_GB2312" w:hAnsi="Arial Narrow" w:eastAsia="仿宋_GB2312" w:cs="Arial"/>
          <w:sz w:val="28"/>
          <w:szCs w:val="30"/>
        </w:rPr>
        <w:t>在竞赛工作</w:t>
      </w:r>
      <w:r>
        <w:rPr>
          <w:rFonts w:ascii="仿宋_GB2312" w:hAnsi="Arial Narrow" w:eastAsia="仿宋_GB2312" w:cs="Arial"/>
          <w:sz w:val="28"/>
          <w:szCs w:val="30"/>
        </w:rPr>
        <w:t>人员</w:t>
      </w:r>
      <w:r>
        <w:rPr>
          <w:rFonts w:hint="eastAsia" w:ascii="仿宋_GB2312" w:hAnsi="Arial Narrow" w:eastAsia="仿宋_GB2312" w:cs="Arial"/>
          <w:sz w:val="28"/>
          <w:szCs w:val="30"/>
        </w:rPr>
        <w:t>带领下</w:t>
      </w:r>
      <w:r>
        <w:rPr>
          <w:rFonts w:ascii="仿宋_GB2312" w:hAnsi="Arial Narrow" w:eastAsia="仿宋_GB2312" w:cs="Arial"/>
          <w:sz w:val="28"/>
          <w:szCs w:val="30"/>
        </w:rPr>
        <w:t>，分</w:t>
      </w:r>
      <w:r>
        <w:rPr>
          <w:rFonts w:hint="eastAsia" w:ascii="仿宋_GB2312" w:hAnsi="Arial Narrow" w:eastAsia="仿宋_GB2312" w:cs="Arial"/>
          <w:sz w:val="28"/>
          <w:szCs w:val="30"/>
        </w:rPr>
        <w:t>批次到赛场观摩比赛。</w:t>
      </w:r>
    </w:p>
    <w:p>
      <w:pPr>
        <w:snapToGrid w:val="0"/>
        <w:spacing w:line="560" w:lineRule="exact"/>
        <w:ind w:firstLine="280" w:firstLineChars="100"/>
        <w:outlineLvl w:val="0"/>
        <w:rPr>
          <w:rFonts w:ascii="Arial Narrow" w:hAnsi="Arial Narrow" w:eastAsia="仿宋_GB2312" w:cs="Arial"/>
          <w:sz w:val="28"/>
          <w:szCs w:val="30"/>
        </w:rPr>
      </w:pPr>
      <w:r>
        <w:rPr>
          <w:rFonts w:hint="eastAsia" w:ascii="Arial Narrow" w:hAnsi="Arial Narrow" w:eastAsia="仿宋_GB2312" w:cs="Arial"/>
          <w:sz w:val="28"/>
          <w:szCs w:val="30"/>
        </w:rPr>
        <w:t>（</w:t>
      </w:r>
      <w:r>
        <w:rPr>
          <w:rFonts w:ascii="Arial Narrow" w:hAnsi="Arial Narrow" w:eastAsia="仿宋_GB2312" w:cs="Arial"/>
          <w:sz w:val="28"/>
          <w:szCs w:val="30"/>
        </w:rPr>
        <w:t>三）</w:t>
      </w:r>
      <w:r>
        <w:rPr>
          <w:rFonts w:hint="eastAsia" w:ascii="Arial Narrow" w:hAnsi="Arial Narrow" w:eastAsia="仿宋_GB2312" w:cs="Arial"/>
          <w:sz w:val="28"/>
          <w:szCs w:val="30"/>
        </w:rPr>
        <w:t>纪律</w:t>
      </w:r>
      <w:r>
        <w:rPr>
          <w:rFonts w:ascii="Arial Narrow" w:hAnsi="Arial Narrow" w:eastAsia="仿宋_GB2312" w:cs="Arial"/>
          <w:sz w:val="28"/>
          <w:szCs w:val="30"/>
        </w:rPr>
        <w:t>要求</w:t>
      </w: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观摩团</w:t>
      </w:r>
      <w:r>
        <w:rPr>
          <w:rFonts w:ascii="仿宋_GB2312" w:hAnsi="Arial Narrow" w:eastAsia="仿宋_GB2312" w:cs="Arial"/>
          <w:sz w:val="28"/>
          <w:szCs w:val="30"/>
        </w:rPr>
        <w:t>成</w:t>
      </w:r>
      <w:r>
        <w:rPr>
          <w:rFonts w:hint="eastAsia" w:ascii="仿宋_GB2312" w:hAnsi="Arial Narrow" w:eastAsia="仿宋_GB2312" w:cs="Arial"/>
          <w:sz w:val="28"/>
          <w:szCs w:val="30"/>
        </w:rPr>
        <w:t>员在赛场需</w:t>
      </w:r>
      <w:r>
        <w:rPr>
          <w:rFonts w:ascii="仿宋_GB2312" w:hAnsi="Arial Narrow" w:eastAsia="仿宋_GB2312" w:cs="Arial"/>
          <w:sz w:val="28"/>
          <w:szCs w:val="30"/>
        </w:rPr>
        <w:t>保</w:t>
      </w:r>
      <w:r>
        <w:rPr>
          <w:rFonts w:hint="eastAsia" w:ascii="仿宋_GB2312" w:hAnsi="Arial Narrow" w:eastAsia="仿宋_GB2312" w:cs="Arial"/>
          <w:sz w:val="28"/>
          <w:szCs w:val="30"/>
        </w:rPr>
        <w:t>持安静，沿现场指定观摩通道有组织地参观竞赛现场，不</w:t>
      </w:r>
      <w:r>
        <w:rPr>
          <w:rFonts w:ascii="仿宋_GB2312" w:hAnsi="Arial Narrow" w:eastAsia="仿宋_GB2312" w:cs="Arial"/>
          <w:sz w:val="28"/>
          <w:szCs w:val="30"/>
        </w:rPr>
        <w:t>可进</w:t>
      </w:r>
      <w:r>
        <w:rPr>
          <w:rFonts w:hint="eastAsia" w:ascii="仿宋_GB2312" w:hAnsi="Arial Narrow" w:eastAsia="仿宋_GB2312" w:cs="Arial"/>
          <w:sz w:val="28"/>
          <w:szCs w:val="30"/>
        </w:rPr>
        <w:t>入比</w:t>
      </w:r>
      <w:r>
        <w:rPr>
          <w:rFonts w:ascii="仿宋_GB2312" w:hAnsi="Arial Narrow" w:eastAsia="仿宋_GB2312" w:cs="Arial"/>
          <w:sz w:val="28"/>
          <w:szCs w:val="30"/>
        </w:rPr>
        <w:t>赛</w:t>
      </w:r>
      <w:r>
        <w:rPr>
          <w:rFonts w:hint="eastAsia" w:ascii="仿宋_GB2312" w:hAnsi="Arial Narrow" w:eastAsia="仿宋_GB2312" w:cs="Arial"/>
          <w:sz w:val="28"/>
          <w:szCs w:val="30"/>
        </w:rPr>
        <w:t>区域，不</w:t>
      </w:r>
      <w:r>
        <w:rPr>
          <w:rFonts w:ascii="仿宋_GB2312" w:hAnsi="Arial Narrow" w:eastAsia="仿宋_GB2312" w:cs="Arial"/>
          <w:sz w:val="28"/>
          <w:szCs w:val="30"/>
        </w:rPr>
        <w:t>可</w:t>
      </w:r>
      <w:r>
        <w:rPr>
          <w:rFonts w:hint="eastAsia" w:ascii="仿宋_GB2312" w:hAnsi="Arial Narrow" w:eastAsia="仿宋_GB2312" w:cs="Arial"/>
          <w:sz w:val="28"/>
          <w:szCs w:val="30"/>
        </w:rPr>
        <w:t>接触设备，</w:t>
      </w:r>
      <w:r>
        <w:rPr>
          <w:rFonts w:ascii="仿宋_GB2312" w:hAnsi="Arial Narrow" w:eastAsia="仿宋_GB2312" w:cs="Arial"/>
          <w:sz w:val="28"/>
          <w:szCs w:val="30"/>
        </w:rPr>
        <w:t>影响</w:t>
      </w:r>
      <w:r>
        <w:rPr>
          <w:rFonts w:hint="eastAsia" w:ascii="仿宋_GB2312" w:hAnsi="Arial Narrow" w:eastAsia="仿宋_GB2312" w:cs="Arial"/>
          <w:sz w:val="28"/>
          <w:szCs w:val="30"/>
        </w:rPr>
        <w:t>选手比</w:t>
      </w:r>
      <w:r>
        <w:rPr>
          <w:rFonts w:ascii="仿宋_GB2312" w:hAnsi="Arial Narrow" w:eastAsia="仿宋_GB2312" w:cs="Arial"/>
          <w:sz w:val="28"/>
          <w:szCs w:val="30"/>
        </w:rPr>
        <w:t xml:space="preserve">赛。 </w:t>
      </w:r>
    </w:p>
    <w:p>
      <w:pPr>
        <w:ind w:firstLine="560" w:firstLineChars="200"/>
      </w:pPr>
      <w:r>
        <w:rPr>
          <w:rFonts w:hint="eastAsia" w:ascii="仿宋_GB2312" w:hAnsi="Arial Narrow" w:eastAsia="仿宋_GB2312" w:cs="Arial"/>
          <w:sz w:val="28"/>
          <w:szCs w:val="30"/>
        </w:rPr>
        <w:t>观摩</w:t>
      </w:r>
      <w:r>
        <w:rPr>
          <w:rFonts w:ascii="仿宋_GB2312" w:hAnsi="Arial Narrow" w:eastAsia="仿宋_GB2312" w:cs="Arial"/>
          <w:sz w:val="28"/>
          <w:szCs w:val="30"/>
        </w:rPr>
        <w:t>者不</w:t>
      </w:r>
      <w:r>
        <w:rPr>
          <w:rFonts w:hint="eastAsia" w:ascii="仿宋_GB2312" w:hAnsi="Arial Narrow" w:eastAsia="仿宋_GB2312" w:cs="Arial"/>
          <w:sz w:val="28"/>
          <w:szCs w:val="30"/>
        </w:rPr>
        <w:t>可携带手机、IPAD等通讯工</w:t>
      </w:r>
      <w:r>
        <w:rPr>
          <w:rFonts w:ascii="仿宋_GB2312" w:hAnsi="Arial Narrow" w:eastAsia="仿宋_GB2312" w:cs="Arial"/>
          <w:sz w:val="28"/>
          <w:szCs w:val="30"/>
        </w:rPr>
        <w:t>具</w:t>
      </w:r>
      <w:r>
        <w:rPr>
          <w:rFonts w:hint="eastAsia" w:ascii="仿宋_GB2312" w:hAnsi="Arial Narrow" w:eastAsia="仿宋_GB2312" w:cs="Arial"/>
          <w:sz w:val="28"/>
          <w:szCs w:val="30"/>
        </w:rPr>
        <w:t>进入赛</w:t>
      </w:r>
      <w:r>
        <w:rPr>
          <w:rFonts w:ascii="仿宋_GB2312" w:hAnsi="Arial Narrow" w:eastAsia="仿宋_GB2312" w:cs="Arial"/>
          <w:sz w:val="28"/>
          <w:szCs w:val="30"/>
        </w:rPr>
        <w:t>场</w:t>
      </w:r>
      <w:r>
        <w:rPr>
          <w:rFonts w:hint="eastAsia" w:ascii="仿宋_GB2312" w:hAnsi="Arial Narrow" w:eastAsia="仿宋_GB2312" w:cs="Arial"/>
          <w:sz w:val="28"/>
          <w:szCs w:val="30"/>
        </w:rPr>
        <w:t>，不</w:t>
      </w:r>
      <w:r>
        <w:rPr>
          <w:rFonts w:ascii="仿宋_GB2312" w:hAnsi="Arial Narrow" w:eastAsia="仿宋_GB2312" w:cs="Arial"/>
          <w:sz w:val="28"/>
          <w:szCs w:val="30"/>
        </w:rPr>
        <w:t>可</w:t>
      </w:r>
      <w:r>
        <w:rPr>
          <w:rFonts w:hint="eastAsia" w:ascii="仿宋_GB2312" w:hAnsi="Arial Narrow" w:eastAsia="仿宋_GB2312" w:cs="Arial"/>
          <w:sz w:val="28"/>
          <w:szCs w:val="30"/>
        </w:rPr>
        <w:t>与选手讲话、</w:t>
      </w:r>
      <w:r>
        <w:rPr>
          <w:rFonts w:ascii="仿宋_GB2312" w:hAnsi="Arial Narrow" w:eastAsia="仿宋_GB2312" w:cs="Arial"/>
          <w:sz w:val="28"/>
          <w:szCs w:val="30"/>
        </w:rPr>
        <w:t>传</w:t>
      </w:r>
      <w:r>
        <w:rPr>
          <w:rFonts w:hint="eastAsia" w:ascii="仿宋_GB2312" w:hAnsi="Arial Narrow" w:eastAsia="仿宋_GB2312" w:cs="Arial"/>
          <w:sz w:val="28"/>
          <w:szCs w:val="30"/>
        </w:rPr>
        <w:t>递信息等</w:t>
      </w:r>
      <w:r>
        <w:rPr>
          <w:rFonts w:ascii="仿宋_GB2312" w:hAnsi="Arial Narrow" w:eastAsia="仿宋_GB2312" w:cs="Arial"/>
          <w:sz w:val="28"/>
          <w:szCs w:val="30"/>
        </w:rPr>
        <w:t>，需</w:t>
      </w:r>
      <w:r>
        <w:rPr>
          <w:rFonts w:hint="eastAsia" w:ascii="仿宋_GB2312" w:hAnsi="Arial Narrow" w:eastAsia="仿宋_GB2312" w:cs="Arial"/>
          <w:sz w:val="28"/>
          <w:szCs w:val="30"/>
        </w:rPr>
        <w:t>遵守赛</w:t>
      </w:r>
      <w:r>
        <w:rPr>
          <w:rFonts w:ascii="仿宋_GB2312" w:hAnsi="Arial Narrow" w:eastAsia="仿宋_GB2312" w:cs="Arial"/>
          <w:sz w:val="28"/>
          <w:szCs w:val="30"/>
        </w:rPr>
        <w:t>场</w:t>
      </w:r>
      <w:r>
        <w:rPr>
          <w:rFonts w:hint="eastAsia" w:ascii="仿宋_GB2312" w:hAnsi="Arial Narrow" w:eastAsia="仿宋_GB2312" w:cs="Arial"/>
          <w:sz w:val="28"/>
          <w:szCs w:val="30"/>
        </w:rPr>
        <w:t>纪律。</w:t>
      </w:r>
    </w:p>
    <w:p>
      <w:pPr>
        <w:pStyle w:val="2"/>
        <w:rPr>
          <w:rFonts w:ascii="Arial Narrow" w:hAnsi="Arial Narrow" w:eastAsia="仿宋_GB2312"/>
          <w:bCs w:val="0"/>
          <w:kern w:val="2"/>
          <w:sz w:val="30"/>
          <w:szCs w:val="30"/>
        </w:rPr>
      </w:pPr>
      <w:r>
        <w:rPr>
          <w:rFonts w:ascii="Arial Narrow" w:hAnsi="Arial Narrow" w:eastAsia="仿宋_GB2312"/>
          <w:bCs w:val="0"/>
          <w:kern w:val="2"/>
          <w:sz w:val="30"/>
          <w:szCs w:val="30"/>
        </w:rPr>
        <w:t>十八</w:t>
      </w:r>
      <w:r>
        <w:rPr>
          <w:rFonts w:hint="eastAsia" w:ascii="Arial Narrow" w:hAnsi="Arial Narrow" w:eastAsia="仿宋_GB2312"/>
          <w:bCs w:val="0"/>
          <w:kern w:val="2"/>
          <w:sz w:val="30"/>
          <w:szCs w:val="30"/>
        </w:rPr>
        <w:t>、其他</w:t>
      </w:r>
    </w:p>
    <w:p>
      <w:pPr>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1.</w:t>
      </w:r>
      <w:r>
        <w:rPr>
          <w:rFonts w:ascii="仿宋_GB2312" w:hAnsi="Arial Narrow" w:eastAsia="仿宋_GB2312" w:cs="Arial"/>
          <w:sz w:val="28"/>
          <w:szCs w:val="30"/>
        </w:rPr>
        <w:t xml:space="preserve"> </w:t>
      </w:r>
      <w:r>
        <w:rPr>
          <w:rFonts w:hint="eastAsia" w:ascii="仿宋_GB2312" w:hAnsi="Arial Narrow" w:eastAsia="仿宋_GB2312" w:cs="Arial"/>
          <w:sz w:val="28"/>
          <w:szCs w:val="30"/>
        </w:rPr>
        <w:t>大赛任何工作都不应该破坏赛场周边环境。</w:t>
      </w:r>
    </w:p>
    <w:p>
      <w:pPr>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2.</w:t>
      </w:r>
      <w:r>
        <w:rPr>
          <w:rFonts w:ascii="仿宋_GB2312" w:hAnsi="Arial Narrow" w:eastAsia="仿宋_GB2312" w:cs="Arial"/>
          <w:sz w:val="28"/>
          <w:szCs w:val="30"/>
        </w:rPr>
        <w:t xml:space="preserve"> </w:t>
      </w:r>
      <w:r>
        <w:rPr>
          <w:rFonts w:hint="eastAsia" w:ascii="仿宋_GB2312" w:hAnsi="Arial Narrow" w:eastAsia="仿宋_GB2312" w:cs="Arial"/>
          <w:sz w:val="28"/>
          <w:szCs w:val="30"/>
        </w:rPr>
        <w:t>提倡绿色环保的理念，所有可循环利用的材料都应分类处理和收集。</w:t>
      </w:r>
    </w:p>
    <w:p>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00000000" w:usb1="00000000" w:usb2="00000016" w:usb3="00000000" w:csb0="00040001" w:csb1="00000000"/>
  </w:font>
  <w:font w:name="Wingdings-Regular">
    <w:altName w:val="Times New Roman"/>
    <w:panose1 w:val="00000000000000000000"/>
    <w:charset w:val="00"/>
    <w:family w:val="roman"/>
    <w:pitch w:val="default"/>
    <w:sig w:usb0="00000000" w:usb1="00000000" w:usb2="00000000" w:usb3="00000000" w:csb0="00000000" w:csb1="00000000"/>
  </w:font>
  <w:font w:name="Arial Narrow">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00000000" w:usb1="00000000" w:usb2="00000016" w:usb3="00000000" w:csb0="00040001" w:csb1="00000000"/>
  </w:font>
  <w:font w:name="Calibri Light">
    <w:panose1 w:val="020F030202020403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D240C"/>
    <w:multiLevelType w:val="multilevel"/>
    <w:tmpl w:val="345D240C"/>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
    <w:nsid w:val="3C6362E8"/>
    <w:multiLevelType w:val="multilevel"/>
    <w:tmpl w:val="3C6362E8"/>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
    <w:nsid w:val="501CA863"/>
    <w:multiLevelType w:val="singleLevel"/>
    <w:tmpl w:val="501CA863"/>
    <w:lvl w:ilvl="0" w:tentative="0">
      <w:start w:val="4"/>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1"/>
    <w:qFormat/>
    <w:uiPriority w:val="0"/>
    <w:rPr>
      <w:b/>
      <w:bCs/>
    </w:rPr>
  </w:style>
  <w:style w:type="paragraph" w:styleId="4">
    <w:name w:val="annotation text"/>
    <w:basedOn w:val="1"/>
    <w:link w:val="18"/>
    <w:qFormat/>
    <w:uiPriority w:val="0"/>
    <w:pPr>
      <w:jc w:val="left"/>
    </w:pPr>
  </w:style>
  <w:style w:type="paragraph" w:styleId="5">
    <w:name w:val="Balloon Text"/>
    <w:basedOn w:val="1"/>
    <w:link w:val="19"/>
    <w:qFormat/>
    <w:uiPriority w:val="0"/>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snapToGrid w:val="0"/>
      <w:spacing w:line="540" w:lineRule="exact"/>
      <w:jc w:val="center"/>
    </w:pPr>
    <w:rPr>
      <w:rFonts w:ascii="黑体" w:hAnsi="黑体" w:eastAsia="黑体"/>
      <w:b/>
      <w:kern w:val="0"/>
      <w:sz w:val="36"/>
      <w:szCs w:val="36"/>
    </w:rPr>
  </w:style>
  <w:style w:type="character" w:styleId="10">
    <w:name w:val="annotation reference"/>
    <w:qFormat/>
    <w:uiPriority w:val="0"/>
    <w:rPr>
      <w:sz w:val="21"/>
      <w:szCs w:val="21"/>
    </w:rPr>
  </w:style>
  <w:style w:type="character" w:customStyle="1" w:styleId="12">
    <w:name w:val="页眉 字符"/>
    <w:link w:val="7"/>
    <w:qFormat/>
    <w:uiPriority w:val="0"/>
    <w:rPr>
      <w:rFonts w:ascii="Times New Roman" w:hAnsi="Times New Roman"/>
      <w:kern w:val="2"/>
      <w:sz w:val="18"/>
      <w:szCs w:val="18"/>
    </w:rPr>
  </w:style>
  <w:style w:type="character" w:customStyle="1" w:styleId="13">
    <w:name w:val="页脚 字符"/>
    <w:link w:val="6"/>
    <w:qFormat/>
    <w:uiPriority w:val="0"/>
    <w:rPr>
      <w:rFonts w:ascii="Times New Roman" w:hAnsi="Times New Roman"/>
      <w:kern w:val="2"/>
      <w:sz w:val="18"/>
      <w:szCs w:val="18"/>
    </w:rPr>
  </w:style>
  <w:style w:type="character" w:customStyle="1" w:styleId="14">
    <w:name w:val="标题 1 字符1"/>
    <w:link w:val="2"/>
    <w:qFormat/>
    <w:uiPriority w:val="0"/>
    <w:rPr>
      <w:rFonts w:ascii="Times New Roman" w:hAnsi="Times New Roman"/>
      <w:b/>
      <w:bCs/>
      <w:kern w:val="44"/>
      <w:sz w:val="44"/>
      <w:szCs w:val="44"/>
    </w:rPr>
  </w:style>
  <w:style w:type="paragraph" w:customStyle="1" w:styleId="15">
    <w:name w:val="彩色列表 - 着色 11"/>
    <w:basedOn w:val="1"/>
    <w:qFormat/>
    <w:uiPriority w:val="99"/>
    <w:pPr>
      <w:ind w:firstLine="420" w:firstLineChars="200"/>
    </w:pPr>
    <w:rPr>
      <w:rFonts w:ascii="Calibri" w:hAnsi="Calibri"/>
      <w:szCs w:val="24"/>
    </w:rPr>
  </w:style>
  <w:style w:type="character" w:customStyle="1" w:styleId="16">
    <w:name w:val="标题 1 字符"/>
    <w:qFormat/>
    <w:uiPriority w:val="0"/>
    <w:rPr>
      <w:rFonts w:ascii="Times New Roman" w:hAnsi="Times New Roman"/>
      <w:b/>
      <w:bCs/>
      <w:kern w:val="44"/>
      <w:sz w:val="44"/>
      <w:szCs w:val="44"/>
    </w:rPr>
  </w:style>
  <w:style w:type="character" w:customStyle="1" w:styleId="17">
    <w:name w:val="批注文字 Char"/>
    <w:qFormat/>
    <w:uiPriority w:val="0"/>
    <w:rPr>
      <w:rFonts w:ascii="Times New Roman" w:hAnsi="Times New Roman"/>
      <w:kern w:val="2"/>
      <w:sz w:val="21"/>
      <w:szCs w:val="22"/>
    </w:rPr>
  </w:style>
  <w:style w:type="character" w:customStyle="1" w:styleId="18">
    <w:name w:val="批注文字 字符"/>
    <w:link w:val="4"/>
    <w:qFormat/>
    <w:uiPriority w:val="0"/>
    <w:rPr>
      <w:rFonts w:ascii="Times New Roman" w:hAnsi="Times New Roman"/>
      <w:kern w:val="2"/>
      <w:sz w:val="21"/>
      <w:szCs w:val="22"/>
    </w:rPr>
  </w:style>
  <w:style w:type="character" w:customStyle="1" w:styleId="19">
    <w:name w:val="批注框文本 字符"/>
    <w:link w:val="5"/>
    <w:qFormat/>
    <w:uiPriority w:val="0"/>
    <w:rPr>
      <w:rFonts w:ascii="Times New Roman" w:hAnsi="Times New Roman"/>
      <w:kern w:val="2"/>
      <w:sz w:val="18"/>
      <w:szCs w:val="18"/>
    </w:rPr>
  </w:style>
  <w:style w:type="paragraph" w:customStyle="1" w:styleId="20">
    <w:name w:val="修订1"/>
    <w:hidden/>
    <w:unhideWhenUsed/>
    <w:qFormat/>
    <w:uiPriority w:val="99"/>
    <w:rPr>
      <w:rFonts w:ascii="Times New Roman" w:hAnsi="Times New Roman" w:eastAsia="宋体" w:cs="Times New Roman"/>
      <w:kern w:val="2"/>
      <w:sz w:val="21"/>
      <w:szCs w:val="22"/>
      <w:lang w:val="en-US" w:eastAsia="zh-CN" w:bidi="ar-SA"/>
    </w:rPr>
  </w:style>
  <w:style w:type="character" w:customStyle="1" w:styleId="21">
    <w:name w:val="批注主题 字符"/>
    <w:link w:val="3"/>
    <w:qFormat/>
    <w:uiPriority w:val="0"/>
    <w:rPr>
      <w:rFonts w:ascii="Times New Roman" w:hAnsi="Times New Roman"/>
      <w:b/>
      <w:bCs/>
      <w:kern w:val="2"/>
      <w:sz w:val="21"/>
      <w:szCs w:val="22"/>
    </w:rPr>
  </w:style>
  <w:style w:type="character" w:customStyle="1" w:styleId="22">
    <w:name w:val="fontstyle01"/>
    <w:qFormat/>
    <w:uiPriority w:val="0"/>
    <w:rPr>
      <w:rFonts w:hint="eastAsia" w:ascii="仿宋" w:hAnsi="仿宋" w:eastAsia="仿宋"/>
      <w:color w:val="000000"/>
      <w:sz w:val="30"/>
      <w:szCs w:val="30"/>
    </w:rPr>
  </w:style>
  <w:style w:type="character" w:customStyle="1" w:styleId="23">
    <w:name w:val="fontstyle21"/>
    <w:qFormat/>
    <w:uiPriority w:val="0"/>
    <w:rPr>
      <w:rFonts w:hint="default" w:ascii="Wingdings-Regular" w:hAnsi="Wingdings-Regular"/>
      <w:color w:val="00000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10399</Words>
  <Characters>1167</Characters>
  <Lines>9</Lines>
  <Paragraphs>23</Paragraphs>
  <TotalTime>0</TotalTime>
  <ScaleCrop>false</ScaleCrop>
  <LinksUpToDate>false</LinksUpToDate>
  <CharactersWithSpaces>11543</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2021-08-13T13:30:00Z</dcterms:created>
  <dc:creator>wang yideng</dc:creator>
  <cp:lastModifiedBy>李献锐的 iPhone</cp:lastModifiedBy>
  <dcterms:modified xsi:type="dcterms:W3CDTF">2024-03-16T10:18:02Z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vt:lpwstr>
  </property>
  <property fmtid="{D5CDD505-2E9C-101B-9397-08002B2CF9AE}" pid="3" name="ICV">
    <vt:lpwstr>BBAA0E80FCEE408FB408B0000610D643_12</vt:lpwstr>
  </property>
</Properties>
</file>