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楷体" w:hAnsi="楷体" w:eastAsia="楷体" w:cs="楷体"/>
          <w:sz w:val="52"/>
          <w:szCs w:val="52"/>
        </w:rPr>
      </w:pPr>
      <w:r>
        <w:rPr>
          <w:rFonts w:hint="eastAsia" w:ascii="楷体" w:hAnsi="楷体" w:eastAsia="楷体" w:cs="楷体"/>
          <w:sz w:val="52"/>
          <w:szCs w:val="52"/>
        </w:rPr>
        <w:t>河北省职业院校技能大赛</w:t>
      </w:r>
    </w:p>
    <w:p>
      <w:pPr>
        <w:jc w:val="center"/>
        <w:rPr>
          <w:rFonts w:ascii="楷体" w:hAnsi="楷体" w:eastAsia="楷体" w:cs="楷体"/>
          <w:sz w:val="52"/>
          <w:szCs w:val="52"/>
        </w:rPr>
      </w:pPr>
      <w:r>
        <w:rPr>
          <w:rFonts w:hint="eastAsia" w:ascii="楷体" w:hAnsi="楷体" w:eastAsia="楷体" w:cs="楷体"/>
          <w:sz w:val="52"/>
          <w:szCs w:val="52"/>
        </w:rPr>
        <w:t>《数字金融投资规划》赛项规程</w:t>
      </w:r>
    </w:p>
    <w:p/>
    <w:p/>
    <w:p/>
    <w:p/>
    <w:p/>
    <w:p/>
    <w:p/>
    <w:p>
      <w:pPr>
        <w:jc w:val="center"/>
        <w:rPr>
          <w:rFonts w:ascii="楷体" w:hAnsi="楷体" w:eastAsia="楷体" w:cs="楷体"/>
          <w:sz w:val="52"/>
          <w:szCs w:val="52"/>
        </w:rPr>
      </w:pPr>
      <w:r>
        <w:rPr>
          <w:rFonts w:hint="eastAsia" w:ascii="楷体" w:hAnsi="楷体" w:eastAsia="楷体" w:cs="楷体"/>
          <w:sz w:val="52"/>
          <w:szCs w:val="52"/>
        </w:rPr>
        <w:t>竞赛组委会编制</w:t>
      </w:r>
    </w:p>
    <w:p>
      <w:pPr>
        <w:jc w:val="center"/>
        <w:rPr>
          <w:rFonts w:ascii="楷体" w:hAnsi="楷体" w:eastAsia="楷体" w:cs="楷体"/>
          <w:sz w:val="52"/>
          <w:szCs w:val="52"/>
        </w:rPr>
      </w:pPr>
      <w:r>
        <w:rPr>
          <w:rFonts w:hint="eastAsia" w:ascii="楷体" w:hAnsi="楷体" w:eastAsia="楷体" w:cs="楷体"/>
          <w:sz w:val="52"/>
          <w:szCs w:val="52"/>
        </w:rPr>
        <w:t>2024年4月</w:t>
      </w:r>
    </w:p>
    <w:p>
      <w:pPr>
        <w:spacing w:line="240" w:lineRule="auto"/>
        <w:jc w:val="center"/>
        <w:rPr>
          <w:rFonts w:ascii="方正小标宋_GBK" w:eastAsia="方正小标宋_GBK"/>
          <w:sz w:val="44"/>
          <w:szCs w:val="44"/>
        </w:rPr>
      </w:pPr>
    </w:p>
    <w:p>
      <w:pPr>
        <w:pStyle w:val="2"/>
        <w:spacing w:before="156" w:after="156"/>
        <w:ind w:firstLine="643"/>
        <w:sectPr>
          <w:footerReference r:id="rId3" w:type="first"/>
          <w:pgSz w:w="11906" w:h="16838"/>
          <w:pgMar w:top="1701" w:right="1474" w:bottom="1701" w:left="1588" w:header="851" w:footer="964" w:gutter="0"/>
          <w:pgNumType w:start="0"/>
          <w:cols w:space="425" w:num="1"/>
          <w:titlePg/>
          <w:docGrid w:type="lines" w:linePitch="312" w:charSpace="0"/>
        </w:sectPr>
      </w:pPr>
    </w:p>
    <w:p>
      <w:pPr>
        <w:spacing w:line="240" w:lineRule="auto"/>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目 录</w:t>
      </w:r>
    </w:p>
    <w:sdt>
      <w:sdtPr>
        <w:rPr>
          <w:rFonts w:ascii="宋体" w:hAnsi="宋体"/>
        </w:rPr>
        <w:id w:val="147475290"/>
        <w15:color w:val="DBDBDB"/>
        <w:docPartObj>
          <w:docPartGallery w:val="Table of Contents"/>
          <w:docPartUnique/>
        </w:docPartObj>
      </w:sdtPr>
      <w:sdtEndPr>
        <w:rPr>
          <w:rFonts w:ascii="楷体_GB2312" w:hAnsi="Calibri" w:eastAsia="楷体_GB2312"/>
          <w:szCs w:val="32"/>
        </w:rPr>
      </w:sdtEndPr>
      <w:sdtContent>
        <w:p>
          <w:pPr>
            <w:spacing w:line="240" w:lineRule="auto"/>
            <w:jc w:val="center"/>
          </w:pPr>
        </w:p>
        <w:p>
          <w:pPr>
            <w:pStyle w:val="12"/>
            <w:tabs>
              <w:tab w:val="right" w:leader="dot" w:pos="8844"/>
            </w:tabs>
            <w:rPr>
              <w:rFonts w:ascii="宋体" w:hAnsi="宋体" w:cs="宋体"/>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fldChar w:fldCharType="begin"/>
          </w:r>
          <w:r>
            <w:instrText xml:space="preserve"> HYPERLINK \l "_Toc9320" </w:instrText>
          </w:r>
          <w:r>
            <w:fldChar w:fldCharType="separate"/>
          </w:r>
          <w:r>
            <w:rPr>
              <w:rFonts w:hint="eastAsia" w:ascii="宋体" w:hAnsi="宋体" w:cs="宋体"/>
              <w:sz w:val="28"/>
              <w:szCs w:val="28"/>
            </w:rPr>
            <w:t>一、竞赛名称</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_Toc9320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"_Toc30336" </w:instrText>
          </w:r>
          <w:r>
            <w:fldChar w:fldCharType="separate"/>
          </w:r>
          <w:r>
            <w:rPr>
              <w:rFonts w:hint="eastAsia" w:ascii="宋体" w:hAnsi="宋体" w:cs="宋体"/>
              <w:sz w:val="28"/>
              <w:szCs w:val="28"/>
            </w:rPr>
            <w:t>二、竞赛内容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_Toc30336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"_Toc1249" </w:instrText>
          </w:r>
          <w:r>
            <w:fldChar w:fldCharType="separate"/>
          </w:r>
          <w:r>
            <w:rPr>
              <w:rFonts w:hint="eastAsia" w:ascii="宋体" w:hAnsi="宋体" w:cs="宋体"/>
              <w:sz w:val="28"/>
              <w:szCs w:val="28"/>
            </w:rPr>
            <w:t>三、竞赛赛卷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_Toc1249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"_Toc25588" </w:instrText>
          </w:r>
          <w:r>
            <w:fldChar w:fldCharType="separate"/>
          </w:r>
          <w:r>
            <w:rPr>
              <w:rFonts w:hint="eastAsia" w:ascii="宋体" w:hAnsi="宋体" w:cs="宋体"/>
              <w:sz w:val="28"/>
              <w:szCs w:val="28"/>
            </w:rPr>
            <w:t>四、参赛要求和竞赛方式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_Toc25588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"_Toc8071" </w:instrText>
          </w:r>
          <w:r>
            <w:fldChar w:fldCharType="separate"/>
          </w:r>
          <w:r>
            <w:rPr>
              <w:rFonts w:hint="eastAsia" w:ascii="宋体" w:hAnsi="宋体" w:cs="宋体"/>
              <w:sz w:val="28"/>
              <w:szCs w:val="28"/>
            </w:rPr>
            <w:t>五、评分标准与奖项设置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_Toc8071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"_Toc15389" </w:instrText>
          </w:r>
          <w:r>
            <w:fldChar w:fldCharType="separate"/>
          </w:r>
          <w:r>
            <w:rPr>
              <w:rFonts w:hint="eastAsia" w:ascii="宋体" w:hAnsi="宋体" w:cs="宋体"/>
              <w:sz w:val="28"/>
              <w:szCs w:val="28"/>
            </w:rPr>
            <w:t>六、竞赛日程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_Toc15389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"_Toc11098" </w:instrText>
          </w:r>
          <w:r>
            <w:fldChar w:fldCharType="separate"/>
          </w:r>
          <w:r>
            <w:rPr>
              <w:rFonts w:hint="eastAsia" w:ascii="宋体" w:hAnsi="宋体" w:cs="宋体"/>
              <w:sz w:val="28"/>
              <w:szCs w:val="28"/>
            </w:rPr>
            <w:t>七、竞赛实施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_Toc11098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"_Toc13779" </w:instrText>
          </w:r>
          <w:r>
            <w:fldChar w:fldCharType="separate"/>
          </w:r>
          <w:r>
            <w:rPr>
              <w:rFonts w:hint="eastAsia" w:ascii="宋体" w:hAnsi="宋体" w:cs="宋体"/>
              <w:sz w:val="28"/>
              <w:szCs w:val="28"/>
            </w:rPr>
            <w:t>八、竞赛环境</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_Toc13779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"_Toc22602" </w:instrText>
          </w:r>
          <w:r>
            <w:fldChar w:fldCharType="separate"/>
          </w:r>
          <w:r>
            <w:rPr>
              <w:rFonts w:hint="eastAsia" w:ascii="宋体" w:hAnsi="宋体" w:cs="宋体"/>
              <w:sz w:val="28"/>
              <w:szCs w:val="28"/>
            </w:rPr>
            <w:t>九、技术应用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_Toc22602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"_Toc3058" </w:instrText>
          </w:r>
          <w:r>
            <w:fldChar w:fldCharType="separate"/>
          </w:r>
          <w:r>
            <w:rPr>
              <w:rFonts w:hint="eastAsia" w:ascii="宋体" w:hAnsi="宋体" w:cs="宋体"/>
              <w:sz w:val="28"/>
              <w:szCs w:val="28"/>
            </w:rPr>
            <w:t>十、申诉与仲裁</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_Toc3058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rPr>
              <w:rFonts w:ascii="宋体" w:hAnsi="宋体" w:cs="宋体"/>
              <w:sz w:val="28"/>
              <w:szCs w:val="28"/>
            </w:rPr>
          </w:pPr>
          <w:r>
            <w:fldChar w:fldCharType="begin"/>
          </w:r>
          <w:r>
            <w:instrText xml:space="preserve"> HYPERLINK \l "_Toc15806" </w:instrText>
          </w:r>
          <w:r>
            <w:fldChar w:fldCharType="separate"/>
          </w:r>
          <w:r>
            <w:rPr>
              <w:rFonts w:hint="eastAsia" w:ascii="宋体" w:hAnsi="宋体" w:cs="宋体"/>
              <w:sz w:val="28"/>
              <w:szCs w:val="28"/>
            </w:rPr>
            <w:t>十一、竞赛须知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_Toc15806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pPr>
            <w:pStyle w:val="12"/>
            <w:tabs>
              <w:tab w:val="right" w:leader="dot" w:pos="8844"/>
            </w:tabs>
          </w:pPr>
          <w:r>
            <w:fldChar w:fldCharType="begin"/>
          </w:r>
          <w:r>
            <w:instrText xml:space="preserve"> HYPERLINK \l "_Toc10303" </w:instrText>
          </w:r>
          <w:r>
            <w:fldChar w:fldCharType="separate"/>
          </w:r>
          <w:r>
            <w:rPr>
              <w:rFonts w:hint="eastAsia" w:ascii="宋体" w:hAnsi="宋体" w:cs="宋体"/>
              <w:sz w:val="28"/>
              <w:szCs w:val="28"/>
            </w:rPr>
            <w:t>十二、安全与健康保障工作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_Toc10303 \h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fldChar w:fldCharType="end"/>
          </w:r>
        </w:p>
        <w:p>
          <w:pPr>
            <w:tabs>
              <w:tab w:val="left" w:leader="middleDot" w:pos="8469"/>
            </w:tabs>
            <w:spacing w:line="640" w:lineRule="exact"/>
            <w:rPr>
              <w:rFonts w:ascii="楷体_GB2312" w:eastAsia="楷体_GB2312"/>
              <w:sz w:val="32"/>
              <w:szCs w:val="32"/>
            </w:rPr>
          </w:pPr>
          <w:r>
            <w:rPr>
              <w:rFonts w:hint="eastAsia" w:ascii="宋体" w:hAnsi="宋体" w:cs="宋体"/>
              <w:szCs w:val="30"/>
            </w:rPr>
            <w:fldChar w:fldCharType="end"/>
          </w:r>
        </w:p>
      </w:sdtContent>
    </w:sdt>
    <w:p>
      <w:pPr>
        <w:pStyle w:val="2"/>
        <w:spacing w:before="156" w:after="156"/>
        <w:ind w:firstLine="643"/>
        <w:rPr>
          <w:rFonts w:ascii="楷体_GB2312" w:eastAsia="楷体_GB2312"/>
        </w:rPr>
      </w:pPr>
    </w:p>
    <w:p>
      <w:pPr>
        <w:sectPr>
          <w:pgSz w:w="11906" w:h="16838"/>
          <w:pgMar w:top="1701" w:right="1474" w:bottom="1701" w:left="1588" w:header="851" w:footer="964" w:gutter="0"/>
          <w:pgNumType w:start="0"/>
          <w:cols w:space="425" w:num="1"/>
          <w:titlePg/>
          <w:docGrid w:type="lines" w:linePitch="312" w:charSpace="0"/>
        </w:sectPr>
      </w:pPr>
    </w:p>
    <w:p>
      <w:pPr>
        <w:pStyle w:val="4"/>
        <w:spacing w:before="0" w:after="156" w:afterLines="50" w:line="580" w:lineRule="exact"/>
        <w:ind w:firstLine="640" w:firstLineChars="200"/>
        <w:jc w:val="both"/>
        <w:rPr>
          <w:rFonts w:ascii="黑体" w:eastAsia="黑体"/>
          <w:b w:val="0"/>
          <w:sz w:val="32"/>
        </w:rPr>
      </w:pPr>
      <w:bookmarkStart w:id="0" w:name="_Toc9320"/>
      <w:r>
        <w:rPr>
          <w:rFonts w:hint="eastAsia" w:ascii="黑体" w:eastAsia="黑体"/>
          <w:b w:val="0"/>
          <w:sz w:val="32"/>
        </w:rPr>
        <w:drawing>
          <wp:anchor distT="0" distB="0" distL="114300" distR="114300" simplePos="0" relativeHeight="251660288" behindDoc="0" locked="0" layoutInCell="1" allowOverlap="1">
            <wp:simplePos x="0" y="0"/>
            <wp:positionH relativeFrom="column">
              <wp:posOffset>-277495</wp:posOffset>
            </wp:positionH>
            <wp:positionV relativeFrom="paragraph">
              <wp:posOffset>9084310</wp:posOffset>
            </wp:positionV>
            <wp:extent cx="1227455" cy="427355"/>
            <wp:effectExtent l="1905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8"/>
                    <a:srcRect/>
                    <a:stretch>
                      <a:fillRect/>
                    </a:stretch>
                  </pic:blipFill>
                  <pic:spPr>
                    <a:xfrm>
                      <a:off x="0" y="0"/>
                      <a:ext cx="1227455" cy="427355"/>
                    </a:xfrm>
                    <a:prstGeom prst="rect">
                      <a:avLst/>
                    </a:prstGeom>
                    <a:noFill/>
                    <a:ln w="9525">
                      <a:noFill/>
                      <a:miter lim="800000"/>
                      <a:headEnd/>
                      <a:tailEnd/>
                    </a:ln>
                  </pic:spPr>
                </pic:pic>
              </a:graphicData>
            </a:graphic>
          </wp:anchor>
        </w:drawing>
      </w:r>
      <w:bookmarkStart w:id="1" w:name="_Toc66894931"/>
      <w:r>
        <w:rPr>
          <w:rFonts w:hint="eastAsia" w:ascii="黑体" w:eastAsia="黑体"/>
          <w:b w:val="0"/>
          <w:sz w:val="32"/>
        </w:rPr>
        <w:t>一、竞赛名称</w:t>
      </w:r>
      <w:bookmarkEnd w:id="0"/>
      <w:bookmarkEnd w:id="1"/>
    </w:p>
    <w:p>
      <w:pPr>
        <w:autoSpaceDE w:val="0"/>
        <w:autoSpaceDN w:val="0"/>
        <w:ind w:firstLine="640" w:firstLineChars="200"/>
        <w:jc w:val="both"/>
        <w:rPr>
          <w:rFonts w:ascii="仿宋_GB2312" w:eastAsia="仿宋_GB2312" w:cs="仿宋" w:hAnsiTheme="minorEastAsia"/>
          <w:sz w:val="32"/>
          <w:szCs w:val="32"/>
        </w:rPr>
      </w:pPr>
      <w:bookmarkStart w:id="2" w:name="_Hlk117428983"/>
      <w:r>
        <w:rPr>
          <w:rFonts w:hint="eastAsia" w:ascii="仿宋_GB2312" w:eastAsia="仿宋_GB2312" w:cs="仿宋" w:hAnsiTheme="minorEastAsia"/>
          <w:sz w:val="32"/>
          <w:szCs w:val="32"/>
        </w:rPr>
        <w:t>赛项名称：数字金融投资规划</w:t>
      </w:r>
      <w:bookmarkEnd w:id="2"/>
    </w:p>
    <w:p>
      <w:pPr>
        <w:autoSpaceDE w:val="0"/>
        <w:autoSpaceDN w:val="0"/>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赛项组别：高职组</w:t>
      </w:r>
    </w:p>
    <w:p>
      <w:pPr>
        <w:autoSpaceDE w:val="0"/>
        <w:autoSpaceDN w:val="0"/>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赛项专业大类：财经商贸大类</w:t>
      </w:r>
    </w:p>
    <w:p>
      <w:pPr>
        <w:pStyle w:val="4"/>
        <w:spacing w:before="0" w:after="156" w:afterLines="50" w:line="580" w:lineRule="exact"/>
        <w:ind w:firstLine="640" w:firstLineChars="200"/>
        <w:jc w:val="both"/>
        <w:rPr>
          <w:rFonts w:ascii="黑体" w:eastAsia="黑体"/>
          <w:b w:val="0"/>
          <w:sz w:val="32"/>
        </w:rPr>
      </w:pPr>
      <w:bookmarkStart w:id="3" w:name="_Toc30336"/>
      <w:bookmarkStart w:id="4" w:name="_Toc66894932"/>
      <w:r>
        <w:rPr>
          <w:rFonts w:hint="eastAsia" w:ascii="黑体" w:eastAsia="黑体"/>
          <w:b w:val="0"/>
          <w:sz w:val="32"/>
        </w:rPr>
        <w:t>二、竞赛内容</w:t>
      </w:r>
      <w:bookmarkEnd w:id="3"/>
      <w:bookmarkEnd w:id="4"/>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（一）竞赛目标</w:t>
      </w:r>
    </w:p>
    <w:p>
      <w:pPr>
        <w:widowControl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党</w:t>
      </w:r>
      <w:r>
        <w:rPr>
          <w:rFonts w:hint="eastAsia" w:ascii="仿宋_GB2312" w:eastAsia="仿宋_GB2312" w:cs="仿宋" w:hAnsiTheme="minorEastAsia"/>
          <w:sz w:val="32"/>
          <w:szCs w:val="32"/>
        </w:rPr>
        <w:t>的</w:t>
      </w:r>
      <w:r>
        <w:rPr>
          <w:rFonts w:ascii="仿宋_GB2312" w:eastAsia="仿宋_GB2312" w:cs="仿宋" w:hAnsiTheme="minorEastAsia"/>
          <w:sz w:val="32"/>
          <w:szCs w:val="32"/>
        </w:rPr>
        <w:t>二十大报告</w:t>
      </w:r>
      <w:r>
        <w:rPr>
          <w:rFonts w:hint="eastAsia" w:ascii="仿宋_GB2312" w:eastAsia="仿宋_GB2312" w:cs="仿宋" w:hAnsiTheme="minorEastAsia"/>
          <w:sz w:val="32"/>
          <w:szCs w:val="32"/>
        </w:rPr>
        <w:t>“实施科教兴国战略，强化现代化建设人才支撑”精神，提高教育服务建设现代化经济体系和实现更高质量更充分就业需要，加强金融行业应用型、技术技能型人才培养，推进普通</w:t>
      </w:r>
      <w:r>
        <w:rPr>
          <w:rFonts w:ascii="仿宋_GB2312" w:eastAsia="仿宋_GB2312" w:cs="仿宋" w:hAnsiTheme="minorEastAsia"/>
          <w:sz w:val="32"/>
          <w:szCs w:val="32"/>
        </w:rPr>
        <w:t>高校金融</w:t>
      </w:r>
      <w:r>
        <w:rPr>
          <w:rFonts w:hint="eastAsia" w:ascii="仿宋_GB2312" w:eastAsia="仿宋_GB2312" w:cs="仿宋" w:hAnsiTheme="minorEastAsia"/>
          <w:sz w:val="32"/>
          <w:szCs w:val="32"/>
        </w:rPr>
        <w:t>专业建设和教学改革，检验</w:t>
      </w:r>
      <w:r>
        <w:rPr>
          <w:rFonts w:ascii="仿宋_GB2312" w:eastAsia="仿宋_GB2312" w:cs="仿宋" w:hAnsiTheme="minorEastAsia"/>
          <w:sz w:val="32"/>
          <w:szCs w:val="32"/>
        </w:rPr>
        <w:t>实践教学成果，</w:t>
      </w:r>
      <w:r>
        <w:rPr>
          <w:rFonts w:hint="eastAsia" w:ascii="仿宋_GB2312" w:eastAsia="仿宋_GB2312" w:cs="仿宋" w:hAnsiTheme="minorEastAsia"/>
          <w:sz w:val="32"/>
          <w:szCs w:val="32"/>
        </w:rPr>
        <w:t>促进产教融合、校企合作，加强信息化手段和计算机仿真技术在教学中的应用，通过赛项设立充分发挥大赛的引领作用，使金融教育更好地对接金融行业的新技术、新业态、新模式和新理念，促进金融国家战略性新兴产业的跨越式发展。</w:t>
      </w:r>
    </w:p>
    <w:p>
      <w:pPr>
        <w:widowControl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根据金融行业技术发展路径及对金融人才发展提出的能力新要求，以提升数字金融投资规划与运营能力为目标，综合考察竞赛选手对金融知识、投资规划、基金运营管理等综合能力，竞赛支持金融类学生及教职工参加。</w:t>
      </w:r>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（二）竞赛内容</w:t>
      </w:r>
    </w:p>
    <w:p>
      <w:pPr>
        <w:ind w:firstLine="480" w:firstLineChars="150"/>
        <w:rPr>
          <w:rFonts w:ascii="仿宋_GB2312" w:eastAsia="仿宋_GB2312" w:cs="仿宋_GB2312"/>
          <w:b/>
          <w:kern w:val="0"/>
          <w:sz w:val="32"/>
          <w:szCs w:val="32"/>
        </w:rPr>
      </w:pPr>
      <w:r>
        <w:rPr>
          <w:rFonts w:hint="eastAsia" w:ascii="仿宋_GB2312" w:eastAsia="仿宋_GB2312" w:cs="仿宋_GB2312"/>
          <w:kern w:val="0"/>
          <w:sz w:val="32"/>
          <w:szCs w:val="32"/>
        </w:rPr>
        <w:t>竞赛内容包括“数字金融职业素养测试”“数字金融</w:t>
      </w:r>
      <w:r>
        <w:rPr>
          <w:rFonts w:ascii="仿宋_GB2312" w:eastAsia="仿宋_GB2312" w:cs="仿宋_GB2312"/>
          <w:kern w:val="0"/>
          <w:sz w:val="32"/>
          <w:szCs w:val="32"/>
        </w:rPr>
        <w:t>理财规划</w:t>
      </w:r>
      <w:r>
        <w:rPr>
          <w:rFonts w:hint="eastAsia" w:ascii="仿宋_GB2312" w:eastAsia="仿宋_GB2312" w:cs="仿宋_GB2312"/>
          <w:kern w:val="0"/>
          <w:sz w:val="32"/>
          <w:szCs w:val="32"/>
        </w:rPr>
        <w:t>实操”“数字金融路演汇报”三大模块。本竞赛项目所有参赛选手均需团队配合完成，团队总分合计满分为300分。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2181"/>
        <w:gridCol w:w="170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比赛模块</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选手</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分值</w:t>
            </w:r>
          </w:p>
        </w:tc>
        <w:tc>
          <w:tcPr>
            <w:tcW w:w="1199"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数字金融职业素养测试</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三名选手均需参加</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100（取三位选手的平均分）</w:t>
            </w:r>
          </w:p>
        </w:tc>
        <w:tc>
          <w:tcPr>
            <w:tcW w:w="1199" w:type="dxa"/>
            <w:vMerge w:val="restart"/>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3</w:t>
            </w:r>
            <w:r>
              <w:rPr>
                <w:rFonts w:ascii="仿宋_GB2312" w:eastAsia="仿宋_GB2312" w:cs="仿宋_GB2312"/>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数字金融理财规划实操</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三名选手均需参加</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100（取三位选手的平均分）</w:t>
            </w:r>
          </w:p>
        </w:tc>
        <w:tc>
          <w:tcPr>
            <w:tcW w:w="1199" w:type="dxa"/>
            <w:vMerge w:val="continue"/>
            <w:vAlign w:val="center"/>
          </w:tcPr>
          <w:p>
            <w:pPr>
              <w:jc w:val="center"/>
              <w:rPr>
                <w:rFonts w:asci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数字金融路演汇报</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选派一名选手参加</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w:t>
            </w:r>
          </w:p>
        </w:tc>
        <w:tc>
          <w:tcPr>
            <w:tcW w:w="1199" w:type="dxa"/>
            <w:vMerge w:val="continue"/>
            <w:vAlign w:val="center"/>
          </w:tcPr>
          <w:p>
            <w:pPr>
              <w:jc w:val="center"/>
              <w:rPr>
                <w:rFonts w:ascii="仿宋_GB2312" w:eastAsia="仿宋_GB2312" w:cs="仿宋_GB2312"/>
                <w:kern w:val="0"/>
                <w:sz w:val="24"/>
                <w:szCs w:val="24"/>
              </w:rPr>
            </w:pPr>
          </w:p>
        </w:tc>
      </w:tr>
    </w:tbl>
    <w:p/>
    <w:p>
      <w:pPr>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1、数字金融职业</w:t>
      </w:r>
      <w:r>
        <w:rPr>
          <w:rFonts w:ascii="仿宋_GB2312" w:eastAsia="仿宋_GB2312" w:cs="仿宋_GB2312"/>
          <w:b/>
          <w:kern w:val="0"/>
          <w:sz w:val="32"/>
          <w:szCs w:val="32"/>
        </w:rPr>
        <w:t>素养</w:t>
      </w:r>
      <w:r>
        <w:rPr>
          <w:rFonts w:hint="eastAsia" w:ascii="仿宋_GB2312" w:eastAsia="仿宋_GB2312" w:cs="仿宋_GB2312"/>
          <w:b/>
          <w:kern w:val="0"/>
          <w:sz w:val="32"/>
          <w:szCs w:val="32"/>
        </w:rPr>
        <w:t>测试</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“职业素养”主要</w:t>
      </w:r>
      <w:r>
        <w:rPr>
          <w:rFonts w:ascii="仿宋_GB2312" w:eastAsia="仿宋_GB2312" w:cs="仿宋_GB2312"/>
          <w:kern w:val="0"/>
          <w:sz w:val="32"/>
          <w:szCs w:val="32"/>
        </w:rPr>
        <w:t>考核选手对</w:t>
      </w:r>
      <w:r>
        <w:rPr>
          <w:rFonts w:hint="eastAsia" w:ascii="仿宋_GB2312" w:eastAsia="仿宋_GB2312" w:cs="仿宋_GB2312"/>
          <w:kern w:val="0"/>
          <w:sz w:val="32"/>
          <w:szCs w:val="32"/>
        </w:rPr>
        <w:t>数字金融</w:t>
      </w:r>
      <w:r>
        <w:rPr>
          <w:rFonts w:ascii="仿宋_GB2312" w:eastAsia="仿宋_GB2312" w:cs="仿宋_GB2312"/>
          <w:kern w:val="0"/>
          <w:sz w:val="32"/>
          <w:szCs w:val="32"/>
        </w:rPr>
        <w:t>相关基础知识，</w:t>
      </w:r>
      <w:r>
        <w:rPr>
          <w:rFonts w:hint="eastAsia" w:ascii="仿宋_GB2312" w:eastAsia="仿宋_GB2312" w:cs="仿宋_GB2312"/>
          <w:kern w:val="0"/>
          <w:sz w:val="32"/>
          <w:szCs w:val="32"/>
        </w:rPr>
        <w:t>以</w:t>
      </w:r>
      <w:r>
        <w:rPr>
          <w:rFonts w:ascii="仿宋_GB2312" w:eastAsia="仿宋_GB2312" w:cs="仿宋_GB2312"/>
          <w:kern w:val="0"/>
          <w:sz w:val="32"/>
          <w:szCs w:val="32"/>
        </w:rPr>
        <w:t>客观题</w:t>
      </w:r>
      <w:r>
        <w:rPr>
          <w:rFonts w:hint="eastAsia" w:ascii="仿宋_GB2312" w:eastAsia="仿宋_GB2312" w:cs="仿宋_GB2312"/>
          <w:kern w:val="0"/>
          <w:sz w:val="32"/>
          <w:szCs w:val="32"/>
        </w:rPr>
        <w:t>的</w:t>
      </w:r>
      <w:r>
        <w:rPr>
          <w:rFonts w:ascii="仿宋_GB2312" w:eastAsia="仿宋_GB2312" w:cs="仿宋_GB2312"/>
          <w:kern w:val="0"/>
          <w:sz w:val="32"/>
          <w:szCs w:val="32"/>
        </w:rPr>
        <w:t>赛题形式</w:t>
      </w:r>
      <w:r>
        <w:rPr>
          <w:rFonts w:hint="eastAsia" w:ascii="仿宋_GB2312" w:eastAsia="仿宋_GB2312" w:cs="仿宋_GB2312"/>
          <w:kern w:val="0"/>
          <w:sz w:val="32"/>
          <w:szCs w:val="32"/>
        </w:rPr>
        <w:t>，</w:t>
      </w:r>
      <w:r>
        <w:rPr>
          <w:rFonts w:ascii="仿宋_GB2312" w:eastAsia="仿宋_GB2312" w:cs="仿宋_GB2312"/>
          <w:kern w:val="0"/>
          <w:sz w:val="32"/>
          <w:szCs w:val="32"/>
        </w:rPr>
        <w:t>具体知识涵盖：</w:t>
      </w:r>
      <w:r>
        <w:rPr>
          <w:rFonts w:hint="eastAsia" w:ascii="仿宋_GB2312" w:eastAsia="仿宋_GB2312" w:cs="仿宋_GB2312"/>
          <w:kern w:val="0"/>
          <w:sz w:val="32"/>
          <w:szCs w:val="32"/>
        </w:rPr>
        <w:t>大数据金融、区块链</w:t>
      </w:r>
      <w:r>
        <w:rPr>
          <w:rFonts w:ascii="仿宋_GB2312" w:eastAsia="仿宋_GB2312" w:cs="仿宋_GB2312"/>
          <w:kern w:val="0"/>
          <w:sz w:val="32"/>
          <w:szCs w:val="32"/>
        </w:rPr>
        <w:t>金融</w:t>
      </w:r>
      <w:r>
        <w:rPr>
          <w:rFonts w:hint="eastAsia" w:ascii="仿宋_GB2312" w:eastAsia="仿宋_GB2312" w:cs="仿宋_GB2312"/>
          <w:kern w:val="0"/>
          <w:sz w:val="32"/>
          <w:szCs w:val="32"/>
        </w:rPr>
        <w:t>、供应链</w:t>
      </w:r>
      <w:r>
        <w:rPr>
          <w:rFonts w:ascii="仿宋_GB2312" w:eastAsia="仿宋_GB2312" w:cs="仿宋_GB2312"/>
          <w:kern w:val="0"/>
          <w:sz w:val="32"/>
          <w:szCs w:val="32"/>
        </w:rPr>
        <w:t>金融、</w:t>
      </w:r>
      <w:r>
        <w:rPr>
          <w:rFonts w:hint="eastAsia" w:ascii="仿宋_GB2312" w:eastAsia="仿宋_GB2312" w:cs="仿宋_GB2312"/>
          <w:kern w:val="0"/>
          <w:sz w:val="32"/>
          <w:szCs w:val="32"/>
        </w:rPr>
        <w:t>证券投资等相关</w:t>
      </w:r>
      <w:r>
        <w:rPr>
          <w:rFonts w:ascii="仿宋_GB2312" w:eastAsia="仿宋_GB2312" w:cs="仿宋_GB2312"/>
          <w:kern w:val="0"/>
          <w:sz w:val="32"/>
          <w:szCs w:val="32"/>
        </w:rPr>
        <w:t>数字金融知识</w:t>
      </w:r>
      <w:r>
        <w:rPr>
          <w:rFonts w:hint="eastAsia" w:ascii="仿宋_GB2312" w:eastAsia="仿宋_GB2312" w:cs="仿宋_GB2312"/>
          <w:kern w:val="0"/>
          <w:sz w:val="32"/>
          <w:szCs w:val="32"/>
        </w:rPr>
        <w:t>。本模块比赛每支队伍三名队员全部参加竞赛，分值为100分，取三位选手的平均分作为该模块分数，比赛时间为60分钟</w:t>
      </w:r>
      <w:r>
        <w:rPr>
          <w:rFonts w:ascii="仿宋_GB2312" w:eastAsia="仿宋_GB2312" w:cs="仿宋_GB2312"/>
          <w:kern w:val="0"/>
          <w:sz w:val="32"/>
          <w:szCs w:val="32"/>
        </w:rPr>
        <w:t>，</w:t>
      </w:r>
      <w:r>
        <w:rPr>
          <w:rFonts w:hint="eastAsia" w:ascii="仿宋_GB2312" w:eastAsia="仿宋_GB2312" w:cs="仿宋_GB2312"/>
          <w:kern w:val="0"/>
          <w:sz w:val="32"/>
          <w:szCs w:val="32"/>
        </w:rPr>
        <w:t>系统</w:t>
      </w:r>
      <w:r>
        <w:rPr>
          <w:rFonts w:ascii="仿宋_GB2312" w:eastAsia="仿宋_GB2312" w:cs="仿宋_GB2312"/>
          <w:kern w:val="0"/>
          <w:sz w:val="32"/>
          <w:szCs w:val="32"/>
        </w:rPr>
        <w:t>自动</w:t>
      </w:r>
      <w:r>
        <w:rPr>
          <w:rFonts w:hint="eastAsia" w:ascii="仿宋_GB2312" w:eastAsia="仿宋_GB2312" w:cs="仿宋_GB2312"/>
          <w:kern w:val="0"/>
          <w:sz w:val="32"/>
          <w:szCs w:val="32"/>
        </w:rPr>
        <w:t>评分。</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竞赛题库</w:t>
      </w:r>
      <w:r>
        <w:rPr>
          <w:rFonts w:ascii="仿宋_GB2312" w:eastAsia="仿宋_GB2312" w:cs="仿宋_GB2312"/>
          <w:kern w:val="0"/>
          <w:sz w:val="32"/>
          <w:szCs w:val="32"/>
        </w:rPr>
        <w:t>备选</w:t>
      </w:r>
      <w:r>
        <w:rPr>
          <w:rFonts w:hint="eastAsia" w:ascii="仿宋_GB2312" w:eastAsia="仿宋_GB2312" w:cs="仿宋_GB2312"/>
          <w:kern w:val="0"/>
          <w:sz w:val="32"/>
          <w:szCs w:val="32"/>
        </w:rPr>
        <w:t>3套</w:t>
      </w:r>
      <w:r>
        <w:rPr>
          <w:rFonts w:ascii="仿宋_GB2312" w:eastAsia="仿宋_GB2312" w:cs="仿宋_GB2312"/>
          <w:kern w:val="0"/>
          <w:sz w:val="32"/>
          <w:szCs w:val="32"/>
        </w:rPr>
        <w:t>题库</w:t>
      </w:r>
      <w:r>
        <w:rPr>
          <w:rFonts w:hint="eastAsia" w:ascii="仿宋_GB2312" w:eastAsia="仿宋_GB2312" w:cs="仿宋_GB2312"/>
          <w:kern w:val="0"/>
          <w:sz w:val="32"/>
          <w:szCs w:val="32"/>
        </w:rPr>
        <w:t>，</w:t>
      </w:r>
      <w:r>
        <w:rPr>
          <w:rFonts w:ascii="仿宋_GB2312" w:eastAsia="仿宋_GB2312" w:cs="仿宋_GB2312"/>
          <w:kern w:val="0"/>
          <w:sz w:val="32"/>
          <w:szCs w:val="32"/>
        </w:rPr>
        <w:t>由大赛</w:t>
      </w:r>
      <w:r>
        <w:rPr>
          <w:rFonts w:hint="eastAsia" w:ascii="仿宋_GB2312" w:eastAsia="仿宋_GB2312" w:cs="仿宋_GB2312"/>
          <w:kern w:val="0"/>
          <w:sz w:val="32"/>
          <w:szCs w:val="32"/>
        </w:rPr>
        <w:t>组委会抽取。</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当天时间</w:t>
      </w:r>
      <w:r>
        <w:rPr>
          <w:rFonts w:ascii="仿宋_GB2312" w:eastAsia="仿宋_GB2312" w:cs="仿宋_GB2312"/>
          <w:kern w:val="0"/>
          <w:sz w:val="32"/>
          <w:szCs w:val="32"/>
        </w:rPr>
        <w:t>：</w:t>
      </w:r>
      <w:r>
        <w:rPr>
          <w:rFonts w:hint="eastAsia" w:ascii="仿宋_GB2312" w:eastAsia="仿宋_GB2312" w:cs="仿宋_GB2312"/>
          <w:kern w:val="0"/>
          <w:sz w:val="32"/>
          <w:szCs w:val="32"/>
        </w:rPr>
        <w:t>上午</w:t>
      </w:r>
      <w:r>
        <w:rPr>
          <w:rFonts w:ascii="仿宋_GB2312" w:eastAsia="仿宋_GB2312" w:cs="仿宋_GB2312"/>
          <w:kern w:val="0"/>
          <w:sz w:val="32"/>
          <w:szCs w:val="32"/>
        </w:rPr>
        <w:t>8：3</w:t>
      </w:r>
      <w:r>
        <w:rPr>
          <w:rFonts w:hint="eastAsia" w:ascii="仿宋_GB2312" w:eastAsia="仿宋_GB2312" w:cs="仿宋_GB2312"/>
          <w:kern w:val="0"/>
          <w:sz w:val="32"/>
          <w:szCs w:val="32"/>
        </w:rPr>
        <w:t>0</w:t>
      </w:r>
      <w:r>
        <w:rPr>
          <w:rFonts w:ascii="仿宋_GB2312" w:eastAsia="仿宋_GB2312" w:cs="仿宋_GB2312"/>
          <w:kern w:val="0"/>
          <w:sz w:val="32"/>
          <w:szCs w:val="32"/>
        </w:rPr>
        <w:t>-9:30</w:t>
      </w:r>
    </w:p>
    <w:p>
      <w:pPr>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2、数字金融</w:t>
      </w:r>
      <w:r>
        <w:rPr>
          <w:rFonts w:ascii="仿宋_GB2312" w:eastAsia="仿宋_GB2312" w:cs="仿宋_GB2312"/>
          <w:b/>
          <w:kern w:val="0"/>
          <w:sz w:val="32"/>
          <w:szCs w:val="32"/>
        </w:rPr>
        <w:t>理财规划</w:t>
      </w:r>
      <w:r>
        <w:rPr>
          <w:rFonts w:hint="eastAsia" w:ascii="仿宋_GB2312" w:eastAsia="仿宋_GB2312" w:cs="仿宋_GB2312"/>
          <w:b/>
          <w:kern w:val="0"/>
          <w:sz w:val="32"/>
          <w:szCs w:val="32"/>
        </w:rPr>
        <w:t>实操</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“数字金融理财规划实操”主要</w:t>
      </w:r>
      <w:r>
        <w:rPr>
          <w:rFonts w:ascii="仿宋_GB2312" w:eastAsia="仿宋_GB2312" w:cs="仿宋_GB2312"/>
          <w:kern w:val="0"/>
          <w:sz w:val="32"/>
          <w:szCs w:val="32"/>
        </w:rPr>
        <w:t>考核选手</w:t>
      </w:r>
      <w:r>
        <w:rPr>
          <w:rFonts w:hint="eastAsia" w:ascii="仿宋_GB2312" w:eastAsia="仿宋_GB2312" w:cs="仿宋_GB2312"/>
          <w:kern w:val="0"/>
          <w:sz w:val="32"/>
          <w:szCs w:val="32"/>
        </w:rPr>
        <w:t>金融理财规划的实操掌握情况，根据赛题案例进行理财规划实操，涵盖现金规划、教育规划、消费规划、创业规划、退休规划、保险规划、投资规划、税务筹划、财产分配、财产传承等相关内容。</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本模块比赛分为三个部分，第一部分内容为</w:t>
      </w:r>
      <w:r>
        <w:rPr>
          <w:rFonts w:hint="eastAsia" w:ascii="仿宋_GB2312" w:eastAsia="仿宋_GB2312" w:cs="仿宋_GB2312"/>
          <w:kern w:val="0"/>
          <w:sz w:val="32"/>
          <w:szCs w:val="32"/>
          <w:u w:val="single"/>
        </w:rPr>
        <w:t>风险测评、财务分析和现金规划</w:t>
      </w:r>
      <w:r>
        <w:rPr>
          <w:rFonts w:hint="eastAsia" w:ascii="仿宋_GB2312" w:eastAsia="仿宋_GB2312" w:cs="仿宋_GB2312"/>
          <w:kern w:val="0"/>
          <w:sz w:val="32"/>
          <w:szCs w:val="32"/>
        </w:rPr>
        <w:t>，第二部分内容为</w:t>
      </w:r>
      <w:r>
        <w:rPr>
          <w:rFonts w:hint="eastAsia" w:ascii="仿宋_GB2312" w:eastAsia="仿宋_GB2312" w:cs="仿宋_GB2312"/>
          <w:kern w:val="0"/>
          <w:sz w:val="32"/>
          <w:szCs w:val="32"/>
          <w:u w:val="single"/>
        </w:rPr>
        <w:t>生涯规划和投资规划</w:t>
      </w:r>
      <w:r>
        <w:rPr>
          <w:rFonts w:hint="eastAsia" w:ascii="仿宋_GB2312" w:eastAsia="仿宋_GB2312" w:cs="仿宋_GB2312"/>
          <w:kern w:val="0"/>
          <w:sz w:val="32"/>
          <w:szCs w:val="32"/>
        </w:rPr>
        <w:t>，第三部分内容为</w:t>
      </w:r>
      <w:r>
        <w:rPr>
          <w:rFonts w:hint="eastAsia" w:ascii="仿宋_GB2312" w:eastAsia="仿宋_GB2312" w:cs="仿宋_GB2312"/>
          <w:kern w:val="0"/>
          <w:sz w:val="32"/>
          <w:szCs w:val="32"/>
          <w:u w:val="single"/>
        </w:rPr>
        <w:t>财产传承</w:t>
      </w:r>
      <w:r>
        <w:rPr>
          <w:rFonts w:hint="eastAsia" w:ascii="仿宋_GB2312" w:eastAsia="仿宋_GB2312" w:cs="仿宋_GB2312"/>
          <w:kern w:val="0"/>
          <w:sz w:val="32"/>
          <w:szCs w:val="32"/>
        </w:rPr>
        <w:t>，每支队伍每名队员负责一个部分的案例实操，分值为100分，取三位选手的平均分作为该模块分数，比赛时间为120分钟</w:t>
      </w:r>
      <w:r>
        <w:rPr>
          <w:rFonts w:ascii="仿宋_GB2312" w:eastAsia="仿宋_GB2312" w:cs="仿宋_GB2312"/>
          <w:kern w:val="0"/>
          <w:sz w:val="32"/>
          <w:szCs w:val="32"/>
        </w:rPr>
        <w:t>，</w:t>
      </w:r>
      <w:r>
        <w:rPr>
          <w:rFonts w:hint="eastAsia" w:ascii="仿宋_GB2312" w:eastAsia="仿宋_GB2312" w:cs="仿宋_GB2312"/>
          <w:kern w:val="0"/>
          <w:sz w:val="32"/>
          <w:szCs w:val="32"/>
        </w:rPr>
        <w:t>系统</w:t>
      </w:r>
      <w:r>
        <w:rPr>
          <w:rFonts w:ascii="仿宋_GB2312" w:eastAsia="仿宋_GB2312" w:cs="仿宋_GB2312"/>
          <w:kern w:val="0"/>
          <w:sz w:val="32"/>
          <w:szCs w:val="32"/>
        </w:rPr>
        <w:t>自动</w:t>
      </w:r>
      <w:r>
        <w:rPr>
          <w:rFonts w:hint="eastAsia" w:ascii="仿宋_GB2312" w:eastAsia="仿宋_GB2312" w:cs="仿宋_GB2312"/>
          <w:kern w:val="0"/>
          <w:sz w:val="32"/>
          <w:szCs w:val="32"/>
        </w:rPr>
        <w:t>评分。</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竞赛题库</w:t>
      </w:r>
      <w:r>
        <w:rPr>
          <w:rFonts w:ascii="仿宋_GB2312" w:eastAsia="仿宋_GB2312" w:cs="仿宋_GB2312"/>
          <w:kern w:val="0"/>
          <w:sz w:val="32"/>
          <w:szCs w:val="32"/>
        </w:rPr>
        <w:t>备选</w:t>
      </w:r>
      <w:r>
        <w:rPr>
          <w:rFonts w:hint="eastAsia" w:ascii="仿宋_GB2312" w:eastAsia="仿宋_GB2312" w:cs="仿宋_GB2312"/>
          <w:kern w:val="0"/>
          <w:sz w:val="32"/>
          <w:szCs w:val="32"/>
        </w:rPr>
        <w:t>3套</w:t>
      </w:r>
      <w:r>
        <w:rPr>
          <w:rFonts w:ascii="仿宋_GB2312" w:eastAsia="仿宋_GB2312" w:cs="仿宋_GB2312"/>
          <w:kern w:val="0"/>
          <w:sz w:val="32"/>
          <w:szCs w:val="32"/>
        </w:rPr>
        <w:t>题库</w:t>
      </w:r>
      <w:r>
        <w:rPr>
          <w:rFonts w:hint="eastAsia" w:ascii="仿宋_GB2312" w:eastAsia="仿宋_GB2312" w:cs="仿宋_GB2312"/>
          <w:kern w:val="0"/>
          <w:sz w:val="32"/>
          <w:szCs w:val="32"/>
        </w:rPr>
        <w:t>，</w:t>
      </w:r>
      <w:r>
        <w:rPr>
          <w:rFonts w:ascii="仿宋_GB2312" w:eastAsia="仿宋_GB2312" w:cs="仿宋_GB2312"/>
          <w:kern w:val="0"/>
          <w:sz w:val="32"/>
          <w:szCs w:val="32"/>
        </w:rPr>
        <w:t>由大赛</w:t>
      </w:r>
      <w:r>
        <w:rPr>
          <w:rFonts w:hint="eastAsia" w:ascii="仿宋_GB2312" w:eastAsia="仿宋_GB2312" w:cs="仿宋_GB2312"/>
          <w:kern w:val="0"/>
          <w:sz w:val="32"/>
          <w:szCs w:val="32"/>
        </w:rPr>
        <w:t>组委会抽取。</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当天时间</w:t>
      </w:r>
      <w:r>
        <w:rPr>
          <w:rFonts w:ascii="仿宋_GB2312" w:eastAsia="仿宋_GB2312" w:cs="仿宋_GB2312"/>
          <w:kern w:val="0"/>
          <w:sz w:val="32"/>
          <w:szCs w:val="32"/>
        </w:rPr>
        <w:t>：</w:t>
      </w:r>
      <w:r>
        <w:rPr>
          <w:rFonts w:hint="eastAsia" w:ascii="仿宋_GB2312" w:eastAsia="仿宋_GB2312" w:cs="仿宋_GB2312"/>
          <w:kern w:val="0"/>
          <w:sz w:val="32"/>
          <w:szCs w:val="32"/>
        </w:rPr>
        <w:t>上午</w:t>
      </w:r>
      <w:r>
        <w:rPr>
          <w:rFonts w:ascii="仿宋_GB2312" w:eastAsia="仿宋_GB2312" w:cs="仿宋_GB2312"/>
          <w:kern w:val="0"/>
          <w:sz w:val="32"/>
          <w:szCs w:val="32"/>
        </w:rPr>
        <w:t>10</w:t>
      </w:r>
      <w:r>
        <w:rPr>
          <w:rFonts w:hint="eastAsia" w:ascii="仿宋_GB2312" w:eastAsia="仿宋_GB2312" w:cs="仿宋_GB2312"/>
          <w:kern w:val="0"/>
          <w:sz w:val="32"/>
          <w:szCs w:val="32"/>
        </w:rPr>
        <w:t>：00</w:t>
      </w:r>
      <w:r>
        <w:rPr>
          <w:rFonts w:ascii="仿宋_GB2312" w:eastAsia="仿宋_GB2312" w:cs="仿宋_GB2312"/>
          <w:kern w:val="0"/>
          <w:sz w:val="32"/>
          <w:szCs w:val="32"/>
        </w:rPr>
        <w:t>-</w:t>
      </w:r>
      <w:r>
        <w:rPr>
          <w:rFonts w:hint="eastAsia" w:ascii="仿宋_GB2312" w:eastAsia="仿宋_GB2312" w:cs="仿宋_GB2312"/>
          <w:kern w:val="0"/>
          <w:sz w:val="32"/>
          <w:szCs w:val="32"/>
        </w:rPr>
        <w:t>1</w:t>
      </w:r>
      <w:r>
        <w:rPr>
          <w:rFonts w:ascii="仿宋_GB2312" w:eastAsia="仿宋_GB2312" w:cs="仿宋_GB2312"/>
          <w:kern w:val="0"/>
          <w:sz w:val="32"/>
          <w:szCs w:val="32"/>
        </w:rPr>
        <w:t>2:00</w:t>
      </w:r>
    </w:p>
    <w:p>
      <w:pPr>
        <w:ind w:firstLine="482" w:firstLineChars="150"/>
        <w:rPr>
          <w:rFonts w:ascii="仿宋_GB2312" w:eastAsia="仿宋_GB2312" w:cs="仿宋_GB2312"/>
          <w:b/>
          <w:kern w:val="0"/>
          <w:sz w:val="32"/>
          <w:szCs w:val="32"/>
        </w:rPr>
      </w:pPr>
      <w:r>
        <w:rPr>
          <w:rFonts w:hint="eastAsia" w:ascii="仿宋_GB2312" w:eastAsia="仿宋_GB2312" w:cs="仿宋_GB2312"/>
          <w:b/>
          <w:kern w:val="0"/>
          <w:sz w:val="32"/>
          <w:szCs w:val="32"/>
        </w:rPr>
        <w:t>3、数字金融路演汇报</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本比赛模块主要考核学生的金融投资分析、表达能力、知识的应用与掌握能力，考核方式参照真实金融机构路演汇报过程，参赛团队提前准备好路演汇报PPT，现场安排一名队员进行演讲汇报，评委根据演讲内容进行提问，并现场打分。本模块分数为评委打分加总之后求算术平均数，分值为100分。</w:t>
      </w:r>
    </w:p>
    <w:p>
      <w:pPr>
        <w:pStyle w:val="31"/>
        <w:widowControl w:val="0"/>
        <w:numPr>
          <w:ilvl w:val="0"/>
          <w:numId w:val="1"/>
        </w:numPr>
        <w:spacing w:line="240" w:lineRule="auto"/>
        <w:ind w:firstLineChars="0"/>
        <w:jc w:val="both"/>
        <w:rPr>
          <w:rFonts w:ascii="仿宋_GB2312" w:eastAsia="仿宋_GB2312" w:cs="仿宋_GB2312"/>
          <w:kern w:val="0"/>
          <w:sz w:val="32"/>
          <w:szCs w:val="32"/>
        </w:rPr>
      </w:pPr>
      <w:r>
        <w:rPr>
          <w:rFonts w:hint="eastAsia" w:ascii="仿宋_GB2312" w:eastAsia="仿宋_GB2312" w:cs="仿宋_GB2312"/>
          <w:kern w:val="0"/>
          <w:sz w:val="32"/>
          <w:szCs w:val="32"/>
          <w:highlight w:val="none"/>
        </w:rPr>
        <w:t>参赛前</w:t>
      </w:r>
      <w:r>
        <w:rPr>
          <w:rFonts w:hint="eastAsia" w:ascii="仿宋_GB2312" w:eastAsia="仿宋_GB2312" w:cs="仿宋_GB2312"/>
          <w:kern w:val="0"/>
          <w:sz w:val="32"/>
          <w:szCs w:val="32"/>
          <w:highlight w:val="none"/>
          <w:lang w:val="en-US" w:eastAsia="zh-CN"/>
        </w:rPr>
        <w:t>4</w:t>
      </w:r>
      <w:r>
        <w:rPr>
          <w:rFonts w:hint="eastAsia" w:ascii="仿宋_GB2312" w:eastAsia="仿宋_GB2312" w:cs="仿宋_GB2312"/>
          <w:kern w:val="0"/>
          <w:sz w:val="32"/>
          <w:szCs w:val="32"/>
          <w:highlight w:val="none"/>
        </w:rPr>
        <w:t>天</w:t>
      </w:r>
      <w:r>
        <w:rPr>
          <w:rFonts w:hint="eastAsia" w:ascii="仿宋_GB2312" w:eastAsia="仿宋_GB2312" w:cs="仿宋_GB2312"/>
          <w:kern w:val="0"/>
          <w:sz w:val="32"/>
          <w:szCs w:val="32"/>
        </w:rPr>
        <w:t>，由指导教师将所汇报PPT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PDF版</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提交大赛组委会指定邮箱szjrtzds@163.com;（PPT命名方式：参赛院校+队伍+指导教师）</w:t>
      </w:r>
    </w:p>
    <w:p>
      <w:pPr>
        <w:pStyle w:val="31"/>
        <w:widowControl w:val="0"/>
        <w:numPr>
          <w:ilvl w:val="0"/>
          <w:numId w:val="1"/>
        </w:numPr>
        <w:spacing w:line="240" w:lineRule="auto"/>
        <w:ind w:firstLineChars="0"/>
        <w:jc w:val="both"/>
        <w:rPr>
          <w:rFonts w:ascii="仿宋_GB2312" w:eastAsia="仿宋_GB2312" w:cs="仿宋_GB2312"/>
          <w:kern w:val="0"/>
          <w:sz w:val="32"/>
          <w:szCs w:val="32"/>
        </w:rPr>
      </w:pPr>
      <w:r>
        <w:rPr>
          <w:rFonts w:hint="eastAsia" w:ascii="仿宋_GB2312" w:eastAsia="仿宋_GB2312" w:cs="仿宋_GB2312"/>
          <w:kern w:val="0"/>
          <w:sz w:val="32"/>
          <w:szCs w:val="32"/>
        </w:rPr>
        <w:t>路演汇报时长：每支队伍路演</w:t>
      </w:r>
      <w:r>
        <w:rPr>
          <w:rFonts w:ascii="仿宋_GB2312" w:eastAsia="仿宋_GB2312" w:cs="仿宋_GB2312"/>
          <w:kern w:val="0"/>
          <w:sz w:val="32"/>
          <w:szCs w:val="32"/>
        </w:rPr>
        <w:t>10</w:t>
      </w:r>
      <w:r>
        <w:rPr>
          <w:rFonts w:hint="eastAsia" w:ascii="仿宋_GB2312" w:eastAsia="仿宋_GB2312" w:cs="仿宋_GB2312"/>
          <w:kern w:val="0"/>
          <w:sz w:val="32"/>
          <w:szCs w:val="32"/>
        </w:rPr>
        <w:t>分钟，评委问答</w:t>
      </w:r>
      <w:r>
        <w:rPr>
          <w:rFonts w:ascii="仿宋_GB2312" w:eastAsia="仿宋_GB2312" w:cs="仿宋_GB2312"/>
          <w:kern w:val="0"/>
          <w:sz w:val="32"/>
          <w:szCs w:val="32"/>
        </w:rPr>
        <w:t>5</w:t>
      </w:r>
      <w:r>
        <w:rPr>
          <w:rFonts w:hint="eastAsia" w:ascii="仿宋_GB2312" w:eastAsia="仿宋_GB2312" w:cs="仿宋_GB2312"/>
          <w:kern w:val="0"/>
          <w:sz w:val="32"/>
          <w:szCs w:val="32"/>
        </w:rPr>
        <w:t>分钟。</w:t>
      </w:r>
    </w:p>
    <w:p>
      <w:pPr>
        <w:pStyle w:val="31"/>
        <w:widowControl w:val="0"/>
        <w:numPr>
          <w:ilvl w:val="0"/>
          <w:numId w:val="1"/>
        </w:numPr>
        <w:spacing w:line="240" w:lineRule="auto"/>
        <w:ind w:firstLineChars="0"/>
        <w:jc w:val="both"/>
        <w:rPr>
          <w:rFonts w:ascii="仿宋_GB2312" w:eastAsia="仿宋_GB2312" w:cs="仿宋_GB2312"/>
          <w:kern w:val="0"/>
          <w:sz w:val="32"/>
          <w:szCs w:val="32"/>
        </w:rPr>
      </w:pPr>
      <w:r>
        <w:rPr>
          <w:rFonts w:hint="eastAsia" w:ascii="仿宋_GB2312" w:eastAsia="仿宋_GB2312" w:cs="仿宋_GB2312"/>
          <w:kern w:val="0"/>
          <w:sz w:val="32"/>
          <w:szCs w:val="32"/>
        </w:rPr>
        <w:t>路演汇报内容为对A股</w:t>
      </w:r>
      <w:r>
        <w:rPr>
          <w:rFonts w:ascii="仿宋_GB2312" w:eastAsia="仿宋_GB2312" w:cs="仿宋_GB2312"/>
          <w:kern w:val="0"/>
          <w:sz w:val="32"/>
          <w:szCs w:val="32"/>
        </w:rPr>
        <w:t>一家上市公司</w:t>
      </w:r>
      <w:r>
        <w:rPr>
          <w:rFonts w:hint="eastAsia" w:ascii="仿宋_GB2312" w:eastAsia="仿宋_GB2312" w:cs="仿宋_GB2312"/>
          <w:kern w:val="0"/>
          <w:sz w:val="32"/>
          <w:szCs w:val="32"/>
        </w:rPr>
        <w:t>进行分析汇报，包括但不限于；行业分析、公司基本面情况分析、公司竞争力分析、投资前景分析、投资建议。</w:t>
      </w:r>
    </w:p>
    <w:p>
      <w:pPr>
        <w:rPr>
          <w:rFonts w:ascii="仿宋_GB2312" w:eastAsia="仿宋_GB2312" w:cs="仿宋_GB2312"/>
          <w:kern w:val="0"/>
          <w:sz w:val="32"/>
          <w:szCs w:val="32"/>
        </w:rPr>
      </w:pPr>
      <w:r>
        <w:rPr>
          <w:rFonts w:hint="eastAsia" w:ascii="仿宋_GB2312" w:eastAsia="仿宋_GB2312" w:cs="仿宋_GB2312"/>
          <w:kern w:val="0"/>
          <w:sz w:val="32"/>
          <w:szCs w:val="32"/>
        </w:rPr>
        <w:t>现场评委根据选手的演讲表现进行现场评分，评分卡如下：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600"/>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3"/>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路演汇报评分规则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项目标准</w:t>
            </w:r>
          </w:p>
        </w:tc>
        <w:tc>
          <w:tcPr>
            <w:tcW w:w="1600"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分值</w:t>
            </w:r>
          </w:p>
        </w:tc>
        <w:tc>
          <w:tcPr>
            <w:tcW w:w="5618"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PPT呈现</w:t>
            </w:r>
          </w:p>
        </w:tc>
        <w:tc>
          <w:tcPr>
            <w:tcW w:w="1600"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w:t>
            </w:r>
          </w:p>
        </w:tc>
        <w:tc>
          <w:tcPr>
            <w:tcW w:w="5618" w:type="dxa"/>
          </w:tcPr>
          <w:p>
            <w:pPr>
              <w:rPr>
                <w:rFonts w:ascii="仿宋_GB2312" w:eastAsia="仿宋_GB2312" w:cs="仿宋_GB2312"/>
                <w:kern w:val="0"/>
                <w:sz w:val="24"/>
                <w:szCs w:val="24"/>
              </w:rPr>
            </w:pPr>
            <w:r>
              <w:rPr>
                <w:rFonts w:hint="eastAsia" w:ascii="仿宋_GB2312" w:eastAsia="仿宋_GB2312" w:cs="仿宋_GB2312"/>
                <w:kern w:val="0"/>
                <w:sz w:val="24"/>
                <w:szCs w:val="24"/>
              </w:rPr>
              <w:t>1、整体逻辑呈现，思路清晰</w:t>
            </w:r>
          </w:p>
          <w:p>
            <w:pPr>
              <w:rPr>
                <w:rFonts w:ascii="仿宋_GB2312" w:eastAsia="仿宋_GB2312" w:cs="仿宋_GB2312"/>
                <w:kern w:val="0"/>
                <w:sz w:val="24"/>
                <w:szCs w:val="24"/>
              </w:rPr>
            </w:pPr>
            <w:r>
              <w:rPr>
                <w:rFonts w:hint="eastAsia" w:ascii="仿宋_GB2312" w:eastAsia="仿宋_GB2312" w:cs="仿宋_GB2312"/>
                <w:kern w:val="0"/>
                <w:sz w:val="24"/>
                <w:szCs w:val="24"/>
              </w:rPr>
              <w:t>2、提供信息完整，有利于评委清晰明了的了解内容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演讲能力</w:t>
            </w:r>
          </w:p>
        </w:tc>
        <w:tc>
          <w:tcPr>
            <w:tcW w:w="1600"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20</w:t>
            </w:r>
          </w:p>
        </w:tc>
        <w:tc>
          <w:tcPr>
            <w:tcW w:w="5618" w:type="dxa"/>
          </w:tcPr>
          <w:p>
            <w:pPr>
              <w:rPr>
                <w:rFonts w:ascii="仿宋_GB2312" w:eastAsia="仿宋_GB2312" w:cs="仿宋_GB2312"/>
                <w:kern w:val="0"/>
                <w:sz w:val="24"/>
                <w:szCs w:val="24"/>
              </w:rPr>
            </w:pPr>
            <w:r>
              <w:rPr>
                <w:rFonts w:hint="eastAsia" w:ascii="仿宋_GB2312" w:eastAsia="仿宋_GB2312" w:cs="仿宋_GB2312"/>
                <w:kern w:val="0"/>
                <w:sz w:val="24"/>
                <w:szCs w:val="24"/>
              </w:rPr>
              <w:t>1、语言表达能力:语言表达流利、用词准确，表达清晰。</w:t>
            </w:r>
            <w:r>
              <w:rPr>
                <w:rFonts w:ascii="仿宋_GB2312" w:eastAsia="仿宋_GB2312" w:cs="仿宋_GB2312"/>
                <w:kern w:val="0"/>
                <w:sz w:val="24"/>
                <w:szCs w:val="24"/>
              </w:rPr>
              <w:t xml:space="preserve"> </w:t>
            </w:r>
          </w:p>
          <w:p>
            <w:pPr>
              <w:rPr>
                <w:rFonts w:ascii="仿宋_GB2312" w:eastAsia="仿宋_GB2312" w:cs="仿宋_GB2312"/>
                <w:kern w:val="0"/>
                <w:sz w:val="24"/>
                <w:szCs w:val="24"/>
              </w:rPr>
            </w:pPr>
            <w:r>
              <w:rPr>
                <w:rFonts w:hint="eastAsia" w:ascii="仿宋_GB2312" w:eastAsia="仿宋_GB2312" w:cs="仿宋_GB2312"/>
                <w:kern w:val="0"/>
                <w:sz w:val="24"/>
                <w:szCs w:val="24"/>
              </w:rPr>
              <w:t>2、仪容仪表，合适的肢体语言</w:t>
            </w:r>
          </w:p>
          <w:p>
            <w:pPr>
              <w:rPr>
                <w:rFonts w:ascii="仿宋_GB2312" w:eastAsia="仿宋_GB2312" w:cs="仿宋_GB2312"/>
                <w:kern w:val="0"/>
                <w:sz w:val="24"/>
                <w:szCs w:val="24"/>
              </w:rPr>
            </w:pPr>
            <w:r>
              <w:rPr>
                <w:rFonts w:hint="eastAsia" w:ascii="仿宋_GB2312" w:eastAsia="仿宋_GB2312" w:cs="仿宋_GB2312"/>
                <w:kern w:val="0"/>
                <w:sz w:val="24"/>
                <w:szCs w:val="24"/>
              </w:rPr>
              <w:t>3、时间安排:时间把控是否精准，是否演讲超时，每超时1分钟扣2分，或评委有权直接进一环节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知识的掌握与应用</w:t>
            </w:r>
          </w:p>
        </w:tc>
        <w:tc>
          <w:tcPr>
            <w:tcW w:w="1600"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50</w:t>
            </w:r>
          </w:p>
        </w:tc>
        <w:tc>
          <w:tcPr>
            <w:tcW w:w="5618" w:type="dxa"/>
          </w:tcPr>
          <w:p>
            <w:pPr>
              <w:rPr>
                <w:rFonts w:ascii="仿宋_GB2312" w:eastAsia="仿宋_GB2312" w:cs="仿宋_GB2312"/>
                <w:kern w:val="0"/>
                <w:sz w:val="24"/>
                <w:szCs w:val="24"/>
              </w:rPr>
            </w:pPr>
            <w:r>
              <w:rPr>
                <w:rFonts w:hint="eastAsia" w:ascii="仿宋_GB2312" w:eastAsia="仿宋_GB2312" w:cs="仿宋_GB2312"/>
                <w:kern w:val="0"/>
                <w:sz w:val="24"/>
                <w:szCs w:val="24"/>
              </w:rPr>
              <w:t>1、PPT</w:t>
            </w:r>
            <w:r>
              <w:rPr>
                <w:rFonts w:ascii="仿宋_GB2312" w:eastAsia="仿宋_GB2312" w:cs="仿宋_GB2312"/>
                <w:kern w:val="0"/>
                <w:sz w:val="24"/>
                <w:szCs w:val="24"/>
              </w:rPr>
              <w:t>内容完整，</w:t>
            </w:r>
            <w:r>
              <w:rPr>
                <w:rFonts w:hint="eastAsia" w:ascii="仿宋_GB2312" w:eastAsia="仿宋_GB2312" w:cs="仿宋_GB2312"/>
                <w:kern w:val="0"/>
                <w:sz w:val="24"/>
                <w:szCs w:val="24"/>
              </w:rPr>
              <w:t>数据</w:t>
            </w:r>
            <w:r>
              <w:rPr>
                <w:rFonts w:ascii="仿宋_GB2312" w:eastAsia="仿宋_GB2312" w:cs="仿宋_GB2312"/>
                <w:kern w:val="0"/>
                <w:sz w:val="24"/>
                <w:szCs w:val="24"/>
              </w:rPr>
              <w:t>表格清晰明了</w:t>
            </w:r>
          </w:p>
          <w:p>
            <w:pPr>
              <w:rPr>
                <w:rFonts w:ascii="仿宋_GB2312" w:eastAsia="仿宋_GB2312" w:cs="仿宋_GB2312"/>
                <w:kern w:val="0"/>
                <w:sz w:val="24"/>
                <w:szCs w:val="24"/>
              </w:rPr>
            </w:pPr>
            <w:r>
              <w:rPr>
                <w:rFonts w:hint="eastAsia" w:ascii="仿宋_GB2312" w:eastAsia="仿宋_GB2312" w:cs="仿宋_GB2312"/>
                <w:kern w:val="0"/>
                <w:sz w:val="24"/>
                <w:szCs w:val="24"/>
              </w:rPr>
              <w:t>2、宏观</w:t>
            </w:r>
            <w:r>
              <w:rPr>
                <w:rFonts w:ascii="仿宋_GB2312" w:eastAsia="仿宋_GB2312" w:cs="仿宋_GB2312"/>
                <w:kern w:val="0"/>
                <w:sz w:val="24"/>
                <w:szCs w:val="24"/>
              </w:rPr>
              <w:t>分析、</w:t>
            </w:r>
            <w:r>
              <w:rPr>
                <w:rFonts w:hint="eastAsia" w:ascii="仿宋_GB2312" w:eastAsia="仿宋_GB2312" w:cs="仿宋_GB2312"/>
                <w:kern w:val="0"/>
                <w:sz w:val="24"/>
                <w:szCs w:val="24"/>
              </w:rPr>
              <w:t>公司行业分析、公司基本面情况分析，公司竞争力分析、投资前景分析是否合理？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评委问答</w:t>
            </w:r>
          </w:p>
        </w:tc>
        <w:tc>
          <w:tcPr>
            <w:tcW w:w="1600"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15</w:t>
            </w:r>
          </w:p>
        </w:tc>
        <w:tc>
          <w:tcPr>
            <w:tcW w:w="5618" w:type="dxa"/>
          </w:tcPr>
          <w:p>
            <w:pPr>
              <w:rPr>
                <w:rFonts w:ascii="仿宋_GB2312" w:eastAsia="仿宋_GB2312" w:cs="仿宋_GB2312"/>
                <w:kern w:val="0"/>
                <w:sz w:val="24"/>
                <w:szCs w:val="24"/>
              </w:rPr>
            </w:pPr>
            <w:r>
              <w:rPr>
                <w:rFonts w:hint="eastAsia" w:ascii="仿宋_GB2312" w:eastAsia="仿宋_GB2312" w:cs="仿宋_GB2312"/>
                <w:kern w:val="0"/>
                <w:sz w:val="24"/>
                <w:szCs w:val="24"/>
              </w:rPr>
              <w:t>回答问题的应变及响应能力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综合评分</w:t>
            </w:r>
          </w:p>
        </w:tc>
        <w:tc>
          <w:tcPr>
            <w:tcW w:w="1600"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5</w:t>
            </w:r>
          </w:p>
        </w:tc>
        <w:tc>
          <w:tcPr>
            <w:tcW w:w="5618" w:type="dxa"/>
          </w:tcPr>
          <w:p>
            <w:pPr>
              <w:rPr>
                <w:rFonts w:ascii="仿宋_GB2312" w:eastAsia="仿宋_GB2312" w:cs="仿宋_GB2312"/>
                <w:kern w:val="0"/>
                <w:sz w:val="24"/>
                <w:szCs w:val="24"/>
              </w:rPr>
            </w:pPr>
            <w:r>
              <w:rPr>
                <w:rFonts w:hint="eastAsia" w:ascii="仿宋_GB2312" w:eastAsia="仿宋_GB2312" w:cs="仿宋_GB2312"/>
                <w:kern w:val="0"/>
                <w:sz w:val="24"/>
                <w:szCs w:val="24"/>
              </w:rPr>
              <w:t>评委综合印象分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合计分值权重</w:t>
            </w:r>
          </w:p>
        </w:tc>
        <w:tc>
          <w:tcPr>
            <w:tcW w:w="7218" w:type="dxa"/>
            <w:gridSpan w:val="2"/>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w:t>
            </w:r>
          </w:p>
        </w:tc>
      </w:tr>
    </w:tbl>
    <w:p>
      <w:pPr>
        <w:pStyle w:val="2"/>
        <w:spacing w:beforeLines="0" w:afterLines="0" w:line="580" w:lineRule="exact"/>
        <w:ind w:firstLine="640"/>
        <w:rPr>
          <w:rFonts w:ascii="楷体_GB2312" w:eastAsia="楷体_GB2312"/>
          <w:b w:val="0"/>
        </w:rPr>
      </w:pPr>
      <w:r>
        <w:rPr>
          <w:rFonts w:hint="eastAsia" w:ascii="楷体_GB2312" w:eastAsia="楷体_GB2312"/>
          <w:b w:val="0"/>
        </w:rPr>
        <w:t>（三）涉及的相关知识与技能</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竞赛场景与任务设定充分参考金融投资行业从业人员日常工作内容，从金融知识</w:t>
      </w:r>
      <w:r>
        <w:rPr>
          <w:rFonts w:ascii="仿宋_GB2312" w:eastAsia="仿宋_GB2312" w:cs="仿宋" w:hAnsiTheme="minorEastAsia"/>
          <w:sz w:val="32"/>
          <w:szCs w:val="32"/>
        </w:rPr>
        <w:t>、</w:t>
      </w:r>
      <w:r>
        <w:rPr>
          <w:rFonts w:hint="eastAsia" w:ascii="仿宋_GB2312" w:eastAsia="仿宋_GB2312" w:cs="仿宋" w:hAnsiTheme="minorEastAsia"/>
          <w:sz w:val="32"/>
          <w:szCs w:val="32"/>
        </w:rPr>
        <w:t>投资规划、演讲表达、组织规划等角度进行考察，对主要的工作任务进行场景化分解，最大化还原金融企业实际工作中的业务内容。同时，在充分分析企业行业发展的基础上，结合出现的新技术应用进行适应性的增加竞赛技术部分内容，以赛促学，提高竞赛选手的综合能力，满足市场对复合型人才的迫切需求。</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竞赛考核了参赛选手对投资路演的能力训练，如：行业分析</w:t>
      </w:r>
      <w:r>
        <w:rPr>
          <w:rFonts w:ascii="仿宋_GB2312" w:eastAsia="仿宋_GB2312" w:cs="仿宋" w:hAnsiTheme="minorEastAsia"/>
          <w:sz w:val="32"/>
          <w:szCs w:val="32"/>
        </w:rPr>
        <w:t>、公司</w:t>
      </w:r>
      <w:r>
        <w:rPr>
          <w:rFonts w:hint="eastAsia" w:ascii="仿宋_GB2312" w:eastAsia="仿宋_GB2312" w:cs="仿宋" w:hAnsiTheme="minorEastAsia"/>
          <w:sz w:val="32"/>
          <w:szCs w:val="32"/>
        </w:rPr>
        <w:t>基本面分析</w:t>
      </w:r>
      <w:r>
        <w:rPr>
          <w:rFonts w:ascii="仿宋_GB2312" w:eastAsia="仿宋_GB2312" w:cs="仿宋" w:hAnsiTheme="minorEastAsia"/>
          <w:sz w:val="32"/>
          <w:szCs w:val="32"/>
        </w:rPr>
        <w:t>、</w:t>
      </w:r>
      <w:r>
        <w:rPr>
          <w:rFonts w:hint="eastAsia" w:ascii="仿宋_GB2312" w:eastAsia="仿宋_GB2312" w:cs="仿宋" w:hAnsiTheme="minorEastAsia"/>
          <w:sz w:val="32"/>
          <w:szCs w:val="32"/>
        </w:rPr>
        <w:t>财务指标分析</w:t>
      </w:r>
      <w:r>
        <w:rPr>
          <w:rFonts w:ascii="仿宋_GB2312" w:eastAsia="仿宋_GB2312" w:cs="仿宋" w:hAnsiTheme="minorEastAsia"/>
          <w:sz w:val="32"/>
          <w:szCs w:val="32"/>
        </w:rPr>
        <w:t>、</w:t>
      </w:r>
      <w:r>
        <w:rPr>
          <w:rFonts w:hint="eastAsia" w:ascii="仿宋_GB2312" w:eastAsia="仿宋_GB2312" w:cs="仿宋" w:hAnsiTheme="minorEastAsia"/>
          <w:sz w:val="32"/>
          <w:szCs w:val="32"/>
        </w:rPr>
        <w:t>投资规划建议等方面的</w:t>
      </w:r>
      <w:r>
        <w:rPr>
          <w:rFonts w:ascii="仿宋_GB2312" w:eastAsia="仿宋_GB2312" w:cs="仿宋" w:hAnsiTheme="minorEastAsia"/>
          <w:sz w:val="32"/>
          <w:szCs w:val="32"/>
        </w:rPr>
        <w:t>综合</w:t>
      </w:r>
      <w:r>
        <w:rPr>
          <w:rFonts w:hint="eastAsia" w:ascii="仿宋_GB2312" w:eastAsia="仿宋_GB2312" w:cs="仿宋" w:hAnsiTheme="minorEastAsia"/>
          <w:sz w:val="32"/>
          <w:szCs w:val="32"/>
        </w:rPr>
        <w:t>知识能力。</w:t>
      </w:r>
    </w:p>
    <w:p>
      <w:pPr>
        <w:pStyle w:val="4"/>
        <w:keepNext w:val="0"/>
        <w:keepLines w:val="0"/>
        <w:widowControl w:val="0"/>
        <w:spacing w:before="0" w:after="0" w:line="580" w:lineRule="exact"/>
        <w:ind w:firstLine="640" w:firstLineChars="200"/>
        <w:jc w:val="both"/>
        <w:rPr>
          <w:rFonts w:ascii="黑体" w:eastAsia="黑体"/>
          <w:b w:val="0"/>
          <w:sz w:val="32"/>
        </w:rPr>
      </w:pPr>
      <w:bookmarkStart w:id="5" w:name="_Toc1249"/>
      <w:r>
        <w:rPr>
          <w:rFonts w:hint="eastAsia" w:ascii="黑体" w:eastAsia="黑体"/>
          <w:b w:val="0"/>
          <w:sz w:val="32"/>
        </w:rPr>
        <w:t>三、竞赛赛卷</w:t>
      </w:r>
      <w:bookmarkEnd w:id="5"/>
    </w:p>
    <w:p>
      <w:pPr>
        <w:pStyle w:val="2"/>
        <w:keepNext w:val="0"/>
        <w:keepLines w:val="0"/>
        <w:spacing w:beforeLines="0" w:afterLines="0" w:line="580" w:lineRule="exact"/>
        <w:ind w:firstLine="640"/>
        <w:rPr>
          <w:rFonts w:ascii="楷体_GB2312" w:eastAsia="楷体_GB2312"/>
          <w:b w:val="0"/>
        </w:rPr>
      </w:pPr>
      <w:bookmarkStart w:id="6" w:name="bookmark45"/>
      <w:bookmarkStart w:id="7" w:name="bookmark46"/>
      <w:bookmarkStart w:id="8" w:name="bookmark44"/>
      <w:bookmarkStart w:id="9" w:name="bookmark43"/>
      <w:r>
        <w:rPr>
          <w:rFonts w:ascii="楷体_GB2312" w:eastAsia="楷体_GB2312"/>
          <w:b w:val="0"/>
        </w:rPr>
        <w:t>（</w:t>
      </w:r>
      <w:bookmarkEnd w:id="6"/>
      <w:r>
        <w:rPr>
          <w:rFonts w:ascii="楷体_GB2312" w:eastAsia="楷体_GB2312"/>
          <w:b w:val="0"/>
        </w:rPr>
        <w:t>一）命题流程</w:t>
      </w:r>
      <w:bookmarkEnd w:id="7"/>
      <w:bookmarkEnd w:id="8"/>
      <w:bookmarkEnd w:id="9"/>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命题</w:t>
      </w:r>
      <w:r>
        <w:rPr>
          <w:rFonts w:ascii="仿宋_GB2312" w:eastAsia="仿宋_GB2312" w:cs="仿宋" w:hAnsiTheme="minorEastAsia"/>
          <w:sz w:val="32"/>
          <w:szCs w:val="32"/>
        </w:rPr>
        <w:t>专家组依据本规程公布的作业要求和考核要点负责编制竞赛用试题，试题与评分标准对应考核模块的知识点、技能点或规范操作要点。竞赛相关技术资料将</w:t>
      </w:r>
      <w:r>
        <w:rPr>
          <w:rFonts w:hint="eastAsia" w:ascii="仿宋_GB2312" w:eastAsia="仿宋_GB2312" w:cs="仿宋" w:hAnsiTheme="minorEastAsia"/>
          <w:sz w:val="32"/>
          <w:szCs w:val="32"/>
        </w:rPr>
        <w:t>通过</w:t>
      </w:r>
      <w:r>
        <w:rPr>
          <w:rFonts w:ascii="仿宋_GB2312" w:eastAsia="仿宋_GB2312" w:cs="仿宋" w:hAnsiTheme="minorEastAsia"/>
          <w:sz w:val="32"/>
          <w:szCs w:val="32"/>
        </w:rPr>
        <w:t>QQ群、</w:t>
      </w:r>
      <w:r>
        <w:rPr>
          <w:rFonts w:hint="eastAsia" w:ascii="仿宋_GB2312" w:eastAsia="仿宋_GB2312" w:cs="仿宋" w:hAnsiTheme="minorEastAsia"/>
          <w:sz w:val="32"/>
          <w:szCs w:val="32"/>
        </w:rPr>
        <w:t>微信群等平台进行</w:t>
      </w:r>
      <w:r>
        <w:rPr>
          <w:rFonts w:ascii="仿宋_GB2312" w:eastAsia="仿宋_GB2312" w:cs="仿宋" w:hAnsiTheme="minorEastAsia"/>
          <w:sz w:val="32"/>
          <w:szCs w:val="32"/>
        </w:rPr>
        <w:t>发布。</w:t>
      </w:r>
    </w:p>
    <w:p>
      <w:pPr>
        <w:pStyle w:val="2"/>
        <w:keepNext w:val="0"/>
        <w:keepLines w:val="0"/>
        <w:spacing w:beforeLines="0" w:afterLines="0" w:line="580" w:lineRule="exact"/>
        <w:ind w:firstLine="640"/>
        <w:rPr>
          <w:rFonts w:ascii="楷体_GB2312" w:eastAsia="楷体_GB2312"/>
          <w:b w:val="0"/>
        </w:rPr>
      </w:pPr>
      <w:bookmarkStart w:id="10" w:name="bookmark49"/>
      <w:bookmarkStart w:id="11" w:name="bookmark48"/>
      <w:bookmarkStart w:id="12" w:name="bookmark50"/>
      <w:bookmarkStart w:id="13" w:name="bookmark47"/>
      <w:r>
        <w:rPr>
          <w:rFonts w:ascii="楷体_GB2312" w:eastAsia="楷体_GB2312"/>
          <w:b w:val="0"/>
        </w:rPr>
        <w:t>（</w:t>
      </w:r>
      <w:bookmarkEnd w:id="10"/>
      <w:r>
        <w:rPr>
          <w:rFonts w:ascii="楷体_GB2312" w:eastAsia="楷体_GB2312"/>
          <w:b w:val="0"/>
        </w:rPr>
        <w:t>二）</w:t>
      </w:r>
      <w:r>
        <w:rPr>
          <w:rFonts w:hint="eastAsia" w:ascii="楷体_GB2312" w:eastAsia="楷体_GB2312"/>
          <w:b w:val="0"/>
        </w:rPr>
        <w:t>赛题产生的方式</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命题专家组将依据公布的作业要求和考核要点，准备不少于</w:t>
      </w:r>
      <w:r>
        <w:rPr>
          <w:rFonts w:ascii="仿宋_GB2312" w:eastAsia="仿宋_GB2312" w:cs="仿宋" w:hAnsiTheme="minorEastAsia"/>
          <w:sz w:val="32"/>
          <w:szCs w:val="32"/>
        </w:rPr>
        <w:t>3套试题，</w:t>
      </w:r>
      <w:r>
        <w:rPr>
          <w:rFonts w:hint="eastAsia" w:ascii="仿宋_GB2312" w:eastAsia="仿宋_GB2312" w:cs="仿宋" w:hAnsiTheme="minorEastAsia"/>
          <w:sz w:val="32"/>
          <w:szCs w:val="32"/>
        </w:rPr>
        <w:t>试题重复率不超过</w:t>
      </w:r>
      <w:r>
        <w:rPr>
          <w:rFonts w:ascii="仿宋_GB2312" w:eastAsia="仿宋_GB2312" w:cs="仿宋" w:hAnsiTheme="minorEastAsia"/>
          <w:sz w:val="32"/>
          <w:szCs w:val="32"/>
        </w:rPr>
        <w:t>50%</w:t>
      </w:r>
      <w:r>
        <w:rPr>
          <w:rFonts w:hint="eastAsia" w:ascii="仿宋_GB2312" w:eastAsia="仿宋_GB2312" w:cs="仿宋" w:hAnsiTheme="minorEastAsia"/>
          <w:sz w:val="32"/>
          <w:szCs w:val="32"/>
        </w:rPr>
        <w:t>。在比赛前</w:t>
      </w:r>
      <w:r>
        <w:rPr>
          <w:rFonts w:ascii="仿宋_GB2312" w:eastAsia="仿宋_GB2312" w:cs="仿宋" w:hAnsiTheme="minorEastAsia"/>
          <w:sz w:val="32"/>
          <w:szCs w:val="32"/>
        </w:rPr>
        <w:t>1天由裁判长指定专人在监督</w:t>
      </w:r>
      <w:r>
        <w:rPr>
          <w:rFonts w:hint="eastAsia" w:ascii="仿宋_GB2312" w:eastAsia="仿宋_GB2312" w:cs="仿宋" w:hAnsiTheme="minorEastAsia"/>
          <w:sz w:val="32"/>
          <w:szCs w:val="32"/>
        </w:rPr>
        <w:t>仲裁组的监督下随机抽取两套试题，作为竞赛赛卷和备用赛卷。</w:t>
      </w:r>
      <w:bookmarkEnd w:id="11"/>
      <w:bookmarkEnd w:id="12"/>
      <w:bookmarkEnd w:id="13"/>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竞赛样题见河北省职业院校技能大赛官方网站“2024年河北省职业院校学生技能大赛高职组数字金融投资规划大赛样题”。</w:t>
      </w:r>
    </w:p>
    <w:p>
      <w:pPr>
        <w:pStyle w:val="2"/>
        <w:keepNext w:val="0"/>
        <w:keepLines w:val="0"/>
        <w:spacing w:beforeLines="0" w:afterLines="0" w:line="580" w:lineRule="exact"/>
        <w:ind w:firstLine="640"/>
        <w:rPr>
          <w:rFonts w:ascii="楷体_GB2312" w:eastAsia="楷体_GB2312"/>
          <w:b w:val="0"/>
        </w:rPr>
      </w:pPr>
      <w:bookmarkStart w:id="14" w:name="bookmark53"/>
      <w:bookmarkStart w:id="15" w:name="bookmark52"/>
      <w:bookmarkStart w:id="16" w:name="bookmark51"/>
      <w:bookmarkStart w:id="17" w:name="bookmark54"/>
      <w:r>
        <w:rPr>
          <w:rFonts w:ascii="楷体_GB2312" w:eastAsia="楷体_GB2312"/>
          <w:b w:val="0"/>
        </w:rPr>
        <w:t>（</w:t>
      </w:r>
      <w:bookmarkEnd w:id="14"/>
      <w:r>
        <w:rPr>
          <w:rFonts w:ascii="楷体_GB2312" w:eastAsia="楷体_GB2312"/>
          <w:b w:val="0"/>
        </w:rPr>
        <w:t>三）赛项说明会</w:t>
      </w:r>
      <w:bookmarkEnd w:id="15"/>
      <w:bookmarkEnd w:id="16"/>
      <w:bookmarkEnd w:id="17"/>
    </w:p>
    <w:p>
      <w:pPr>
        <w:adjustRightInd w:val="0"/>
        <w:snapToGrid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在赛前召开赛项说明会，讲解竞赛</w:t>
      </w:r>
      <w:r>
        <w:rPr>
          <w:rFonts w:hint="eastAsia" w:ascii="仿宋_GB2312" w:eastAsia="仿宋_GB2312" w:cs="仿宋" w:hAnsiTheme="minorEastAsia"/>
          <w:sz w:val="32"/>
          <w:szCs w:val="32"/>
        </w:rPr>
        <w:t>流程</w:t>
      </w:r>
      <w:r>
        <w:rPr>
          <w:rFonts w:ascii="仿宋_GB2312" w:eastAsia="仿宋_GB2312" w:cs="仿宋" w:hAnsiTheme="minorEastAsia"/>
          <w:sz w:val="32"/>
          <w:szCs w:val="32"/>
        </w:rPr>
        <w:t>、注意事项、</w:t>
      </w:r>
      <w:r>
        <w:rPr>
          <w:rFonts w:hint="eastAsia" w:ascii="仿宋_GB2312" w:eastAsia="仿宋_GB2312" w:cs="仿宋" w:hAnsiTheme="minorEastAsia"/>
          <w:sz w:val="32"/>
          <w:szCs w:val="32"/>
        </w:rPr>
        <w:t>技术答疑</w:t>
      </w:r>
      <w:r>
        <w:rPr>
          <w:rFonts w:ascii="仿宋_GB2312" w:eastAsia="仿宋_GB2312" w:cs="仿宋" w:hAnsiTheme="minorEastAsia"/>
          <w:sz w:val="32"/>
          <w:szCs w:val="32"/>
        </w:rPr>
        <w:t>等。</w:t>
      </w:r>
    </w:p>
    <w:p>
      <w:pPr>
        <w:pStyle w:val="4"/>
        <w:spacing w:before="0" w:after="156" w:afterLines="50" w:line="580" w:lineRule="exact"/>
        <w:ind w:firstLine="640" w:firstLineChars="200"/>
        <w:jc w:val="both"/>
        <w:rPr>
          <w:rFonts w:ascii="黑体" w:eastAsia="黑体"/>
          <w:b w:val="0"/>
          <w:sz w:val="32"/>
        </w:rPr>
      </w:pPr>
      <w:bookmarkStart w:id="18" w:name="_Toc66894933"/>
      <w:bookmarkStart w:id="19" w:name="_Toc25588"/>
      <w:r>
        <w:rPr>
          <w:rFonts w:hint="eastAsia" w:ascii="黑体" w:eastAsia="黑体"/>
          <w:b w:val="0"/>
          <w:sz w:val="32"/>
        </w:rPr>
        <w:t>四、参赛要求和竞赛方式</w:t>
      </w:r>
      <w:bookmarkEnd w:id="18"/>
      <w:bookmarkEnd w:id="19"/>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（一）参赛要求</w:t>
      </w:r>
    </w:p>
    <w:p>
      <w:pPr>
        <w:adjustRightInd w:val="0"/>
        <w:snapToGrid w:val="0"/>
        <w:spacing w:line="580" w:lineRule="exact"/>
        <w:ind w:firstLine="640" w:firstLineChars="200"/>
        <w:jc w:val="both"/>
        <w:rPr>
          <w:rFonts w:ascii="仿宋_GB2312" w:eastAsia="仿宋_GB2312" w:cs="仿宋" w:hAnsiTheme="minorEastAsia"/>
          <w:sz w:val="32"/>
          <w:szCs w:val="32"/>
        </w:rPr>
      </w:pPr>
      <w:bookmarkStart w:id="20" w:name="_Toc66894935"/>
      <w:r>
        <w:rPr>
          <w:rFonts w:hint="eastAsia" w:ascii="仿宋_GB2312" w:eastAsia="仿宋_GB2312" w:cs="仿宋" w:hAnsiTheme="minorEastAsia"/>
          <w:sz w:val="32"/>
          <w:szCs w:val="32"/>
        </w:rPr>
        <w:t>参赛队及参赛选手资格：参赛学生为河北省高等职业学校(含本科职业院校)全日制在籍学生，资格以报名时所具有的在校学籍为准。</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本赛项为团体赛。以院校为单位组队参赛，不得跨校组队，每个参赛代表队由3名选手组成，每个代表队限设2名指导教师，每所学校限报1个代表队。各参赛学校设领队1人，指导教师可兼任领队。</w:t>
      </w:r>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（二）竞赛方式</w:t>
      </w:r>
    </w:p>
    <w:p>
      <w:pPr>
        <w:ind w:firstLine="480" w:firstLineChars="150"/>
        <w:rPr>
          <w:rFonts w:ascii="仿宋_GB2312" w:eastAsia="仿宋_GB2312" w:cs="仿宋_GB2312"/>
          <w:kern w:val="0"/>
          <w:sz w:val="32"/>
          <w:szCs w:val="32"/>
        </w:rPr>
      </w:pPr>
      <w:r>
        <w:rPr>
          <w:rFonts w:hint="eastAsia" w:ascii="仿宋_GB2312" w:eastAsia="仿宋_GB2312" w:cs="仿宋_GB2312"/>
          <w:kern w:val="0"/>
          <w:sz w:val="32"/>
          <w:szCs w:val="32"/>
        </w:rPr>
        <w:t>三个</w:t>
      </w:r>
      <w:r>
        <w:rPr>
          <w:rFonts w:ascii="仿宋_GB2312" w:eastAsia="仿宋_GB2312" w:cs="仿宋_GB2312"/>
          <w:kern w:val="0"/>
          <w:sz w:val="32"/>
          <w:szCs w:val="32"/>
        </w:rPr>
        <w:t>模块均</w:t>
      </w:r>
      <w:r>
        <w:rPr>
          <w:rFonts w:hint="eastAsia" w:ascii="仿宋_GB2312" w:eastAsia="仿宋_GB2312" w:cs="仿宋_GB2312"/>
          <w:kern w:val="0"/>
          <w:sz w:val="32"/>
          <w:szCs w:val="32"/>
        </w:rPr>
        <w:t>现场</w:t>
      </w:r>
      <w:r>
        <w:rPr>
          <w:rFonts w:ascii="仿宋_GB2312" w:eastAsia="仿宋_GB2312" w:cs="仿宋_GB2312"/>
          <w:kern w:val="0"/>
          <w:sz w:val="32"/>
          <w:szCs w:val="32"/>
        </w:rPr>
        <w:t>进行</w:t>
      </w:r>
      <w:r>
        <w:rPr>
          <w:rFonts w:hint="eastAsia" w:ascii="仿宋_GB2312" w:eastAsia="仿宋_GB2312" w:cs="仿宋_GB2312"/>
          <w:kern w:val="0"/>
          <w:sz w:val="32"/>
          <w:szCs w:val="32"/>
        </w:rPr>
        <w:t>比赛</w:t>
      </w:r>
      <w:bookmarkEnd w:id="20"/>
      <w:bookmarkStart w:id="21" w:name="_Toc513215815"/>
      <w:bookmarkStart w:id="22" w:name="_Toc511637449"/>
      <w:bookmarkStart w:id="23" w:name="_Toc382"/>
      <w:bookmarkStart w:id="24" w:name="_Toc511637450"/>
      <w:bookmarkStart w:id="25" w:name="_Toc513215816"/>
      <w:r>
        <w:rPr>
          <w:rFonts w:hint="eastAsia" w:ascii="仿宋_GB2312" w:eastAsia="仿宋_GB2312" w:cs="仿宋_GB2312"/>
          <w:kern w:val="0"/>
          <w:sz w:val="32"/>
          <w:szCs w:val="32"/>
        </w:rPr>
        <w:t>。</w:t>
      </w:r>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（三）成绩汇总</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所有竞赛结束后记分员将解密后的各参赛队成绩汇总成最终成绩单，经裁判长、监督仲裁长</w:t>
      </w:r>
      <w:r>
        <w:rPr>
          <w:rFonts w:hint="eastAsia" w:ascii="仿宋_GB2312" w:eastAsia="仿宋_GB2312" w:cs="仿宋" w:hAnsiTheme="minorEastAsia"/>
          <w:sz w:val="32"/>
          <w:szCs w:val="32"/>
        </w:rPr>
        <w:t>审核</w:t>
      </w:r>
      <w:r>
        <w:rPr>
          <w:rFonts w:ascii="仿宋_GB2312" w:eastAsia="仿宋_GB2312" w:cs="仿宋" w:hAnsiTheme="minorEastAsia"/>
          <w:sz w:val="32"/>
          <w:szCs w:val="32"/>
        </w:rPr>
        <w:t>签字</w:t>
      </w:r>
      <w:r>
        <w:rPr>
          <w:rFonts w:hint="eastAsia" w:ascii="仿宋_GB2312" w:eastAsia="仿宋_GB2312" w:cs="仿宋" w:hAnsiTheme="minorEastAsia"/>
          <w:sz w:val="32"/>
          <w:szCs w:val="32"/>
        </w:rPr>
        <w:t>确认。</w:t>
      </w:r>
      <w:r>
        <w:rPr>
          <w:rFonts w:ascii="仿宋_GB2312" w:eastAsia="仿宋_GB2312" w:cs="仿宋" w:hAnsiTheme="minorEastAsia"/>
          <w:sz w:val="32"/>
          <w:szCs w:val="32"/>
        </w:rPr>
        <w:t>竞赛成绩在所有竞赛</w:t>
      </w:r>
      <w:r>
        <w:rPr>
          <w:rFonts w:hint="eastAsia" w:ascii="仿宋_GB2312" w:eastAsia="仿宋_GB2312" w:cs="仿宋" w:hAnsiTheme="minorEastAsia"/>
          <w:sz w:val="32"/>
          <w:szCs w:val="32"/>
        </w:rPr>
        <w:t>环节结束两</w:t>
      </w:r>
      <w:r>
        <w:rPr>
          <w:rFonts w:ascii="仿宋_GB2312" w:eastAsia="仿宋_GB2312" w:cs="仿宋" w:hAnsiTheme="minorEastAsia"/>
          <w:sz w:val="32"/>
          <w:szCs w:val="32"/>
        </w:rPr>
        <w:t>小时后公示。</w:t>
      </w:r>
      <w:bookmarkStart w:id="26" w:name="bookmark239"/>
    </w:p>
    <w:bookmarkEnd w:id="26"/>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由赛务信息员将签字的纸质打印成绩单报送赛项执委会和大赛执委会办公室。</w:t>
      </w:r>
    </w:p>
    <w:p>
      <w:pPr>
        <w:pStyle w:val="4"/>
        <w:spacing w:before="0" w:after="156" w:afterLines="50" w:line="580" w:lineRule="exact"/>
        <w:ind w:firstLine="640" w:firstLineChars="200"/>
        <w:jc w:val="both"/>
        <w:rPr>
          <w:rFonts w:ascii="黑体" w:eastAsia="黑体"/>
          <w:b w:val="0"/>
          <w:sz w:val="32"/>
        </w:rPr>
      </w:pPr>
      <w:bookmarkStart w:id="27" w:name="_Toc8071"/>
      <w:bookmarkStart w:id="28" w:name="_Toc66894936"/>
      <w:r>
        <w:rPr>
          <w:rFonts w:hint="eastAsia" w:ascii="黑体" w:eastAsia="黑体"/>
          <w:b w:val="0"/>
          <w:sz w:val="32"/>
        </w:rPr>
        <w:t>五、评分标准与奖项设置</w:t>
      </w:r>
      <w:bookmarkEnd w:id="27"/>
    </w:p>
    <w:p>
      <w:pPr>
        <w:pStyle w:val="2"/>
        <w:keepNext w:val="0"/>
        <w:keepLines w:val="0"/>
        <w:spacing w:beforeLines="0" w:afterLines="0" w:line="580" w:lineRule="exact"/>
        <w:ind w:firstLine="640"/>
        <w:rPr>
          <w:rFonts w:ascii="楷体_GB2312" w:eastAsia="楷体_GB2312"/>
          <w:b w:val="0"/>
        </w:rPr>
      </w:pPr>
      <w:bookmarkStart w:id="29" w:name="_Toc66894941"/>
      <w:r>
        <w:rPr>
          <w:rFonts w:hint="eastAsia" w:ascii="楷体_GB2312" w:eastAsia="楷体_GB2312"/>
          <w:b w:val="0"/>
        </w:rPr>
        <w:t>（一）评分标准</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按照《全国院校技能大赛成绩管理办法》的相关要求，根据申报赛项自身的特点，采取具有较强操作性的评分方法。</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（一）评分原则</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应遵循“公开、公平、公正”的竞赛原则，科学、客观、严谨的进行赛项评分。</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评分方法</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“数字金融职业素养测试”竞赛成绩评定由“天择数字金融理财竞赛平台</w:t>
      </w:r>
      <w:r>
        <w:rPr>
          <w:rFonts w:ascii="仿宋_GB2312" w:eastAsia="仿宋_GB2312" w:cs="仿宋" w:hAnsiTheme="minorEastAsia"/>
          <w:sz w:val="32"/>
          <w:szCs w:val="32"/>
        </w:rPr>
        <w:t>V1.0</w:t>
      </w:r>
      <w:r>
        <w:rPr>
          <w:rFonts w:hint="eastAsia" w:ascii="仿宋_GB2312" w:eastAsia="仿宋_GB2312" w:cs="仿宋" w:hAnsiTheme="minorEastAsia"/>
          <w:sz w:val="32"/>
          <w:szCs w:val="32"/>
        </w:rPr>
        <w:t>”自动评分；</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“数字金融理财规划实操”竞赛成绩评定由“天择数字金融理财竞赛平台</w:t>
      </w:r>
      <w:r>
        <w:rPr>
          <w:rFonts w:ascii="仿宋_GB2312" w:eastAsia="仿宋_GB2312" w:cs="仿宋" w:hAnsiTheme="minorEastAsia"/>
          <w:sz w:val="32"/>
          <w:szCs w:val="32"/>
        </w:rPr>
        <w:t>V1.0</w:t>
      </w:r>
      <w:r>
        <w:rPr>
          <w:rFonts w:hint="eastAsia" w:ascii="仿宋_GB2312" w:eastAsia="仿宋_GB2312" w:cs="仿宋" w:hAnsiTheme="minorEastAsia"/>
          <w:sz w:val="32"/>
          <w:szCs w:val="32"/>
        </w:rPr>
        <w:t>”自动评分；</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“数字金融路演汇报”模块成绩由现场裁判根据路演表现评分确认。</w:t>
      </w:r>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（二）裁判组</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1、本次竞赛设立裁判组，由1名裁判长、</w:t>
      </w:r>
      <w:r>
        <w:rPr>
          <w:rFonts w:hint="eastAsia" w:ascii="仿宋_GB2312" w:eastAsia="仿宋_GB2312" w:cs="仿宋" w:hAnsiTheme="minorEastAsia"/>
          <w:sz w:val="32"/>
          <w:szCs w:val="32"/>
          <w:lang w:eastAsia="zh-CN"/>
        </w:rPr>
        <w:t>若干</w:t>
      </w:r>
      <w:r>
        <w:rPr>
          <w:rFonts w:hint="eastAsia" w:ascii="仿宋_GB2312" w:eastAsia="仿宋_GB2312" w:cs="仿宋" w:hAnsiTheme="minorEastAsia"/>
          <w:sz w:val="32"/>
          <w:szCs w:val="32"/>
        </w:rPr>
        <w:t>裁判员组成。裁判长负责组织裁判员培训、安排裁判员分工、开展技术点评。裁判员按照公平工作原则和裁判组分工，承担比赛执裁和评分工作，本着廉洁、诚信的原则履行职责，确保大赛公平、公正、公开、透明。</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设立各赛程评分小组，裁判严格按照评分细则进行评分，最后进行成绩汇总，并由小组组长审核确认签字，移交裁判长。由裁判长、仲裁长审核，签字确认后移交到竞赛组委会。</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2、比赛过程如选手遇到电脑键盘鼠标失灵、设备断电等故障等申请暂停，由技术人员提供技术支持，确属设备原因裁判予以相应补时。如果属于选手操作不当等原因不予补时。</w:t>
      </w:r>
    </w:p>
    <w:p>
      <w:pPr>
        <w:widowControl w:val="0"/>
        <w:adjustRightInd w:val="0"/>
        <w:snapToGrid w:val="0"/>
        <w:spacing w:line="580" w:lineRule="exact"/>
        <w:ind w:firstLine="640" w:firstLineChars="200"/>
        <w:jc w:val="both"/>
        <w:rPr>
          <w:rFonts w:ascii="仿宋_GB2312" w:eastAsia="仿宋_GB2312" w:cs="仿宋" w:hAnsiTheme="minorEastAsia"/>
          <w:sz w:val="32"/>
          <w:szCs w:val="32"/>
          <w:highlight w:val="none"/>
        </w:rPr>
      </w:pPr>
      <w:r>
        <w:rPr>
          <w:rFonts w:hint="eastAsia" w:ascii="仿宋_GB2312" w:eastAsia="仿宋_GB2312" w:cs="仿宋" w:hAnsiTheme="minorEastAsia"/>
          <w:sz w:val="32"/>
          <w:szCs w:val="32"/>
          <w:highlight w:val="none"/>
        </w:rPr>
        <w:t>3、各赛程结束后，提交的竞赛成果（如答题卡、PPT等）需要选手确认签字，该工位的选手必须在场。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4、赛项裁判组本着“公平、公正、公开、科学、规范、透明、无异议”的原则，根据裁判的现场记录、参赛队选手的赛项任务书及评分标准，评定成绩。</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5、名次按比赛成绩由高到低排列，比赛成绩高的参赛队名次在前。</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6、评分方式以小组为单位，裁判相互监督，对检测、评分结果进行一查、二审、三复核，确保评分环节准确、公正。成绩经工作人员统计，裁判组、仲裁组分别核准后，按照大赛有关制度进行公布。</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7、本赛项在比赛过程中若出现有失公正或有关人员违规等现象，参赛队领队可在赛程结束后两小时内提出书面申诉。赛项监督仲裁组在接到申诉后的两小时内组织复议，并及时反馈复议结果。申诉方对复议结果仍有异议，可由领队向仲裁委员会提出申诉。仲裁委员会的仲裁结果为最终结果。</w:t>
      </w:r>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（三）评分细则</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按照竞赛任务要求、考核知识点、作业要点、评分标准等分解设计评分表，评分细则如表</w:t>
      </w:r>
      <w:r>
        <w:rPr>
          <w:rFonts w:ascii="仿宋_GB2312" w:eastAsia="仿宋_GB2312" w:cs="仿宋" w:hAnsiTheme="minorEastAsia"/>
          <w:sz w:val="32"/>
          <w:szCs w:val="32"/>
        </w:rPr>
        <w:t>1所示。</w:t>
      </w:r>
    </w:p>
    <w:p>
      <w:pPr>
        <w:adjustRightInd w:val="0"/>
        <w:snapToGrid w:val="0"/>
        <w:spacing w:line="580" w:lineRule="exact"/>
        <w:ind w:firstLine="600" w:firstLineChars="200"/>
        <w:jc w:val="center"/>
        <w:rPr>
          <w:rFonts w:ascii="宋体" w:hAnsi="宋体"/>
          <w:sz w:val="30"/>
          <w:szCs w:val="30"/>
        </w:rPr>
      </w:pPr>
      <w:r>
        <w:rPr>
          <w:rFonts w:hint="eastAsia" w:ascii="宋体" w:hAnsi="宋体"/>
          <w:sz w:val="30"/>
          <w:szCs w:val="30"/>
        </w:rPr>
        <w:t>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2181"/>
        <w:gridCol w:w="170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比赛模块</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选手</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分值</w:t>
            </w:r>
          </w:p>
        </w:tc>
        <w:tc>
          <w:tcPr>
            <w:tcW w:w="1199"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数字金融职业素养测试</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三名选手均需参加</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100（取三位选手的平均分）</w:t>
            </w:r>
          </w:p>
        </w:tc>
        <w:tc>
          <w:tcPr>
            <w:tcW w:w="1199" w:type="dxa"/>
            <w:vMerge w:val="restart"/>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3</w:t>
            </w:r>
            <w:r>
              <w:rPr>
                <w:rFonts w:ascii="仿宋_GB2312" w:eastAsia="仿宋_GB2312" w:cs="仿宋_GB2312"/>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数字金融理财规划实操</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三名选手均需参加</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100（取三位选手的平均分）</w:t>
            </w:r>
          </w:p>
        </w:tc>
        <w:tc>
          <w:tcPr>
            <w:tcW w:w="1199" w:type="dxa"/>
            <w:vMerge w:val="continue"/>
            <w:vAlign w:val="center"/>
          </w:tcPr>
          <w:p>
            <w:pPr>
              <w:jc w:val="center"/>
              <w:rPr>
                <w:rFonts w:asci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5"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数字金融路演汇报</w:t>
            </w:r>
          </w:p>
        </w:tc>
        <w:tc>
          <w:tcPr>
            <w:tcW w:w="218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选派一名选手参加</w:t>
            </w:r>
          </w:p>
        </w:tc>
        <w:tc>
          <w:tcPr>
            <w:tcW w:w="17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100</w:t>
            </w:r>
          </w:p>
        </w:tc>
        <w:tc>
          <w:tcPr>
            <w:tcW w:w="1199" w:type="dxa"/>
            <w:vMerge w:val="continue"/>
            <w:vAlign w:val="center"/>
          </w:tcPr>
          <w:p>
            <w:pPr>
              <w:jc w:val="center"/>
              <w:rPr>
                <w:rFonts w:ascii="仿宋_GB2312" w:eastAsia="仿宋_GB2312" w:cs="仿宋_GB2312"/>
                <w:kern w:val="0"/>
                <w:sz w:val="24"/>
                <w:szCs w:val="24"/>
              </w:rPr>
            </w:pPr>
          </w:p>
        </w:tc>
      </w:tr>
    </w:tbl>
    <w:p/>
    <w:bookmarkEnd w:id="29"/>
    <w:p>
      <w:pPr>
        <w:pStyle w:val="2"/>
        <w:keepNext w:val="0"/>
        <w:keepLines w:val="0"/>
        <w:spacing w:beforeLines="0" w:afterLines="0" w:line="580" w:lineRule="exact"/>
        <w:ind w:firstLine="640"/>
        <w:rPr>
          <w:rFonts w:ascii="楷体_GB2312" w:eastAsia="楷体_GB2312"/>
          <w:b w:val="0"/>
        </w:rPr>
      </w:pPr>
      <w:bookmarkStart w:id="30" w:name="_Toc85188042"/>
      <w:bookmarkStart w:id="31" w:name="_Toc84761184"/>
      <w:r>
        <w:rPr>
          <w:rFonts w:hint="eastAsia" w:ascii="楷体_GB2312" w:eastAsia="楷体_GB2312"/>
          <w:b w:val="0"/>
        </w:rPr>
        <w:t>（四）奖项设</w:t>
      </w:r>
      <w:bookmarkEnd w:id="30"/>
      <w:bookmarkEnd w:id="31"/>
      <w:r>
        <w:rPr>
          <w:rFonts w:hint="eastAsia" w:ascii="楷体_GB2312" w:eastAsia="楷体_GB2312"/>
          <w:b w:val="0"/>
        </w:rPr>
        <w:t>置</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设团体一、二、三等奖，以赛项实际参赛队总数为基数，一、二、三等奖获奖比例分别为10%、20%、30%（小数点后四舍五入）。</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获得一等奖参赛队伍</w:t>
      </w:r>
      <w:r>
        <w:rPr>
          <w:rFonts w:hint="eastAsia" w:ascii="仿宋_GB2312" w:eastAsia="仿宋_GB2312" w:cs="仿宋" w:hAnsiTheme="minorEastAsia"/>
          <w:sz w:val="32"/>
          <w:szCs w:val="32"/>
          <w:lang w:val="en-US" w:eastAsia="zh-CN"/>
        </w:rPr>
        <w:t>的第一</w:t>
      </w:r>
      <w:r>
        <w:rPr>
          <w:rFonts w:hint="eastAsia" w:ascii="仿宋_GB2312" w:eastAsia="仿宋_GB2312" w:cs="仿宋" w:hAnsiTheme="minorEastAsia"/>
          <w:sz w:val="32"/>
          <w:szCs w:val="32"/>
        </w:rPr>
        <w:t>指导教师颁发“优秀指导教师奖”。</w:t>
      </w:r>
    </w:p>
    <w:p>
      <w:pPr>
        <w:pStyle w:val="4"/>
        <w:spacing w:before="0" w:after="156" w:afterLines="50" w:line="580" w:lineRule="exact"/>
        <w:ind w:firstLine="640" w:firstLineChars="200"/>
        <w:jc w:val="both"/>
        <w:rPr>
          <w:rFonts w:ascii="黑体" w:eastAsia="黑体"/>
          <w:b w:val="0"/>
          <w:sz w:val="32"/>
        </w:rPr>
      </w:pPr>
      <w:bookmarkStart w:id="32" w:name="_Toc15389"/>
      <w:r>
        <w:rPr>
          <w:rFonts w:hint="eastAsia" w:ascii="黑体" w:eastAsia="黑体"/>
          <w:b w:val="0"/>
          <w:sz w:val="32"/>
        </w:rPr>
        <w:t>六、</w:t>
      </w:r>
      <w:bookmarkEnd w:id="21"/>
      <w:bookmarkEnd w:id="22"/>
      <w:r>
        <w:rPr>
          <w:rFonts w:hint="eastAsia" w:ascii="黑体" w:eastAsia="黑体"/>
          <w:b w:val="0"/>
          <w:sz w:val="32"/>
        </w:rPr>
        <w:t>竞赛日程</w:t>
      </w:r>
      <w:bookmarkEnd w:id="28"/>
      <w:bookmarkEnd w:id="32"/>
    </w:p>
    <w:tbl>
      <w:tblPr>
        <w:tblStyle w:val="18"/>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127"/>
        <w:gridCol w:w="1701"/>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比赛模块</w:t>
            </w:r>
          </w:p>
        </w:tc>
        <w:tc>
          <w:tcPr>
            <w:tcW w:w="2127"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比赛时长</w:t>
            </w:r>
          </w:p>
        </w:tc>
        <w:tc>
          <w:tcPr>
            <w:tcW w:w="1701"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比赛形式</w:t>
            </w:r>
          </w:p>
        </w:tc>
        <w:tc>
          <w:tcPr>
            <w:tcW w:w="3487"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数字金融职业素养测试</w:t>
            </w:r>
          </w:p>
        </w:tc>
        <w:tc>
          <w:tcPr>
            <w:tcW w:w="2127"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1小时</w:t>
            </w:r>
          </w:p>
        </w:tc>
        <w:tc>
          <w:tcPr>
            <w:tcW w:w="1701"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线下比赛</w:t>
            </w:r>
          </w:p>
        </w:tc>
        <w:tc>
          <w:tcPr>
            <w:tcW w:w="3487" w:type="dxa"/>
            <w:vAlign w:val="center"/>
          </w:tcPr>
          <w:p>
            <w:pPr>
              <w:spacing w:line="400" w:lineRule="exact"/>
              <w:rPr>
                <w:rFonts w:ascii="黑体" w:eastAsia="仿宋" w:cs="黑体"/>
                <w:kern w:val="0"/>
                <w:sz w:val="24"/>
                <w:szCs w:val="24"/>
              </w:rPr>
            </w:pPr>
            <w:r>
              <w:rPr>
                <w:rFonts w:hint="eastAsia" w:ascii="微软雅黑" w:hAnsi="微软雅黑" w:eastAsia="仿宋"/>
                <w:color w:val="000000" w:themeColor="text1"/>
                <w:sz w:val="24"/>
                <w:szCs w:val="24"/>
                <w14:textFill>
                  <w14:solidFill>
                    <w14:schemeClr w14:val="tx1"/>
                  </w14:solidFill>
                </w14:textFill>
              </w:rPr>
              <w:t>选手用</w:t>
            </w:r>
            <w:r>
              <w:rPr>
                <w:rFonts w:ascii="微软雅黑" w:hAnsi="微软雅黑" w:eastAsia="仿宋"/>
                <w:color w:val="000000" w:themeColor="text1"/>
                <w:sz w:val="24"/>
                <w:szCs w:val="24"/>
                <w14:textFill>
                  <w14:solidFill>
                    <w14:schemeClr w14:val="tx1"/>
                  </w14:solidFill>
                </w14:textFill>
              </w:rPr>
              <w:t>账号登录</w:t>
            </w:r>
            <w:r>
              <w:rPr>
                <w:rFonts w:hint="eastAsia" w:ascii="微软雅黑" w:hAnsi="微软雅黑" w:eastAsia="仿宋"/>
                <w:color w:val="000000" w:themeColor="text1"/>
                <w:sz w:val="24"/>
                <w:szCs w:val="24"/>
                <w14:textFill>
                  <w14:solidFill>
                    <w14:schemeClr w14:val="tx1"/>
                  </w14:solidFill>
                </w14:textFill>
              </w:rPr>
              <w:t>比赛系统</w:t>
            </w:r>
            <w:r>
              <w:rPr>
                <w:rFonts w:ascii="微软雅黑" w:hAnsi="微软雅黑" w:eastAsia="仿宋"/>
                <w:color w:val="000000" w:themeColor="text1"/>
                <w:sz w:val="24"/>
                <w:szCs w:val="24"/>
                <w14:textFill>
                  <w14:solidFill>
                    <w14:schemeClr w14:val="tx1"/>
                  </w14:solidFill>
                </w14:textFill>
              </w:rPr>
              <w:t>进行操作</w:t>
            </w:r>
            <w:r>
              <w:rPr>
                <w:rFonts w:hint="eastAsia" w:ascii="微软雅黑" w:hAnsi="微软雅黑" w:eastAsia="仿宋"/>
                <w:color w:val="000000" w:themeColor="text1"/>
                <w:sz w:val="24"/>
                <w:szCs w:val="24"/>
                <w14:textFill>
                  <w14:solidFill>
                    <w14:schemeClr w14:val="tx1"/>
                  </w14:solidFill>
                </w14:textFill>
              </w:rPr>
              <w:t>，</w:t>
            </w:r>
            <w:r>
              <w:rPr>
                <w:rFonts w:ascii="微软雅黑" w:hAnsi="微软雅黑" w:eastAsia="仿宋"/>
                <w:color w:val="000000" w:themeColor="text1"/>
                <w:sz w:val="24"/>
                <w:szCs w:val="24"/>
                <w14:textFill>
                  <w14:solidFill>
                    <w14:schemeClr w14:val="tx1"/>
                  </w14:solidFill>
                </w14:textFill>
              </w:rPr>
              <w:t>系统自动评分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96"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数字金融理财规划实操</w:t>
            </w:r>
          </w:p>
        </w:tc>
        <w:tc>
          <w:tcPr>
            <w:tcW w:w="2127"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2小时</w:t>
            </w:r>
          </w:p>
        </w:tc>
        <w:tc>
          <w:tcPr>
            <w:tcW w:w="1701"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线下比赛</w:t>
            </w:r>
          </w:p>
        </w:tc>
        <w:tc>
          <w:tcPr>
            <w:tcW w:w="3487" w:type="dxa"/>
            <w:vAlign w:val="center"/>
          </w:tcPr>
          <w:p>
            <w:pPr>
              <w:autoSpaceDE w:val="0"/>
              <w:autoSpaceDN w:val="0"/>
              <w:adjustRightInd w:val="0"/>
              <w:rPr>
                <w:rFonts w:ascii="黑体" w:eastAsia="仿宋" w:cs="黑体"/>
                <w:kern w:val="0"/>
                <w:sz w:val="24"/>
                <w:szCs w:val="24"/>
              </w:rPr>
            </w:pPr>
            <w:r>
              <w:rPr>
                <w:rFonts w:hint="eastAsia" w:ascii="微软雅黑" w:hAnsi="微软雅黑" w:eastAsia="仿宋"/>
                <w:color w:val="000000" w:themeColor="text1"/>
                <w:sz w:val="24"/>
                <w:szCs w:val="24"/>
                <w14:textFill>
                  <w14:solidFill>
                    <w14:schemeClr w14:val="tx1"/>
                  </w14:solidFill>
                </w14:textFill>
              </w:rPr>
              <w:t>选手用</w:t>
            </w:r>
            <w:r>
              <w:rPr>
                <w:rFonts w:ascii="微软雅黑" w:hAnsi="微软雅黑" w:eastAsia="仿宋"/>
                <w:color w:val="000000" w:themeColor="text1"/>
                <w:sz w:val="24"/>
                <w:szCs w:val="24"/>
                <w14:textFill>
                  <w14:solidFill>
                    <w14:schemeClr w14:val="tx1"/>
                  </w14:solidFill>
                </w14:textFill>
              </w:rPr>
              <w:t>账号登录</w:t>
            </w:r>
            <w:r>
              <w:rPr>
                <w:rFonts w:hint="eastAsia" w:ascii="微软雅黑" w:hAnsi="微软雅黑" w:eastAsia="仿宋"/>
                <w:color w:val="000000" w:themeColor="text1"/>
                <w:sz w:val="24"/>
                <w:szCs w:val="24"/>
                <w14:textFill>
                  <w14:solidFill>
                    <w14:schemeClr w14:val="tx1"/>
                  </w14:solidFill>
                </w14:textFill>
              </w:rPr>
              <w:t>比赛系统</w:t>
            </w:r>
            <w:r>
              <w:rPr>
                <w:rFonts w:ascii="微软雅黑" w:hAnsi="微软雅黑" w:eastAsia="仿宋"/>
                <w:color w:val="000000" w:themeColor="text1"/>
                <w:sz w:val="24"/>
                <w:szCs w:val="24"/>
                <w14:textFill>
                  <w14:solidFill>
                    <w14:schemeClr w14:val="tx1"/>
                  </w14:solidFill>
                </w14:textFill>
              </w:rPr>
              <w:t>进行操作</w:t>
            </w:r>
            <w:r>
              <w:rPr>
                <w:rFonts w:hint="eastAsia" w:ascii="微软雅黑" w:hAnsi="微软雅黑" w:eastAsia="仿宋"/>
                <w:color w:val="000000" w:themeColor="text1"/>
                <w:sz w:val="24"/>
                <w:szCs w:val="24"/>
                <w14:textFill>
                  <w14:solidFill>
                    <w14:schemeClr w14:val="tx1"/>
                  </w14:solidFill>
                </w14:textFill>
              </w:rPr>
              <w:t>，</w:t>
            </w:r>
            <w:r>
              <w:rPr>
                <w:rFonts w:ascii="微软雅黑" w:hAnsi="微软雅黑" w:eastAsia="仿宋"/>
                <w:color w:val="000000" w:themeColor="text1"/>
                <w:sz w:val="24"/>
                <w:szCs w:val="24"/>
                <w14:textFill>
                  <w14:solidFill>
                    <w14:schemeClr w14:val="tx1"/>
                  </w14:solidFill>
                </w14:textFill>
              </w:rPr>
              <w:t>系统自动评分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696"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数字金融路演汇报</w:t>
            </w:r>
          </w:p>
        </w:tc>
        <w:tc>
          <w:tcPr>
            <w:tcW w:w="2127" w:type="dxa"/>
            <w:vAlign w:val="center"/>
          </w:tcPr>
          <w:p>
            <w:pPr>
              <w:autoSpaceDE w:val="0"/>
              <w:autoSpaceDN w:val="0"/>
              <w:adjustRightInd w:val="0"/>
              <w:jc w:val="center"/>
              <w:rPr>
                <w:rFonts w:hint="default"/>
                <w:lang w:val="en-US" w:eastAsia="zh-CN"/>
              </w:rPr>
            </w:pPr>
            <w:r>
              <w:rPr>
                <w:rFonts w:ascii="黑体" w:eastAsia="仿宋" w:cs="黑体"/>
                <w:kern w:val="0"/>
                <w:sz w:val="24"/>
                <w:szCs w:val="24"/>
              </w:rPr>
              <w:t>15</w:t>
            </w:r>
            <w:r>
              <w:rPr>
                <w:rFonts w:hint="eastAsia" w:ascii="黑体" w:eastAsia="仿宋" w:cs="黑体"/>
                <w:kern w:val="0"/>
                <w:sz w:val="24"/>
                <w:szCs w:val="24"/>
              </w:rPr>
              <w:t>分钟</w:t>
            </w:r>
            <w:r>
              <w:rPr>
                <w:rFonts w:hint="eastAsia" w:ascii="黑体" w:eastAsia="仿宋" w:cs="黑体"/>
                <w:kern w:val="0"/>
                <w:sz w:val="24"/>
                <w:szCs w:val="24"/>
                <w:lang w:val="en-US" w:eastAsia="zh-CN"/>
              </w:rPr>
              <w:t>/队</w:t>
            </w:r>
          </w:p>
        </w:tc>
        <w:tc>
          <w:tcPr>
            <w:tcW w:w="1701" w:type="dxa"/>
            <w:vAlign w:val="center"/>
          </w:tcPr>
          <w:p>
            <w:pPr>
              <w:autoSpaceDE w:val="0"/>
              <w:autoSpaceDN w:val="0"/>
              <w:adjustRightInd w:val="0"/>
              <w:jc w:val="center"/>
              <w:rPr>
                <w:rFonts w:ascii="黑体" w:eastAsia="仿宋" w:cs="黑体"/>
                <w:kern w:val="0"/>
                <w:sz w:val="24"/>
                <w:szCs w:val="24"/>
              </w:rPr>
            </w:pPr>
            <w:r>
              <w:rPr>
                <w:rFonts w:hint="eastAsia" w:ascii="黑体" w:eastAsia="仿宋" w:cs="黑体"/>
                <w:kern w:val="0"/>
                <w:sz w:val="24"/>
                <w:szCs w:val="24"/>
              </w:rPr>
              <w:t>线下比赛</w:t>
            </w:r>
          </w:p>
        </w:tc>
        <w:tc>
          <w:tcPr>
            <w:tcW w:w="3487" w:type="dxa"/>
            <w:vAlign w:val="center"/>
          </w:tcPr>
          <w:p>
            <w:pPr>
              <w:autoSpaceDE w:val="0"/>
              <w:autoSpaceDN w:val="0"/>
              <w:adjustRightInd w:val="0"/>
              <w:jc w:val="both"/>
              <w:rPr>
                <w:rFonts w:ascii="黑体" w:eastAsia="仿宋" w:cs="黑体"/>
                <w:kern w:val="0"/>
                <w:sz w:val="24"/>
                <w:szCs w:val="24"/>
              </w:rPr>
            </w:pPr>
            <w:r>
              <w:rPr>
                <w:rFonts w:hint="eastAsia" w:ascii="黑体" w:eastAsia="仿宋" w:cs="黑体"/>
                <w:kern w:val="0"/>
                <w:sz w:val="24"/>
                <w:szCs w:val="24"/>
              </w:rPr>
              <w:t>根据分组参加线下路演</w:t>
            </w:r>
          </w:p>
        </w:tc>
      </w:tr>
    </w:tbl>
    <w:p>
      <w:pPr>
        <w:adjustRightInd w:val="0"/>
        <w:snapToGrid w:val="0"/>
        <w:spacing w:line="580" w:lineRule="exact"/>
        <w:ind w:firstLine="600" w:firstLineChars="200"/>
        <w:jc w:val="both"/>
        <w:rPr>
          <w:rFonts w:ascii="宋体" w:hAnsi="宋体" w:cs="仿宋"/>
          <w:sz w:val="30"/>
          <w:szCs w:val="30"/>
        </w:rPr>
      </w:pPr>
      <w:bookmarkStart w:id="33" w:name="_Toc515438650"/>
      <w:r>
        <w:rPr>
          <w:rFonts w:hint="eastAsia" w:ascii="宋体" w:hAnsi="宋体" w:cs="仿宋"/>
          <w:sz w:val="30"/>
          <w:szCs w:val="30"/>
        </w:rPr>
        <w:t>注：如遇上述计划变更</w:t>
      </w:r>
      <w:r>
        <w:rPr>
          <w:rFonts w:ascii="宋体" w:hAnsi="宋体" w:cs="仿宋"/>
          <w:sz w:val="30"/>
          <w:szCs w:val="30"/>
        </w:rPr>
        <w:t>，以大赛组委会</w:t>
      </w:r>
      <w:r>
        <w:rPr>
          <w:rFonts w:hint="eastAsia" w:ascii="宋体" w:hAnsi="宋体" w:cs="仿宋"/>
          <w:sz w:val="30"/>
          <w:szCs w:val="30"/>
        </w:rPr>
        <w:t>另行通知为准。</w:t>
      </w:r>
      <w:bookmarkEnd w:id="23"/>
      <w:bookmarkEnd w:id="24"/>
      <w:bookmarkEnd w:id="25"/>
      <w:bookmarkEnd w:id="33"/>
      <w:bookmarkStart w:id="34" w:name="_Toc513215819"/>
      <w:bookmarkStart w:id="35" w:name="_Toc511637453"/>
      <w:bookmarkStart w:id="36" w:name="_Toc66894937"/>
    </w:p>
    <w:bookmarkEnd w:id="34"/>
    <w:bookmarkEnd w:id="35"/>
    <w:bookmarkEnd w:id="36"/>
    <w:p>
      <w:pPr>
        <w:pStyle w:val="4"/>
        <w:spacing w:before="0" w:after="156" w:afterLines="50" w:line="580" w:lineRule="exact"/>
        <w:ind w:firstLine="640" w:firstLineChars="200"/>
        <w:jc w:val="both"/>
        <w:rPr>
          <w:rFonts w:ascii="黑体" w:eastAsia="黑体"/>
          <w:b w:val="0"/>
          <w:sz w:val="32"/>
        </w:rPr>
      </w:pPr>
      <w:bookmarkStart w:id="37" w:name="_Toc513215820"/>
      <w:bookmarkStart w:id="38" w:name="_Toc66894938"/>
      <w:bookmarkStart w:id="39" w:name="_Toc511637454"/>
      <w:bookmarkStart w:id="40" w:name="_Toc11098"/>
      <w:r>
        <w:rPr>
          <w:rFonts w:hint="eastAsia" w:ascii="黑体" w:eastAsia="黑体"/>
          <w:b w:val="0"/>
          <w:sz w:val="32"/>
        </w:rPr>
        <w:t>七、竞赛</w:t>
      </w:r>
      <w:bookmarkEnd w:id="37"/>
      <w:bookmarkEnd w:id="38"/>
      <w:bookmarkEnd w:id="39"/>
      <w:r>
        <w:rPr>
          <w:rFonts w:hint="eastAsia" w:ascii="黑体" w:eastAsia="黑体"/>
          <w:b w:val="0"/>
          <w:sz w:val="32"/>
        </w:rPr>
        <w:t>实施</w:t>
      </w:r>
      <w:bookmarkEnd w:id="40"/>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（一）竞赛时间</w:t>
      </w:r>
    </w:p>
    <w:p>
      <w:r>
        <w:rPr>
          <w:rFonts w:hint="eastAsia"/>
        </w:rPr>
        <w:t>根据赛项特点，</w:t>
      </w:r>
      <w:r>
        <w:t xml:space="preserve">安排如下： </w:t>
      </w:r>
    </w:p>
    <w:tbl>
      <w:tblPr>
        <w:tblStyle w:val="17"/>
        <w:tblW w:w="8709" w:type="dxa"/>
        <w:tblInd w:w="113" w:type="dxa"/>
        <w:tblLayout w:type="autofit"/>
        <w:tblCellMar>
          <w:top w:w="0" w:type="dxa"/>
          <w:left w:w="108" w:type="dxa"/>
          <w:bottom w:w="0" w:type="dxa"/>
          <w:right w:w="108" w:type="dxa"/>
        </w:tblCellMar>
      </w:tblPr>
      <w:tblGrid>
        <w:gridCol w:w="1267"/>
        <w:gridCol w:w="2718"/>
        <w:gridCol w:w="1200"/>
        <w:gridCol w:w="3524"/>
      </w:tblGrid>
      <w:tr>
        <w:trPr>
          <w:trHeight w:val="435" w:hRule="atLeast"/>
        </w:trPr>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日期</w:t>
            </w:r>
          </w:p>
        </w:tc>
        <w:tc>
          <w:tcPr>
            <w:tcW w:w="271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时间</w:t>
            </w:r>
          </w:p>
        </w:tc>
        <w:tc>
          <w:tcPr>
            <w:tcW w:w="4724"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内容</w:t>
            </w:r>
          </w:p>
        </w:tc>
      </w:tr>
      <w:tr>
        <w:trPr>
          <w:trHeight w:val="440" w:hRule="atLeast"/>
        </w:trPr>
        <w:tc>
          <w:tcPr>
            <w:tcW w:w="126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第一天</w:t>
            </w: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9：</w:t>
            </w:r>
            <w:r>
              <w:rPr>
                <w:rFonts w:hint="eastAsia" w:ascii="宋体" w:hAnsi="宋体" w:cs="宋体"/>
                <w:color w:val="000000"/>
                <w:kern w:val="0"/>
                <w:sz w:val="22"/>
                <w:highlight w:val="none"/>
                <w:lang w:val="en-US" w:eastAsia="zh-CN"/>
              </w:rPr>
              <w:t>00</w:t>
            </w: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6</w:t>
            </w:r>
            <w:r>
              <w:rPr>
                <w:rFonts w:hint="eastAsia" w:ascii="宋体" w:hAnsi="宋体" w:cs="宋体"/>
                <w:color w:val="000000"/>
                <w:kern w:val="0"/>
                <w:sz w:val="22"/>
                <w:highlight w:val="none"/>
              </w:rPr>
              <w:t>：00</w:t>
            </w:r>
          </w:p>
        </w:tc>
        <w:tc>
          <w:tcPr>
            <w:tcW w:w="120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赛前事项</w:t>
            </w:r>
          </w:p>
        </w:tc>
        <w:tc>
          <w:tcPr>
            <w:tcW w:w="3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裁判培训会</w:t>
            </w:r>
          </w:p>
        </w:tc>
      </w:tr>
      <w:tr>
        <w:tblPrEx>
          <w:tblCellMar>
            <w:top w:w="0" w:type="dxa"/>
            <w:left w:w="108" w:type="dxa"/>
            <w:bottom w:w="0" w:type="dxa"/>
            <w:right w:w="108" w:type="dxa"/>
          </w:tblCellMar>
        </w:tblPrEx>
        <w:trPr>
          <w:trHeight w:val="390"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highlight w:val="none"/>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6</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00</w:t>
            </w: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7</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0</w:t>
            </w:r>
            <w:r>
              <w:rPr>
                <w:rFonts w:hint="eastAsia" w:ascii="宋体" w:hAnsi="宋体" w:cs="宋体"/>
                <w:color w:val="000000"/>
                <w:kern w:val="0"/>
                <w:sz w:val="22"/>
                <w:highlight w:val="none"/>
              </w:rPr>
              <w:t>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highlight w:val="none"/>
              </w:rPr>
            </w:pPr>
          </w:p>
        </w:tc>
        <w:tc>
          <w:tcPr>
            <w:tcW w:w="3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开幕式</w:t>
            </w:r>
            <w:r>
              <w:rPr>
                <w:rFonts w:hint="eastAsia" w:ascii="宋体" w:hAnsi="宋体" w:cs="宋体"/>
                <w:color w:val="000000"/>
                <w:kern w:val="0"/>
                <w:sz w:val="22"/>
                <w:highlight w:val="none"/>
                <w:lang w:val="en-US" w:eastAsia="zh-CN"/>
              </w:rPr>
              <w:t>及</w:t>
            </w:r>
            <w:r>
              <w:rPr>
                <w:rFonts w:hint="eastAsia" w:ascii="宋体" w:hAnsi="宋体" w:cs="宋体"/>
                <w:color w:val="000000"/>
                <w:kern w:val="0"/>
                <w:sz w:val="22"/>
                <w:highlight w:val="none"/>
              </w:rPr>
              <w:t>领队说明会</w:t>
            </w:r>
          </w:p>
        </w:tc>
      </w:tr>
      <w:tr>
        <w:tblPrEx>
          <w:tblCellMar>
            <w:top w:w="0" w:type="dxa"/>
            <w:left w:w="108" w:type="dxa"/>
            <w:bottom w:w="0" w:type="dxa"/>
            <w:right w:w="108" w:type="dxa"/>
          </w:tblCellMar>
        </w:tblPrEx>
        <w:trPr>
          <w:trHeight w:val="435"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highlight w:val="none"/>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6</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00</w:t>
            </w: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7</w:t>
            </w:r>
            <w:r>
              <w:rPr>
                <w:rFonts w:hint="eastAsia" w:ascii="宋体" w:hAnsi="宋体" w:cs="宋体"/>
                <w:color w:val="000000"/>
                <w:kern w:val="0"/>
                <w:sz w:val="22"/>
                <w:highlight w:val="none"/>
              </w:rPr>
              <w:t>：</w:t>
            </w:r>
            <w:r>
              <w:rPr>
                <w:rFonts w:hint="eastAsia" w:ascii="宋体" w:hAnsi="宋体" w:cs="宋体"/>
                <w:color w:val="000000"/>
                <w:kern w:val="0"/>
                <w:sz w:val="22"/>
                <w:highlight w:val="none"/>
                <w:lang w:val="en-US" w:eastAsia="zh-CN"/>
              </w:rPr>
              <w:t>0</w:t>
            </w:r>
            <w:r>
              <w:rPr>
                <w:rFonts w:hint="eastAsia" w:ascii="宋体" w:hAnsi="宋体" w:cs="宋体"/>
                <w:color w:val="000000"/>
                <w:kern w:val="0"/>
                <w:sz w:val="22"/>
                <w:highlight w:val="none"/>
              </w:rPr>
              <w:t>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highlight w:val="none"/>
              </w:rPr>
            </w:pPr>
          </w:p>
        </w:tc>
        <w:tc>
          <w:tcPr>
            <w:tcW w:w="35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highlight w:val="none"/>
              </w:rPr>
            </w:pPr>
            <w:r>
              <w:rPr>
                <w:rFonts w:hint="eastAsia" w:ascii="宋体" w:hAnsi="宋体" w:cs="宋体"/>
                <w:color w:val="000000"/>
                <w:kern w:val="0"/>
                <w:sz w:val="22"/>
                <w:highlight w:val="none"/>
              </w:rPr>
              <w:t>熟悉赛场</w:t>
            </w:r>
          </w:p>
        </w:tc>
      </w:tr>
      <w:tr>
        <w:tblPrEx>
          <w:tblCellMar>
            <w:top w:w="0" w:type="dxa"/>
            <w:left w:w="108" w:type="dxa"/>
            <w:bottom w:w="0" w:type="dxa"/>
            <w:right w:w="108" w:type="dxa"/>
          </w:tblCellMar>
        </w:tblPrEx>
        <w:trPr>
          <w:trHeight w:val="435" w:hRule="atLeast"/>
        </w:trPr>
        <w:tc>
          <w:tcPr>
            <w:tcW w:w="126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第二天</w:t>
            </w: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7：30-8：20</w:t>
            </w:r>
          </w:p>
        </w:tc>
        <w:tc>
          <w:tcPr>
            <w:tcW w:w="1200"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比赛事项</w:t>
            </w:r>
          </w:p>
        </w:tc>
        <w:tc>
          <w:tcPr>
            <w:tcW w:w="352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检录、一次加密，二次加密</w:t>
            </w:r>
          </w:p>
        </w:tc>
      </w:tr>
      <w:tr>
        <w:trPr>
          <w:trHeight w:val="435"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8：20-8：25</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352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参赛队就位并领取比赛任务</w:t>
            </w:r>
          </w:p>
        </w:tc>
      </w:tr>
      <w:tr>
        <w:tblPrEx>
          <w:tblCellMar>
            <w:top w:w="0" w:type="dxa"/>
            <w:left w:w="108" w:type="dxa"/>
            <w:bottom w:w="0" w:type="dxa"/>
            <w:right w:w="108" w:type="dxa"/>
          </w:tblCellMar>
        </w:tblPrEx>
        <w:trPr>
          <w:trHeight w:val="435"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8：25-8：30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352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比赛环境检查</w:t>
            </w:r>
          </w:p>
        </w:tc>
      </w:tr>
      <w:tr>
        <w:tblPrEx>
          <w:tblCellMar>
            <w:top w:w="0" w:type="dxa"/>
            <w:left w:w="108" w:type="dxa"/>
            <w:bottom w:w="0" w:type="dxa"/>
            <w:right w:w="108" w:type="dxa"/>
          </w:tblCellMar>
        </w:tblPrEx>
        <w:trPr>
          <w:trHeight w:val="435"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8:30-1</w:t>
            </w:r>
            <w:r>
              <w:rPr>
                <w:rFonts w:hint="eastAsia" w:ascii="宋体" w:hAnsi="宋体" w:cs="宋体"/>
                <w:color w:val="000000"/>
                <w:kern w:val="0"/>
                <w:sz w:val="22"/>
                <w:lang w:val="en-US" w:eastAsia="zh-CN"/>
              </w:rPr>
              <w:t>7</w:t>
            </w:r>
            <w:r>
              <w:rPr>
                <w:rFonts w:hint="eastAsia" w:ascii="宋体" w:hAnsi="宋体" w:cs="宋体"/>
                <w:color w:val="000000"/>
                <w:kern w:val="0"/>
                <w:sz w:val="22"/>
              </w:rPr>
              <w:t>:</w:t>
            </w:r>
            <w:r>
              <w:rPr>
                <w:rFonts w:hint="eastAsia" w:ascii="宋体" w:hAnsi="宋体" w:cs="宋体"/>
                <w:color w:val="000000"/>
                <w:kern w:val="0"/>
                <w:sz w:val="22"/>
                <w:lang w:val="en-US" w:eastAsia="zh-CN"/>
              </w:rPr>
              <w:t>0</w:t>
            </w:r>
            <w:r>
              <w:rPr>
                <w:rFonts w:hint="eastAsia" w:ascii="宋体" w:hAnsi="宋体" w:cs="宋体"/>
                <w:color w:val="000000"/>
                <w:kern w:val="0"/>
                <w:sz w:val="22"/>
              </w:rPr>
              <w:t>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352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正式比赛</w:t>
            </w:r>
          </w:p>
        </w:tc>
      </w:tr>
      <w:tr>
        <w:tblPrEx>
          <w:tblCellMar>
            <w:top w:w="0" w:type="dxa"/>
            <w:left w:w="108" w:type="dxa"/>
            <w:bottom w:w="0" w:type="dxa"/>
            <w:right w:w="108" w:type="dxa"/>
          </w:tblCellMar>
        </w:tblPrEx>
        <w:trPr>
          <w:trHeight w:val="435"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rPr>
              <w:t>17：</w:t>
            </w:r>
            <w:r>
              <w:rPr>
                <w:rFonts w:hint="eastAsia" w:ascii="宋体" w:hAnsi="宋体" w:cs="宋体"/>
                <w:color w:val="000000"/>
                <w:kern w:val="0"/>
                <w:sz w:val="22"/>
                <w:lang w:val="en-US" w:eastAsia="zh-CN"/>
              </w:rPr>
              <w:t>0</w:t>
            </w:r>
            <w:r>
              <w:rPr>
                <w:rFonts w:hint="eastAsia" w:ascii="宋体" w:hAnsi="宋体" w:cs="宋体"/>
                <w:color w:val="000000"/>
                <w:kern w:val="0"/>
                <w:sz w:val="22"/>
              </w:rPr>
              <w:t>0-1</w:t>
            </w:r>
            <w:r>
              <w:rPr>
                <w:rFonts w:hint="eastAsia" w:ascii="宋体" w:hAnsi="宋体" w:cs="宋体"/>
                <w:color w:val="000000"/>
                <w:kern w:val="0"/>
                <w:sz w:val="22"/>
                <w:lang w:val="en-US" w:eastAsia="zh-CN"/>
              </w:rPr>
              <w:t>8</w:t>
            </w:r>
            <w:r>
              <w:rPr>
                <w:rFonts w:hint="eastAsia" w:ascii="宋体" w:hAnsi="宋体" w:cs="宋体"/>
                <w:color w:val="000000"/>
                <w:kern w:val="0"/>
                <w:sz w:val="22"/>
              </w:rPr>
              <w:t>：</w:t>
            </w:r>
            <w:r>
              <w:rPr>
                <w:rFonts w:hint="eastAsia" w:ascii="宋体" w:hAnsi="宋体" w:cs="宋体"/>
                <w:color w:val="000000"/>
                <w:kern w:val="0"/>
                <w:sz w:val="22"/>
                <w:lang w:val="en-US" w:eastAsia="zh-CN"/>
              </w:rPr>
              <w:t>00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352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申诉仲裁受理</w:t>
            </w:r>
          </w:p>
        </w:tc>
      </w:tr>
      <w:tr>
        <w:trPr>
          <w:trHeight w:val="435"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rPr>
              <w:t>17：</w:t>
            </w:r>
            <w:r>
              <w:rPr>
                <w:rFonts w:hint="eastAsia" w:ascii="宋体" w:hAnsi="宋体" w:cs="宋体"/>
                <w:color w:val="000000"/>
                <w:kern w:val="0"/>
                <w:sz w:val="22"/>
                <w:lang w:val="en-US" w:eastAsia="zh-CN"/>
              </w:rPr>
              <w:t>30</w:t>
            </w:r>
            <w:r>
              <w:rPr>
                <w:rFonts w:hint="eastAsia" w:ascii="宋体" w:hAnsi="宋体" w:cs="宋体"/>
                <w:color w:val="000000"/>
                <w:kern w:val="0"/>
                <w:sz w:val="22"/>
              </w:rPr>
              <w:t>-</w:t>
            </w:r>
            <w:r>
              <w:rPr>
                <w:rFonts w:hint="eastAsia" w:ascii="宋体" w:hAnsi="宋体" w:cs="宋体"/>
                <w:color w:val="000000"/>
                <w:kern w:val="0"/>
                <w:sz w:val="22"/>
                <w:lang w:val="en-US" w:eastAsia="zh-CN"/>
              </w:rPr>
              <w:t>19</w:t>
            </w:r>
            <w:r>
              <w:rPr>
                <w:rFonts w:hint="eastAsia" w:ascii="宋体" w:hAnsi="宋体" w:cs="宋体"/>
                <w:color w:val="000000"/>
                <w:kern w:val="0"/>
                <w:sz w:val="22"/>
              </w:rPr>
              <w:t>：</w:t>
            </w:r>
            <w:r>
              <w:rPr>
                <w:rFonts w:hint="eastAsia" w:ascii="宋体" w:hAnsi="宋体" w:cs="宋体"/>
                <w:color w:val="000000"/>
                <w:kern w:val="0"/>
                <w:sz w:val="22"/>
                <w:lang w:val="en-US" w:eastAsia="zh-CN"/>
              </w:rPr>
              <w:t>00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352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裁判评分</w:t>
            </w:r>
          </w:p>
        </w:tc>
      </w:tr>
      <w:tr>
        <w:trPr>
          <w:trHeight w:val="419" w:hRule="atLeast"/>
        </w:trPr>
        <w:tc>
          <w:tcPr>
            <w:tcW w:w="1267"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2718"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20</w:t>
            </w:r>
            <w:r>
              <w:rPr>
                <w:rFonts w:hint="eastAsia" w:ascii="宋体" w:hAnsi="宋体" w:cs="宋体"/>
                <w:color w:val="000000"/>
                <w:kern w:val="0"/>
                <w:sz w:val="22"/>
              </w:rPr>
              <w:t>:</w:t>
            </w:r>
            <w:r>
              <w:rPr>
                <w:rFonts w:hint="eastAsia" w:ascii="宋体" w:hAnsi="宋体" w:cs="宋体"/>
                <w:color w:val="000000"/>
                <w:kern w:val="0"/>
                <w:sz w:val="22"/>
                <w:lang w:val="en-US" w:eastAsia="zh-CN"/>
              </w:rPr>
              <w:t>00</w:t>
            </w:r>
          </w:p>
        </w:tc>
        <w:tc>
          <w:tcPr>
            <w:tcW w:w="1200" w:type="dxa"/>
            <w:vMerge w:val="continue"/>
            <w:tcBorders>
              <w:top w:val="nil"/>
              <w:left w:val="single" w:color="auto" w:sz="4" w:space="0"/>
              <w:bottom w:val="single" w:color="000000" w:sz="4" w:space="0"/>
              <w:right w:val="single" w:color="auto" w:sz="4" w:space="0"/>
            </w:tcBorders>
            <w:vAlign w:val="center"/>
          </w:tcPr>
          <w:p>
            <w:pPr>
              <w:spacing w:line="240" w:lineRule="auto"/>
              <w:rPr>
                <w:rFonts w:ascii="宋体" w:hAnsi="宋体" w:cs="宋体"/>
                <w:color w:val="000000"/>
                <w:kern w:val="0"/>
                <w:sz w:val="22"/>
              </w:rPr>
            </w:pPr>
          </w:p>
        </w:tc>
        <w:tc>
          <w:tcPr>
            <w:tcW w:w="352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kern w:val="0"/>
                <w:sz w:val="22"/>
              </w:rPr>
            </w:pPr>
            <w:r>
              <w:rPr>
                <w:rFonts w:hint="eastAsia" w:ascii="宋体" w:hAnsi="宋体" w:cs="宋体"/>
                <w:color w:val="000000"/>
                <w:kern w:val="0"/>
                <w:sz w:val="22"/>
              </w:rPr>
              <w:t>竞赛成绩公布</w:t>
            </w:r>
          </w:p>
        </w:tc>
      </w:tr>
    </w:tbl>
    <w:p/>
    <w:p>
      <w:pPr>
        <w:pStyle w:val="2"/>
        <w:keepNext w:val="0"/>
        <w:keepLines w:val="0"/>
        <w:numPr>
          <w:ilvl w:val="0"/>
          <w:numId w:val="2"/>
        </w:numPr>
        <w:spacing w:beforeLines="0" w:afterLines="0" w:line="580" w:lineRule="exact"/>
        <w:ind w:firstLine="640"/>
        <w:rPr>
          <w:rFonts w:ascii="楷体_GB2312" w:eastAsia="楷体_GB2312"/>
          <w:b w:val="0"/>
        </w:rPr>
      </w:pPr>
      <w:r>
        <w:rPr>
          <w:rFonts w:hint="eastAsia" w:ascii="楷体_GB2312" w:eastAsia="楷体_GB2312"/>
          <w:b w:val="0"/>
        </w:rPr>
        <w:t>竞赛流程</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1、赛前培训：</w:t>
      </w:r>
      <w:bookmarkStart w:id="60" w:name="_GoBack"/>
      <w:bookmarkEnd w:id="60"/>
    </w:p>
    <w:p>
      <w:pPr>
        <w:widowControl w:val="0"/>
        <w:adjustRightInd w:val="0"/>
        <w:snapToGrid w:val="0"/>
        <w:spacing w:line="580" w:lineRule="exact"/>
        <w:ind w:firstLine="960" w:firstLineChars="3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比赛前一周</w:t>
      </w:r>
      <w:r>
        <w:rPr>
          <w:rFonts w:ascii="仿宋_GB2312" w:eastAsia="仿宋_GB2312" w:cs="仿宋" w:hAnsiTheme="minorEastAsia"/>
          <w:sz w:val="32"/>
          <w:szCs w:val="32"/>
        </w:rPr>
        <w:t>组织赛前</w:t>
      </w:r>
      <w:r>
        <w:rPr>
          <w:rFonts w:hint="eastAsia" w:ascii="仿宋_GB2312" w:eastAsia="仿宋_GB2312" w:cs="仿宋" w:hAnsiTheme="minorEastAsia"/>
          <w:sz w:val="32"/>
          <w:szCs w:val="32"/>
        </w:rPr>
        <w:t>说明会。</w:t>
      </w:r>
    </w:p>
    <w:p>
      <w:pPr>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2、熟悉场地</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正式比赛前一天，各参赛队有序地熟悉场地，熟悉场地限定在观摩区内活动，不允许进入比赛区。熟悉场地时严禁与现场工作人员进行交流，不发表没有根据以及有损大赛整体形象的言论。熟悉场地期间严禁拥挤、喧哗，以免发生意外事故。</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3、赛场要求</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1）比赛竞赛所需的电脑、配套硬件及软件、所用的工具由竞赛组委会统一提供，满足比赛要求。</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2</w:t>
      </w:r>
      <w:r>
        <w:rPr>
          <w:rFonts w:hint="eastAsia" w:ascii="仿宋_GB2312" w:eastAsia="仿宋_GB2312" w:cs="仿宋" w:hAnsiTheme="minorEastAsia"/>
          <w:sz w:val="32"/>
          <w:szCs w:val="32"/>
        </w:rPr>
        <w:t>）严禁参赛选手私自携带U盘、通讯、照相、摄录设备等电子产品进入赛场，违者本赛程成绩作废。</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3</w:t>
      </w:r>
      <w:r>
        <w:rPr>
          <w:rFonts w:hint="eastAsia" w:ascii="仿宋_GB2312" w:eastAsia="仿宋_GB2312" w:cs="仿宋" w:hAnsiTheme="minorEastAsia"/>
          <w:sz w:val="32"/>
          <w:szCs w:val="32"/>
        </w:rPr>
        <w:t>）所有人员在赛场内不得喧哗，不得有影响其他参赛队选手竞赛的行为。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4</w:t>
      </w:r>
      <w:r>
        <w:rPr>
          <w:rFonts w:hint="eastAsia" w:ascii="仿宋_GB2312" w:eastAsia="仿宋_GB2312" w:cs="仿宋" w:hAnsiTheme="minorEastAsia"/>
          <w:sz w:val="32"/>
          <w:szCs w:val="32"/>
        </w:rPr>
        <w:t>）竞赛操作结束时，参赛选手应按照指定路线有序离开赛场。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3.竞赛过程</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1）竞赛开始15分钟前，参赛选手到赛场指定地点抽取赛位号，接受检录，进入指定赛位，但不可进行任何操作。</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2）在裁判长发布“赛前准备”的指令后，参赛队选手依照竞赛物品清单核对设备模块是否符合要求，同时检查设备及工具的功能是否正常，并对出现的异常及时申请更换，完成后填写相关表格并签字确认。</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3）在裁判长发布“竞赛开始”的指令后，参赛队选手可自行决定工作程序，使用现场配套的设备及工具，开始竞赛操作，在符合安全生产规范的前提下完成规定的竞赛任务。</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4）在裁判长发布“竞赛结束”的指令后，参赛队选手必须停止一切竞赛操作。</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5）竞赛结束后，完成竞赛结果提交及确认。</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6）竞赛结果提交完成后，按照现场裁判的安排有序离开比赛现场。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4.竞赛违规扣分</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1）在完成工作任务的过程中，因操作不当产生人身或设备安全隐患或事故，扣10-20分，情况严重者取消比赛资格。</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2）损坏赛场提供的设备，污染赛场环境等不符合职业规范的行为，视情节扣5-10分。</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3）符合下列情形之一的参赛队选手，经裁判组裁定后终止其竞赛：</w:t>
      </w:r>
    </w:p>
    <w:p>
      <w:pPr>
        <w:widowControl w:val="0"/>
        <w:numPr>
          <w:ilvl w:val="0"/>
          <w:numId w:val="3"/>
        </w:numPr>
        <w:adjustRightInd w:val="0"/>
        <w:snapToGrid w:val="0"/>
        <w:spacing w:line="580" w:lineRule="exact"/>
        <w:jc w:val="both"/>
        <w:rPr>
          <w:rFonts w:ascii="仿宋_GB2312" w:eastAsia="仿宋_GB2312" w:cs="仿宋" w:hAnsiTheme="minorEastAsia"/>
          <w:sz w:val="32"/>
          <w:szCs w:val="32"/>
        </w:rPr>
      </w:pPr>
      <w:r>
        <w:rPr>
          <w:rFonts w:hint="eastAsia" w:ascii="仿宋_GB2312" w:eastAsia="仿宋_GB2312" w:cs="仿宋" w:hAnsiTheme="minorEastAsia"/>
          <w:sz w:val="32"/>
          <w:szCs w:val="32"/>
        </w:rPr>
        <w:t>不服从裁判员/监考员管理、扰乱赛场秩序、干扰其他参赛队选手比赛，裁判员应提出警告，二次警告后无效，或情节特别严重，造成竞赛中止的，经裁判长确认，终止比赛，并取消比赛资格和竞赛成绩。</w:t>
      </w:r>
    </w:p>
    <w:p>
      <w:pPr>
        <w:numPr>
          <w:ilvl w:val="0"/>
          <w:numId w:val="3"/>
        </w:numPr>
        <w:adjustRightInd w:val="0"/>
        <w:snapToGrid w:val="0"/>
        <w:spacing w:line="580" w:lineRule="exact"/>
        <w:jc w:val="both"/>
        <w:rPr>
          <w:rFonts w:ascii="仿宋_GB2312" w:eastAsia="仿宋_GB2312" w:cs="仿宋" w:hAnsiTheme="minorEastAsia"/>
          <w:sz w:val="32"/>
          <w:szCs w:val="32"/>
        </w:rPr>
      </w:pPr>
      <w:r>
        <w:rPr>
          <w:rFonts w:hint="eastAsia" w:ascii="仿宋_GB2312" w:eastAsia="仿宋_GB2312" w:cs="仿宋" w:hAnsiTheme="minorEastAsia"/>
          <w:sz w:val="32"/>
          <w:szCs w:val="32"/>
        </w:rPr>
        <w:t>竞赛过程中，由于选手技能不熟练或疏忽大意造成计算机、仪器设备及工具等严重损坏，现场裁判应暂停比赛，由裁判长根据现场情况，裁定是否结束后续竞赛过程，保留竞赛资格，累计其有效竞赛成绩。</w:t>
      </w:r>
    </w:p>
    <w:p>
      <w:pPr>
        <w:widowControl w:val="0"/>
        <w:numPr>
          <w:ilvl w:val="0"/>
          <w:numId w:val="3"/>
        </w:numPr>
        <w:adjustRightInd w:val="0"/>
        <w:snapToGrid w:val="0"/>
        <w:spacing w:line="580" w:lineRule="exact"/>
        <w:jc w:val="both"/>
        <w:rPr>
          <w:rFonts w:ascii="仿宋_GB2312" w:eastAsia="仿宋_GB2312" w:cs="仿宋" w:hAnsiTheme="minorEastAsia"/>
          <w:sz w:val="32"/>
          <w:szCs w:val="32"/>
        </w:rPr>
      </w:pPr>
      <w:r>
        <w:rPr>
          <w:rFonts w:hint="eastAsia" w:ascii="仿宋_GB2312" w:eastAsia="仿宋_GB2312" w:cs="仿宋" w:hAnsiTheme="minorEastAsia"/>
          <w:sz w:val="32"/>
          <w:szCs w:val="32"/>
        </w:rPr>
        <w:t>竞赛过程中，产生重大安全事故、或有产生重大安全事故隐患，经裁判员提示没有采取措施的，裁判员可暂停其竞赛，由裁判长裁定其竞赛结束，保留竞赛资格和有效竞赛成绩。</w:t>
      </w:r>
    </w:p>
    <w:p>
      <w:pPr>
        <w:pStyle w:val="4"/>
        <w:keepNext w:val="0"/>
        <w:keepLines w:val="0"/>
        <w:widowControl w:val="0"/>
        <w:spacing w:before="0" w:after="0" w:line="580" w:lineRule="exact"/>
        <w:ind w:firstLine="640" w:firstLineChars="200"/>
        <w:jc w:val="both"/>
        <w:rPr>
          <w:rFonts w:ascii="黑体" w:eastAsia="黑体"/>
          <w:b w:val="0"/>
          <w:sz w:val="32"/>
        </w:rPr>
      </w:pPr>
      <w:bookmarkStart w:id="41" w:name="_Toc13779"/>
      <w:r>
        <w:rPr>
          <w:rFonts w:hint="eastAsia" w:ascii="黑体" w:eastAsia="黑体"/>
          <w:b w:val="0"/>
          <w:sz w:val="32"/>
        </w:rPr>
        <w:t>八、竞赛环境</w:t>
      </w:r>
      <w:bookmarkEnd w:id="41"/>
    </w:p>
    <w:p>
      <w:pPr>
        <w:widowControl w:val="0"/>
        <w:adjustRightInd w:val="0"/>
        <w:snapToGrid w:val="0"/>
        <w:spacing w:line="580" w:lineRule="exact"/>
        <w:ind w:firstLine="640" w:firstLineChars="200"/>
        <w:jc w:val="both"/>
        <w:rPr>
          <w:rFonts w:hint="eastAsia" w:ascii="仿宋_GB2312" w:eastAsia="仿宋_GB2312" w:cs="仿宋" w:hAnsiTheme="minorEastAsia"/>
          <w:sz w:val="32"/>
          <w:szCs w:val="32"/>
        </w:rPr>
      </w:pPr>
      <w:r>
        <w:rPr>
          <w:rFonts w:hint="eastAsia" w:ascii="仿宋_GB2312" w:eastAsia="仿宋_GB2312" w:cs="仿宋" w:hAnsiTheme="minorEastAsia"/>
          <w:sz w:val="32"/>
          <w:szCs w:val="32"/>
        </w:rPr>
        <w:t>比赛条件由承办单位根据学校实际情况确定，并向参赛队无偿提供。如参赛队不使用承办单位所提供的比赛条件，必须在正式比赛日15天前以学校式公函形式向赛项组委会申请自备比赛条件，承办院校提供力所能及的协助工作为此所发生的费用均由该参赛院校自理，产生的不良影响由该参赛院校自行承担。</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根据赛场规划比赛</w:t>
      </w:r>
      <w:r>
        <w:rPr>
          <w:rFonts w:ascii="仿宋_GB2312" w:eastAsia="仿宋_GB2312" w:cs="仿宋" w:hAnsiTheme="minorEastAsia"/>
          <w:sz w:val="32"/>
          <w:szCs w:val="32"/>
        </w:rPr>
        <w:t>机房</w:t>
      </w:r>
      <w:r>
        <w:rPr>
          <w:rFonts w:hint="eastAsia" w:ascii="仿宋_GB2312" w:eastAsia="仿宋_GB2312" w:cs="仿宋" w:hAnsiTheme="minorEastAsia"/>
          <w:sz w:val="32"/>
          <w:szCs w:val="32"/>
        </w:rPr>
        <w:t>，</w:t>
      </w:r>
      <w:r>
        <w:rPr>
          <w:rFonts w:ascii="仿宋_GB2312" w:eastAsia="仿宋_GB2312" w:cs="仿宋" w:hAnsiTheme="minorEastAsia"/>
          <w:sz w:val="32"/>
          <w:szCs w:val="32"/>
        </w:rPr>
        <w:t>每个</w:t>
      </w:r>
      <w:r>
        <w:rPr>
          <w:rFonts w:hint="eastAsia" w:ascii="仿宋_GB2312" w:eastAsia="仿宋_GB2312" w:cs="仿宋" w:hAnsiTheme="minorEastAsia"/>
          <w:sz w:val="32"/>
          <w:szCs w:val="32"/>
        </w:rPr>
        <w:t>机房原则上不超过</w:t>
      </w:r>
      <w:r>
        <w:rPr>
          <w:rFonts w:ascii="仿宋_GB2312" w:eastAsia="仿宋_GB2312" w:cs="仿宋" w:hAnsiTheme="minorEastAsia"/>
          <w:sz w:val="32"/>
          <w:szCs w:val="32"/>
        </w:rPr>
        <w:t>60</w:t>
      </w:r>
      <w:r>
        <w:rPr>
          <w:rFonts w:hint="eastAsia" w:ascii="仿宋_GB2312" w:eastAsia="仿宋_GB2312" w:cs="仿宋" w:hAnsiTheme="minorEastAsia"/>
          <w:sz w:val="32"/>
          <w:szCs w:val="32"/>
        </w:rPr>
        <w:t>人</w:t>
      </w:r>
      <w:r>
        <w:rPr>
          <w:rFonts w:ascii="仿宋_GB2312" w:eastAsia="仿宋_GB2312" w:cs="仿宋" w:hAnsiTheme="minorEastAsia"/>
          <w:sz w:val="32"/>
          <w:szCs w:val="32"/>
        </w:rPr>
        <w:t>参加</w:t>
      </w:r>
      <w:r>
        <w:rPr>
          <w:rFonts w:hint="eastAsia" w:ascii="仿宋_GB2312" w:eastAsia="仿宋_GB2312" w:cs="仿宋" w:hAnsiTheme="minorEastAsia"/>
          <w:sz w:val="32"/>
          <w:szCs w:val="32"/>
        </w:rPr>
        <w:t>比赛。环境标准要求保证赛场采光、照明和通风良好，能够提供稳定的水、电和应急备用电源。</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ascii="仿宋_GB2312" w:eastAsia="仿宋_GB2312" w:cs="仿宋" w:hAnsiTheme="minorEastAsia"/>
          <w:sz w:val="32"/>
          <w:szCs w:val="32"/>
        </w:rPr>
        <w:t>提供</w:t>
      </w:r>
      <w:r>
        <w:rPr>
          <w:rFonts w:hint="eastAsia" w:ascii="仿宋_GB2312" w:eastAsia="仿宋_GB2312" w:cs="仿宋" w:hAnsiTheme="minorEastAsia"/>
          <w:sz w:val="32"/>
          <w:szCs w:val="32"/>
        </w:rPr>
        <w:t>对应的路演场地及</w:t>
      </w:r>
      <w:r>
        <w:rPr>
          <w:rFonts w:ascii="仿宋_GB2312" w:eastAsia="仿宋_GB2312" w:cs="仿宋" w:hAnsiTheme="minorEastAsia"/>
          <w:sz w:val="32"/>
          <w:szCs w:val="32"/>
        </w:rPr>
        <w:t>设备</w:t>
      </w:r>
      <w:r>
        <w:rPr>
          <w:rFonts w:hint="eastAsia" w:ascii="仿宋_GB2312" w:eastAsia="仿宋_GB2312" w:cs="仿宋" w:hAnsiTheme="minorEastAsia"/>
          <w:sz w:val="32"/>
          <w:szCs w:val="32"/>
        </w:rPr>
        <w:t>（电脑、</w:t>
      </w:r>
      <w:r>
        <w:rPr>
          <w:rFonts w:ascii="仿宋_GB2312" w:eastAsia="仿宋_GB2312" w:cs="仿宋" w:hAnsiTheme="minorEastAsia"/>
          <w:sz w:val="32"/>
          <w:szCs w:val="32"/>
        </w:rPr>
        <w:t>投影仪</w:t>
      </w:r>
      <w:r>
        <w:rPr>
          <w:rFonts w:hint="eastAsia" w:ascii="仿宋_GB2312" w:eastAsia="仿宋_GB2312" w:cs="仿宋" w:hAnsiTheme="minorEastAsia"/>
          <w:sz w:val="32"/>
          <w:szCs w:val="32"/>
        </w:rPr>
        <w:t>、</w:t>
      </w:r>
      <w:r>
        <w:rPr>
          <w:rFonts w:ascii="仿宋_GB2312" w:eastAsia="仿宋_GB2312" w:cs="仿宋" w:hAnsiTheme="minorEastAsia"/>
          <w:sz w:val="32"/>
          <w:szCs w:val="32"/>
        </w:rPr>
        <w:t>话筒</w:t>
      </w:r>
      <w:r>
        <w:rPr>
          <w:rFonts w:hint="eastAsia" w:ascii="仿宋_GB2312" w:eastAsia="仿宋_GB2312" w:cs="仿宋" w:hAnsiTheme="minorEastAsia"/>
          <w:sz w:val="32"/>
          <w:szCs w:val="32"/>
        </w:rPr>
        <w:t>、</w:t>
      </w:r>
      <w:r>
        <w:rPr>
          <w:rFonts w:ascii="仿宋_GB2312" w:eastAsia="仿宋_GB2312" w:cs="仿宋" w:hAnsiTheme="minorEastAsia"/>
          <w:sz w:val="32"/>
          <w:szCs w:val="32"/>
        </w:rPr>
        <w:t>黑板</w:t>
      </w:r>
      <w:r>
        <w:rPr>
          <w:rFonts w:hint="eastAsia" w:ascii="仿宋_GB2312" w:eastAsia="仿宋_GB2312" w:cs="仿宋" w:hAnsiTheme="minorEastAsia"/>
          <w:sz w:val="32"/>
          <w:szCs w:val="32"/>
        </w:rPr>
        <w:t>）。</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赛场具备两个以上安全疏散通道，并设有应急疏散图，配备必要的灭火器材。颁奖场地、参赛队选手及指导教师休息场地另计。</w:t>
      </w:r>
    </w:p>
    <w:p>
      <w:pPr>
        <w:pStyle w:val="4"/>
        <w:keepNext w:val="0"/>
        <w:keepLines w:val="0"/>
        <w:widowControl w:val="0"/>
        <w:spacing w:before="0" w:after="0" w:line="580" w:lineRule="exact"/>
        <w:ind w:firstLine="640" w:firstLineChars="200"/>
        <w:jc w:val="both"/>
        <w:rPr>
          <w:rFonts w:ascii="黑体" w:eastAsia="黑体"/>
          <w:b w:val="0"/>
          <w:sz w:val="32"/>
        </w:rPr>
      </w:pPr>
      <w:bookmarkStart w:id="42" w:name="_Toc22602"/>
      <w:r>
        <w:rPr>
          <w:rFonts w:hint="eastAsia" w:ascii="黑体" w:eastAsia="黑体"/>
          <w:b w:val="0"/>
          <w:sz w:val="32"/>
        </w:rPr>
        <w:t>九、技术应用</w:t>
      </w:r>
      <w:bookmarkEnd w:id="42"/>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赛项竞赛内容符合国内金融机构业务技术规范，竞赛软件平台采用符合相关行业技术标准、业务流程、业务规范设计。</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本赛项提供的竞赛平台为“天择数字金融理财竞赛平台</w:t>
      </w:r>
      <w:r>
        <w:rPr>
          <w:rFonts w:ascii="仿宋_GB2312" w:eastAsia="仿宋_GB2312" w:cs="仿宋" w:hAnsiTheme="minorEastAsia"/>
          <w:sz w:val="32"/>
          <w:szCs w:val="32"/>
        </w:rPr>
        <w:t>V1.0</w:t>
      </w:r>
      <w:r>
        <w:rPr>
          <w:rFonts w:hint="eastAsia" w:ascii="仿宋_GB2312" w:eastAsia="仿宋_GB2312" w:cs="仿宋" w:hAnsiTheme="minorEastAsia"/>
          <w:sz w:val="32"/>
          <w:szCs w:val="32"/>
        </w:rPr>
        <w:t>”。竞赛平台包括“数字金融职业素养测试”竞赛模块、“数字金融理财规划实操”竞赛模块，以及赛事管理、赛题管理、评分系统、成绩管理等模块。</w:t>
      </w:r>
    </w:p>
    <w:p>
      <w:pPr>
        <w:pStyle w:val="2"/>
        <w:keepNext w:val="0"/>
        <w:keepLines w:val="0"/>
        <w:spacing w:beforeLines="0" w:afterLines="0" w:line="580" w:lineRule="exact"/>
        <w:ind w:firstLine="0" w:firstLineChars="0"/>
        <w:jc w:val="center"/>
        <w:rPr>
          <w:rFonts w:hint="eastAsia" w:ascii="仿宋_GB2312" w:eastAsia="仿宋_GB2312" w:cs="仿宋" w:hAnsiTheme="minorEastAsia"/>
          <w:b w:val="0"/>
          <w:bCs w:val="0"/>
        </w:rPr>
      </w:pPr>
      <w:bookmarkStart w:id="43" w:name="_Toc66894939"/>
      <w:bookmarkStart w:id="44" w:name="_Toc511637455"/>
      <w:bookmarkStart w:id="45" w:name="_Toc513215821"/>
      <w:r>
        <w:rPr>
          <w:rFonts w:hint="eastAsia" w:ascii="仿宋_GB2312" w:eastAsia="仿宋_GB2312" w:cs="仿宋" w:hAnsiTheme="minorEastAsia"/>
          <w:b w:val="0"/>
          <w:bCs w:val="0"/>
        </w:rPr>
        <w:t>竞赛平台主要技术参数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126"/>
        <w:gridCol w:w="5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序号</w:t>
            </w:r>
          </w:p>
        </w:tc>
        <w:tc>
          <w:tcPr>
            <w:tcW w:w="2126"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产品名称</w:t>
            </w:r>
          </w:p>
        </w:tc>
        <w:tc>
          <w:tcPr>
            <w:tcW w:w="5833" w:type="dxa"/>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1</w:t>
            </w:r>
          </w:p>
        </w:tc>
        <w:tc>
          <w:tcPr>
            <w:tcW w:w="2126" w:type="dxa"/>
            <w:vAlign w:val="center"/>
          </w:tcPr>
          <w:p>
            <w:pPr>
              <w:jc w:val="center"/>
              <w:rPr>
                <w:rFonts w:ascii="仿宋_GB2312" w:eastAsia="仿宋_GB2312" w:cs="仿宋_GB2312"/>
                <w:kern w:val="0"/>
                <w:sz w:val="24"/>
                <w:szCs w:val="24"/>
              </w:rPr>
            </w:pPr>
            <w:r>
              <w:rPr>
                <w:rFonts w:hint="eastAsia" w:ascii="仿宋_GB2312" w:eastAsia="仿宋_GB2312" w:cs="仿宋_GB2312"/>
                <w:kern w:val="0"/>
                <w:sz w:val="24"/>
                <w:szCs w:val="24"/>
              </w:rPr>
              <w:t>天择数字金融理财竞赛平台</w:t>
            </w:r>
          </w:p>
        </w:tc>
        <w:tc>
          <w:tcPr>
            <w:tcW w:w="5833" w:type="dxa"/>
          </w:tcPr>
          <w:p>
            <w:pPr>
              <w:rPr>
                <w:rFonts w:ascii="仿宋_GB2312" w:eastAsia="仿宋_GB2312" w:cs="仿宋_GB2312"/>
                <w:kern w:val="0"/>
                <w:sz w:val="24"/>
                <w:szCs w:val="24"/>
              </w:rPr>
            </w:pPr>
            <w:r>
              <w:rPr>
                <w:rFonts w:hint="eastAsia" w:ascii="仿宋_GB2312" w:eastAsia="仿宋_GB2312" w:cs="仿宋_GB2312"/>
                <w:kern w:val="0"/>
                <w:sz w:val="24"/>
                <w:szCs w:val="24"/>
              </w:rPr>
              <w:t>1、系统的核心业务流程要求主要针对于数字理财顾问进行顾问式营销，帮助理财顾问能对客户进行分析，依据客户需求提供理财服务，并进行动态追踪.。</w:t>
            </w:r>
          </w:p>
          <w:p>
            <w:pPr>
              <w:rPr>
                <w:rFonts w:ascii="仿宋_GB2312" w:eastAsia="仿宋_GB2312" w:cs="仿宋_GB2312"/>
                <w:kern w:val="0"/>
                <w:sz w:val="24"/>
                <w:szCs w:val="24"/>
              </w:rPr>
            </w:pPr>
            <w:r>
              <w:rPr>
                <w:rFonts w:hint="eastAsia" w:ascii="仿宋_GB2312" w:eastAsia="仿宋_GB2312" w:cs="仿宋_GB2312"/>
                <w:kern w:val="0"/>
                <w:sz w:val="24"/>
                <w:szCs w:val="24"/>
              </w:rPr>
              <w:t>2、要求系统提供现金规划、教育规划、养老规划、消费规划、保险规划、创业规划、财产分配、财产继承、投资规划九大单一规划与综合规划内容，提供理财规划建议书制作平台；</w:t>
            </w:r>
          </w:p>
          <w:p>
            <w:pPr>
              <w:rPr>
                <w:rFonts w:ascii="仿宋_GB2312" w:eastAsia="仿宋_GB2312" w:cs="仿宋_GB2312"/>
                <w:kern w:val="0"/>
                <w:sz w:val="24"/>
                <w:szCs w:val="24"/>
              </w:rPr>
            </w:pPr>
            <w:r>
              <w:rPr>
                <w:rFonts w:hint="eastAsia" w:ascii="仿宋_GB2312" w:eastAsia="仿宋_GB2312" w:cs="仿宋_GB2312"/>
                <w:kern w:val="0"/>
                <w:sz w:val="24"/>
                <w:szCs w:val="24"/>
              </w:rPr>
              <w:t>3、要求客户管理提供教师发布实训的入口，并包括潜在客户与已有客户的管理，对于客户信息进行提炼记录，对于家庭关系进行管理，并能灵活的依据于实时的变动，对与客户进行日程安排与拜访，能考验学生对于客户跟踪的把控，便于教师考察学生对于客户管理的灵活应用。</w:t>
            </w:r>
          </w:p>
          <w:p>
            <w:pPr>
              <w:rPr>
                <w:rFonts w:ascii="仿宋_GB2312" w:eastAsia="仿宋_GB2312" w:cs="仿宋_GB2312"/>
                <w:kern w:val="0"/>
                <w:sz w:val="24"/>
                <w:szCs w:val="24"/>
              </w:rPr>
            </w:pPr>
            <w:r>
              <w:rPr>
                <w:rFonts w:hint="eastAsia" w:ascii="仿宋_GB2312" w:eastAsia="仿宋_GB2312" w:cs="仿宋_GB2312"/>
                <w:kern w:val="0"/>
                <w:sz w:val="24"/>
                <w:szCs w:val="24"/>
              </w:rPr>
              <w:t>4、系统能利于教师开展理财顾问模拟训练，根据业务流程预先设置好实训案例，囊括大量的理财计算案例题及理财决策分析案例题，不少于70个实训案例；</w:t>
            </w:r>
          </w:p>
          <w:p>
            <w:pPr>
              <w:rPr>
                <w:rFonts w:ascii="仿宋_GB2312" w:eastAsia="仿宋_GB2312" w:cs="仿宋_GB2312"/>
                <w:kern w:val="0"/>
                <w:sz w:val="24"/>
                <w:szCs w:val="24"/>
              </w:rPr>
            </w:pPr>
            <w:r>
              <w:rPr>
                <w:rFonts w:hint="eastAsia" w:ascii="仿宋_GB2312" w:eastAsia="仿宋_GB2312" w:cs="仿宋_GB2312"/>
                <w:kern w:val="0"/>
                <w:sz w:val="24"/>
                <w:szCs w:val="24"/>
              </w:rPr>
              <w:t>5、客户信息包括对客户的非财务信息（个人基本信息、配偶信息、其他成员信息）及客户财务信息（客户收入情况、客户支出情况、客户资产负债情况）的收集。</w:t>
            </w:r>
          </w:p>
          <w:p>
            <w:pPr>
              <w:rPr>
                <w:rFonts w:ascii="仿宋_GB2312" w:eastAsia="仿宋_GB2312" w:cs="仿宋_GB2312"/>
                <w:kern w:val="0"/>
                <w:sz w:val="24"/>
                <w:szCs w:val="24"/>
              </w:rPr>
            </w:pPr>
            <w:r>
              <w:rPr>
                <w:rFonts w:hint="eastAsia" w:ascii="仿宋_GB2312" w:eastAsia="仿宋_GB2312" w:cs="仿宋_GB2312"/>
                <w:kern w:val="0"/>
                <w:sz w:val="24"/>
                <w:szCs w:val="24"/>
              </w:rPr>
              <w:t>6、要求系统提供风险测评，依据客户的投资喜好、工作情况、财务状况等进行深入分析，划分为风险偏好、风险适中与风险规避三大等级，并根据评估结果判断适合客户的风险投资组合。</w:t>
            </w:r>
          </w:p>
          <w:p>
            <w:pPr>
              <w:rPr>
                <w:rFonts w:ascii="仿宋_GB2312" w:eastAsia="仿宋_GB2312" w:cs="仿宋_GB2312"/>
                <w:kern w:val="0"/>
                <w:sz w:val="24"/>
                <w:szCs w:val="24"/>
              </w:rPr>
            </w:pPr>
            <w:r>
              <w:rPr>
                <w:rFonts w:hint="eastAsia" w:ascii="仿宋_GB2312" w:eastAsia="仿宋_GB2312" w:cs="仿宋_GB2312"/>
                <w:kern w:val="0"/>
                <w:sz w:val="24"/>
                <w:szCs w:val="24"/>
              </w:rPr>
              <w:t>7、要求系统提供家庭财务分析功能，包括收支储蓄表、资产负债表、现金流量表分析、财务比率分析，便于深入分析客户财务状况。可通过编制的财务报表计算负债比率、融资比率、投资性资产权数、流动性资产权数、支出比率、财务负担率、自由储蓄率、净资产增长率（致富公式）。</w:t>
            </w:r>
          </w:p>
          <w:p>
            <w:pPr>
              <w:rPr>
                <w:rFonts w:ascii="仿宋_GB2312" w:eastAsia="仿宋_GB2312" w:cs="仿宋_GB2312"/>
                <w:kern w:val="0"/>
                <w:sz w:val="24"/>
                <w:szCs w:val="24"/>
              </w:rPr>
            </w:pPr>
            <w:r>
              <w:rPr>
                <w:rFonts w:hint="eastAsia" w:ascii="仿宋_GB2312" w:eastAsia="仿宋_GB2312" w:cs="仿宋_GB2312"/>
                <w:kern w:val="0"/>
                <w:sz w:val="24"/>
                <w:szCs w:val="24"/>
              </w:rPr>
              <w:t>8、生命周期，用户可进行分析客户所处生命周期（单身期、家庭形成期、家庭成长期、家庭成熟期、家庭衰老期）、生命周期的特征等业务操作。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9、现金规划，用户可进行分析客户现金需求，计算现金保留规模、设计现金规划方案（活期存款、货币市场基金、信用卡）等业务操作。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10、教育规划，用户可进行确定子女教育阶段（幼儿园、小学、初中、高中、大学、留学）的子女教育学费增长率、测算教育费用、已经准备的教育费用、理财方案测算、教育理财方案设计（预计投资收益率、一次性投入金额、每月定期投资金额、定期定额投资年限）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11、消费规划，用户可进行购房决策、设计首付款方案、设计贷款方案、计算购房资金总需求、计算相关税费、设计还款方案等业务操作，购车费用、贷款明细、必要花费（商业保险、税费）、消费理财方案理财方案设计（预计投资收益率、一次性投入金额、每月定期投资金额、定期定额投资年限）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12、创业规划，用户可进行创业计划（创业年限、创业投入）、创业理财方案设计（预计投资收益率、一次性投入金额、每月定期投资金额、定期定额投资年限）等业务操作。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13、退休规划，用户可进行判断养老条件假设、退休养老资金安排、设计养老规划方案、养老理财方案设计（预计投资收益率、一次性投入金额、每月定期投资金额、定期定额投资年限）等业务操作。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14、保险规划，提供遗属需求法和生命价值法两种保险规划方式，用户可进行家庭分析、保险需求分析、设计保险规划方案，计算保险需求额度、已有额度、缺口额度、预算金额、补充额度、欠缺额度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15、投资规划，用户可对教育规划、消费规划、创业规划、退休规划、保险规划制定投资策略，在根据理财目标确定资产配置比例，选择基础层、保值层、增值层、投机层需要配置的证券产品等业务操作，证券品种包括基金产品（50+个）、银行储蓄产品（100+个）、P2P产品（200+个）、实务黄金、保险产品（定期寿险、两全保险、定期重疾险、终身寿险、医疗费用补偿险、终身重疾险、住院费费用补贴险、交通意外险、旅行意外险、人身意外伤害险、分红保险、投资连结险、万能保险）。</w:t>
            </w:r>
          </w:p>
          <w:p>
            <w:pPr>
              <w:rPr>
                <w:rFonts w:ascii="仿宋_GB2312" w:eastAsia="仿宋_GB2312" w:cs="仿宋_GB2312"/>
                <w:kern w:val="0"/>
                <w:sz w:val="24"/>
                <w:szCs w:val="24"/>
              </w:rPr>
            </w:pPr>
            <w:r>
              <w:rPr>
                <w:rFonts w:hint="eastAsia" w:ascii="仿宋_GB2312" w:eastAsia="仿宋_GB2312" w:cs="仿宋_GB2312"/>
                <w:kern w:val="0"/>
                <w:sz w:val="24"/>
                <w:szCs w:val="24"/>
              </w:rPr>
              <w:t>16、税务筹划，用户可进行个人所得税计算、税务筹划分析等业务操作。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17、财产分配规划，用户可进行婚姻、财产状况分析，财产分配规划工具选择（公证、信托）等业务操作。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18、财产传承规划，用户可进行财产传承规划中使用的资产负债表、财产传承规划工具选择等业务操作。</w:t>
            </w:r>
          </w:p>
          <w:p>
            <w:pPr>
              <w:rPr>
                <w:rFonts w:ascii="仿宋_GB2312" w:eastAsia="仿宋_GB2312" w:cs="仿宋_GB2312"/>
                <w:kern w:val="0"/>
                <w:sz w:val="24"/>
                <w:szCs w:val="24"/>
              </w:rPr>
            </w:pPr>
            <w:r>
              <w:rPr>
                <w:rFonts w:hint="eastAsia" w:ascii="仿宋_GB2312" w:eastAsia="仿宋_GB2312" w:cs="仿宋_GB2312"/>
                <w:kern w:val="0"/>
                <w:sz w:val="24"/>
                <w:szCs w:val="24"/>
              </w:rPr>
              <w:t>19、要求系统提供个税计算器、存款计算器、终值现值、养老金计算器、房贷计算器五大计算器，便于学生学习。</w:t>
            </w:r>
          </w:p>
        </w:tc>
      </w:tr>
    </w:tbl>
    <w:p/>
    <w:bookmarkEnd w:id="43"/>
    <w:bookmarkEnd w:id="44"/>
    <w:bookmarkEnd w:id="45"/>
    <w:p>
      <w:pPr>
        <w:pStyle w:val="4"/>
        <w:spacing w:before="0" w:after="156" w:afterLines="50" w:line="580" w:lineRule="exact"/>
        <w:ind w:firstLine="640" w:firstLineChars="200"/>
        <w:jc w:val="both"/>
        <w:rPr>
          <w:rFonts w:ascii="黑体" w:eastAsia="黑体"/>
          <w:b w:val="0"/>
          <w:sz w:val="32"/>
        </w:rPr>
      </w:pPr>
      <w:bookmarkStart w:id="46" w:name="_Toc511637459"/>
      <w:bookmarkStart w:id="47" w:name="_Toc66894942"/>
      <w:bookmarkStart w:id="48" w:name="_Toc3058"/>
      <w:bookmarkStart w:id="49" w:name="_Toc513215825"/>
      <w:r>
        <w:rPr>
          <w:rFonts w:hint="eastAsia" w:ascii="黑体" w:eastAsia="黑体"/>
          <w:b w:val="0"/>
          <w:sz w:val="32"/>
        </w:rPr>
        <w:t>十、申诉与仲裁</w:t>
      </w:r>
      <w:bookmarkEnd w:id="46"/>
      <w:bookmarkEnd w:id="47"/>
      <w:bookmarkEnd w:id="48"/>
      <w:bookmarkEnd w:id="49"/>
    </w:p>
    <w:p>
      <w:pPr>
        <w:pStyle w:val="2"/>
        <w:keepNext w:val="0"/>
        <w:keepLines w:val="0"/>
        <w:spacing w:beforeLines="0" w:afterLines="0" w:line="580" w:lineRule="exact"/>
        <w:ind w:firstLine="640"/>
        <w:rPr>
          <w:rFonts w:ascii="楷体_GB2312" w:eastAsia="楷体_GB2312"/>
          <w:b w:val="0"/>
        </w:rPr>
      </w:pPr>
      <w:bookmarkStart w:id="50" w:name="_Toc66894943"/>
      <w:r>
        <w:rPr>
          <w:rFonts w:hint="eastAsia" w:ascii="楷体_GB2312" w:eastAsia="楷体_GB2312"/>
          <w:b w:val="0"/>
        </w:rPr>
        <w:t>（一）申诉</w:t>
      </w:r>
      <w:bookmarkEnd w:id="50"/>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1、参赛队对不符合竞赛规定的设备、仪器，有失公正的检测、评判、奖励做法，以及对工作人员的违规行为等，均可提出申诉。</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申诉时，应递交由参赛队领队亲笔签字同意的书面报告，报告应对申诉事件的现象、发生的时间、涉及的人员、申诉依据与理由等进行充分、实事求是的叙述。事实依据不充分、仅凭主观臆断的申诉不予受理。</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3、申诉时效：本场次竞赛结束后</w:t>
      </w:r>
      <w:r>
        <w:rPr>
          <w:rFonts w:hint="eastAsia" w:ascii="仿宋_GB2312" w:eastAsia="仿宋_GB2312" w:cs="仿宋" w:hAnsiTheme="minorEastAsia"/>
          <w:sz w:val="32"/>
          <w:szCs w:val="32"/>
          <w:lang w:val="en-US" w:eastAsia="zh-CN"/>
        </w:rPr>
        <w:t>1</w:t>
      </w:r>
      <w:r>
        <w:rPr>
          <w:rFonts w:hint="eastAsia" w:ascii="仿宋_GB2312" w:eastAsia="仿宋_GB2312" w:cs="仿宋" w:hAnsiTheme="minorEastAsia"/>
          <w:sz w:val="32"/>
          <w:szCs w:val="32"/>
        </w:rPr>
        <w:t>小时内提出，超过时效将不予受理申诉。</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4、申诉处理：赛场专设仲裁工作组受理申诉，收到申诉报告之后，根据申诉事由进行审查，</w:t>
      </w:r>
      <w:r>
        <w:rPr>
          <w:rFonts w:hint="eastAsia" w:ascii="仿宋_GB2312" w:eastAsia="仿宋_GB2312" w:cs="仿宋" w:hAnsiTheme="minorEastAsia"/>
          <w:sz w:val="32"/>
          <w:szCs w:val="32"/>
          <w:lang w:val="en-US" w:eastAsia="zh-CN"/>
        </w:rPr>
        <w:t>1</w:t>
      </w:r>
      <w:r>
        <w:rPr>
          <w:rFonts w:hint="eastAsia" w:ascii="仿宋_GB2312" w:eastAsia="仿宋_GB2312" w:cs="仿宋" w:hAnsiTheme="minorEastAsia"/>
          <w:sz w:val="32"/>
          <w:szCs w:val="32"/>
        </w:rPr>
        <w:t>小时内书面通知申诉方，告知申诉处理结果。申诉人不得无故拒不接受处理结果，不允许采取过激行为刁难、攻击工作人员，否则视为放弃申诉。</w:t>
      </w:r>
      <w:bookmarkStart w:id="51" w:name="_Toc66894944"/>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（二）仲裁</w:t>
      </w:r>
      <w:bookmarkEnd w:id="51"/>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1、组委会下设仲裁工作组，负责受理大赛中出现的申诉复议并进行仲裁，以保证竞赛的顺利进行和竞赛结果公平、公正。</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2、仲裁工作组的裁决为最终裁决，参赛队不得因对仲裁处理意见不服而停止比赛或滋事，否则按弃权处理。</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本赛项在比赛过程中若出现有失公正或有关人员违规等现象，代表队领队可在比赛结束后半小时之内向赛项仲裁组提出申诉。赛项仲裁工作组在接到申诉后的半小时内组织复议，并及时反馈复议结果。仲裁委员会的仲裁结果为最终结果。</w:t>
      </w:r>
    </w:p>
    <w:p>
      <w:pPr>
        <w:pStyle w:val="4"/>
        <w:spacing w:before="0" w:after="156" w:afterLines="50" w:line="580" w:lineRule="exact"/>
        <w:ind w:firstLine="640" w:firstLineChars="200"/>
        <w:jc w:val="both"/>
        <w:rPr>
          <w:rFonts w:ascii="黑体" w:eastAsia="黑体"/>
          <w:b w:val="0"/>
          <w:sz w:val="32"/>
        </w:rPr>
      </w:pPr>
      <w:bookmarkStart w:id="52" w:name="_Toc15806"/>
      <w:bookmarkStart w:id="53" w:name="_Toc66894947"/>
      <w:r>
        <w:rPr>
          <w:rFonts w:hint="eastAsia" w:ascii="黑体" w:eastAsia="黑体"/>
          <w:b w:val="0"/>
          <w:sz w:val="32"/>
        </w:rPr>
        <w:t>十一、竞赛须知</w:t>
      </w:r>
      <w:bookmarkEnd w:id="52"/>
      <w:bookmarkEnd w:id="53"/>
    </w:p>
    <w:p>
      <w:pPr>
        <w:pStyle w:val="2"/>
        <w:keepNext w:val="0"/>
        <w:keepLines w:val="0"/>
        <w:spacing w:beforeLines="0" w:afterLines="0" w:line="580" w:lineRule="exact"/>
        <w:ind w:firstLine="640"/>
        <w:rPr>
          <w:rFonts w:ascii="楷体_GB2312" w:eastAsia="楷体_GB2312"/>
          <w:b w:val="0"/>
        </w:rPr>
      </w:pPr>
      <w:bookmarkStart w:id="54" w:name="_Toc66894948"/>
      <w:r>
        <w:rPr>
          <w:rFonts w:hint="eastAsia" w:ascii="楷体_GB2312" w:eastAsia="楷体_GB2312"/>
          <w:b w:val="0"/>
        </w:rPr>
        <w:t>（一）参赛队伍须知</w:t>
      </w:r>
      <w:bookmarkEnd w:id="54"/>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1、不接受跨校组队报名。</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参赛选手在报名获得审核确认后，原则上不再更换，如筹备过程中，选手因故不能参赛，所在院校需出具书面说明并按相关规定补充人员并接受审核；竞赛开始后，参赛队不得更换参赛选手，允许选手缺席比赛。</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3、参赛队按照大赛赛程安排，凭大赛组委会颁发的参赛证和有效身份证件参加比赛及相关活动。</w:t>
      </w:r>
      <w:bookmarkStart w:id="55" w:name="_Toc66894949"/>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（二）指导教师须知</w:t>
      </w:r>
      <w:bookmarkEnd w:id="55"/>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1、各参赛代表队要发扬良好道德风尚，听从指挥，服从裁判，不弄虚作假。如发现弄虚作假者，取消参赛资格，名次无效。</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2、各代表队领队要坚决执行竞赛的各项规定，加强对参赛人员的管理，做好赛前准备工作，督促选手带好证件等竞赛相关材料。</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3、竞赛过程中，除参加当场次竞赛的选手、执行裁判员、现场工作人员和经批准的人员外，领队、指导教师及其他人员一律不得进入竞赛现场。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4、参赛代表队若对竞赛过程有异议，在规定的时间内由领队向赛项仲裁工作组提出书面报告。</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5、对申诉的仲裁结果，领队要带头服从和执行，并做好选手工作。参赛选手不得因申诉或对处理意见不服而停止竞赛，否则以弃权处理。</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6、指导老师应认真研究和掌握本赛项竞赛的规程、技术规范和赛场要求，指导选手做好赛前的一切技术准备和竞赛准备。</w:t>
      </w:r>
    </w:p>
    <w:p>
      <w:pPr>
        <w:pStyle w:val="2"/>
        <w:keepNext w:val="0"/>
        <w:keepLines w:val="0"/>
        <w:spacing w:beforeLines="0" w:afterLines="0" w:line="580" w:lineRule="exact"/>
        <w:ind w:firstLine="640"/>
        <w:rPr>
          <w:rFonts w:ascii="楷体_GB2312" w:eastAsia="楷体_GB2312"/>
          <w:b w:val="0"/>
        </w:rPr>
      </w:pPr>
      <w:bookmarkStart w:id="56" w:name="_Toc66894950"/>
      <w:r>
        <w:rPr>
          <w:rFonts w:hint="eastAsia" w:ascii="楷体_GB2312" w:eastAsia="楷体_GB2312"/>
          <w:b w:val="0"/>
        </w:rPr>
        <w:t>（三）参赛选手须知</w:t>
      </w:r>
      <w:bookmarkEnd w:id="56"/>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1、参赛选手应按有关要求如实填报个人信息，否则取消竞赛资格。</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2、参赛选手凭统一印制的参赛证和有效身份证件参加竞赛。</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3、参赛选手应认真学习领会本次竞赛相关文件，自觉遵守大赛纪律，服从指挥，听从安排，文明参赛。</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4、参赛选手应提前15分钟抵达赛场，凭参赛证、身份证件检录，按要求入场，不得迟到早退。</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5、参赛选手应按抽签结果在指定位置就坐。</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6、参赛选手须在确认竞赛内容和现场设备等无误后开始竞赛。在竞赛过程中，如有疑问，参赛选手应举手示意，项目裁判长应按照有关要求及时予以答疑。如遇设备或软件等故障，参赛选手应举手示意，项目裁判长、技术人员等应及时予以解决。确因计算机软件或硬件故障，致使操作无法继续的，经项目裁判长确认，予以对应补时。</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7、各参赛选手必须按规范要求操作竞赛设备。一旦出现较严重的安全事故，经裁判长批准后将立即取消其参赛资格。</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8、竞赛时间终了，选手应全体起立，结束操作，离开赛场。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9、在竞赛期间，未经组委会批准，参赛选手不得接受其他单位和个人进行的与竞赛内容相关的采访。参赛选手不得将竞赛的相关信息私自公布。</w:t>
      </w:r>
    </w:p>
    <w:p>
      <w:pPr>
        <w:pStyle w:val="2"/>
        <w:keepNext w:val="0"/>
        <w:keepLines w:val="0"/>
        <w:spacing w:beforeLines="0" w:afterLines="0" w:line="580" w:lineRule="exact"/>
        <w:ind w:firstLine="640"/>
        <w:rPr>
          <w:rFonts w:ascii="楷体_GB2312" w:eastAsia="楷体_GB2312"/>
          <w:b w:val="0"/>
        </w:rPr>
      </w:pPr>
      <w:bookmarkStart w:id="57" w:name="_Toc66894951"/>
      <w:r>
        <w:rPr>
          <w:rFonts w:hint="eastAsia" w:ascii="楷体_GB2312" w:eastAsia="楷体_GB2312"/>
          <w:b w:val="0"/>
        </w:rPr>
        <w:t>（四）工作人员须知</w:t>
      </w:r>
      <w:bookmarkEnd w:id="57"/>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1、工作人员必须统一佩戴由大赛组委会签发的相应证件，着装整齐。</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2、工作人员不得影响参赛选手比赛，不允许有影响比赛公平的行为。</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3、服从领导，听从指挥，以高度负责的精神、严肃认真的态度做好各项工作。</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4、熟悉比赛规程，认真遵守各项比赛规则和工作要求。</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5、坚守岗位，如有急事需要离开岗位时，应经领导同意，并做好工作衔接。</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6、严格遵守比赛纪律，如发现其他人员有违反比赛纪律的行为，应予以制止。情节严重的，应向竞赛组委会反映。</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7、发扬无私奉献和团结协作的精神，提供热情、优质服务。</w:t>
      </w:r>
      <w:bookmarkStart w:id="58" w:name="_Toc66894952"/>
    </w:p>
    <w:p>
      <w:pPr>
        <w:pStyle w:val="4"/>
        <w:spacing w:before="0" w:after="156" w:afterLines="50" w:line="580" w:lineRule="exact"/>
        <w:ind w:firstLine="640" w:firstLineChars="200"/>
        <w:jc w:val="both"/>
        <w:rPr>
          <w:rFonts w:ascii="黑体" w:eastAsia="黑体"/>
          <w:b w:val="0"/>
          <w:sz w:val="32"/>
        </w:rPr>
      </w:pPr>
      <w:bookmarkStart w:id="59" w:name="_Toc10303"/>
      <w:r>
        <w:rPr>
          <w:rFonts w:hint="eastAsia" w:ascii="黑体" w:eastAsia="黑体"/>
          <w:b w:val="0"/>
          <w:sz w:val="32"/>
        </w:rPr>
        <w:t>十二、安全与健康保障工作</w:t>
      </w:r>
      <w:bookmarkEnd w:id="58"/>
      <w:bookmarkEnd w:id="59"/>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（一）安全管理工作方案</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1、加强消防安全，禁止携带打火机、香烟等易燃易爆物品进入竞赛场地，建立完善消防制度，制定消防通道指示牌，提前检修保养消防设施并安排专职人员在竞赛时负责到岗待命。</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2、严格饮食卫生管理，为大赛期间参赛选手及教师提供安全健康的食品。</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3、就近设立应急医务室，配备专业医务人员。</w:t>
      </w:r>
    </w:p>
    <w:p>
      <w:pPr>
        <w:pStyle w:val="2"/>
        <w:keepNext w:val="0"/>
        <w:keepLines w:val="0"/>
        <w:spacing w:beforeLines="0" w:afterLines="0" w:line="580" w:lineRule="exact"/>
        <w:ind w:firstLine="640"/>
        <w:rPr>
          <w:rFonts w:ascii="楷体_GB2312" w:eastAsia="楷体_GB2312"/>
          <w:b w:val="0"/>
        </w:rPr>
      </w:pPr>
      <w:r>
        <w:rPr>
          <w:rFonts w:hint="eastAsia" w:ascii="楷体_GB2312" w:eastAsia="楷体_GB2312"/>
          <w:b w:val="0"/>
        </w:rPr>
        <w:t>（二）应急救援预案</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1、大赛人员出现身体异常或连续3人出现相同症状，应由所在场所相关工作人员，则启动应急处理，安排就医排查。</w:t>
      </w:r>
    </w:p>
    <w:p>
      <w:pPr>
        <w:widowControl w:val="0"/>
        <w:adjustRightInd w:val="0"/>
        <w:snapToGrid w:val="0"/>
        <w:spacing w:line="580" w:lineRule="exact"/>
        <w:ind w:firstLine="640" w:firstLineChars="200"/>
        <w:jc w:val="both"/>
        <w:rPr>
          <w:rFonts w:ascii="仿宋_GB2312" w:eastAsia="仿宋_GB2312" w:cs="仿宋" w:hAnsiTheme="minorEastAsia"/>
          <w:sz w:val="32"/>
          <w:szCs w:val="32"/>
        </w:rPr>
      </w:pPr>
      <w:r>
        <w:rPr>
          <w:rFonts w:hint="eastAsia" w:ascii="仿宋_GB2312" w:eastAsia="仿宋_GB2312" w:cs="仿宋" w:hAnsiTheme="minorEastAsia"/>
          <w:sz w:val="32"/>
          <w:szCs w:val="32"/>
        </w:rPr>
        <w:t>2、赛场如有危险事情发生，工作人员应及时组织疏散工作，尽快疏散参赛人员至安全地点。</w:t>
      </w:r>
    </w:p>
    <w:sectPr>
      <w:footerReference r:id="rId6" w:type="first"/>
      <w:footerReference r:id="rId4" w:type="default"/>
      <w:footerReference r:id="rId5" w:type="even"/>
      <w:pgSz w:w="11906" w:h="16838"/>
      <w:pgMar w:top="1701" w:right="1474" w:bottom="1701" w:left="1588" w:header="851" w:footer="79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130061"/>
      <w:docPartObj>
        <w:docPartGallery w:val="autotext"/>
      </w:docPartObj>
    </w:sdtPr>
    <w:sdtContent>
      <w:p>
        <w:pPr>
          <w:pStyle w:val="10"/>
          <w:jc w:val="center"/>
        </w:pPr>
        <w:r>
          <w:fldChar w:fldCharType="begin"/>
        </w:r>
        <w:r>
          <w:instrText xml:space="preserve">PAGE   \* MERGEFORMAT</w:instrText>
        </w:r>
        <w:r>
          <w:fldChar w:fldCharType="separate"/>
        </w:r>
        <w:r>
          <w:rPr>
            <w:lang w:val="zh-CN"/>
          </w:rPr>
          <w:t>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2E9FA"/>
    <w:multiLevelType w:val="singleLevel"/>
    <w:tmpl w:val="EA52E9FA"/>
    <w:lvl w:ilvl="0" w:tentative="0">
      <w:start w:val="2"/>
      <w:numFmt w:val="chineseCounting"/>
      <w:suff w:val="nothing"/>
      <w:lvlText w:val="（%1）"/>
      <w:lvlJc w:val="left"/>
      <w:rPr>
        <w:rFonts w:hint="eastAsia"/>
      </w:rPr>
    </w:lvl>
  </w:abstractNum>
  <w:abstractNum w:abstractNumId="1">
    <w:nsid w:val="FE702E1D"/>
    <w:multiLevelType w:val="singleLevel"/>
    <w:tmpl w:val="FE702E1D"/>
    <w:lvl w:ilvl="0" w:tentative="0">
      <w:start w:val="1"/>
      <w:numFmt w:val="decimal"/>
      <w:lvlText w:val="%1)"/>
      <w:lvlJc w:val="left"/>
      <w:pPr>
        <w:ind w:left="425" w:hanging="425"/>
      </w:pPr>
      <w:rPr>
        <w:rFonts w:hint="default"/>
      </w:rPr>
    </w:lvl>
  </w:abstractNum>
  <w:abstractNum w:abstractNumId="2">
    <w:nsid w:val="185CB794"/>
    <w:multiLevelType w:val="singleLevel"/>
    <w:tmpl w:val="185CB794"/>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Dc0N2IzNTNkMjNhNmM0YzkwYzJkNzdlNTRmZmEifQ=="/>
  </w:docVars>
  <w:rsids>
    <w:rsidRoot w:val="00172A27"/>
    <w:rsid w:val="00000BF0"/>
    <w:rsid w:val="000059DD"/>
    <w:rsid w:val="00015E02"/>
    <w:rsid w:val="0002503F"/>
    <w:rsid w:val="00027511"/>
    <w:rsid w:val="00035DAD"/>
    <w:rsid w:val="00037177"/>
    <w:rsid w:val="000379C7"/>
    <w:rsid w:val="00044283"/>
    <w:rsid w:val="000470C9"/>
    <w:rsid w:val="0004786A"/>
    <w:rsid w:val="0007113A"/>
    <w:rsid w:val="00087C55"/>
    <w:rsid w:val="00093047"/>
    <w:rsid w:val="000A3F97"/>
    <w:rsid w:val="000A4366"/>
    <w:rsid w:val="000A6473"/>
    <w:rsid w:val="000A7D9A"/>
    <w:rsid w:val="000C3258"/>
    <w:rsid w:val="000D3043"/>
    <w:rsid w:val="000D522D"/>
    <w:rsid w:val="000D5FD5"/>
    <w:rsid w:val="000F07D1"/>
    <w:rsid w:val="000F50ED"/>
    <w:rsid w:val="000F650F"/>
    <w:rsid w:val="00100008"/>
    <w:rsid w:val="00104366"/>
    <w:rsid w:val="00105215"/>
    <w:rsid w:val="00105317"/>
    <w:rsid w:val="00113D81"/>
    <w:rsid w:val="001518A8"/>
    <w:rsid w:val="00161C20"/>
    <w:rsid w:val="0017165A"/>
    <w:rsid w:val="00172A27"/>
    <w:rsid w:val="00185A2E"/>
    <w:rsid w:val="001925EE"/>
    <w:rsid w:val="00194892"/>
    <w:rsid w:val="00196D9C"/>
    <w:rsid w:val="001B28E9"/>
    <w:rsid w:val="001D268C"/>
    <w:rsid w:val="001E55F9"/>
    <w:rsid w:val="001F58C0"/>
    <w:rsid w:val="00210158"/>
    <w:rsid w:val="00212329"/>
    <w:rsid w:val="00224AE3"/>
    <w:rsid w:val="00226224"/>
    <w:rsid w:val="0025036D"/>
    <w:rsid w:val="00253146"/>
    <w:rsid w:val="002603B7"/>
    <w:rsid w:val="00261A2D"/>
    <w:rsid w:val="0026226A"/>
    <w:rsid w:val="00263CA0"/>
    <w:rsid w:val="00267EC3"/>
    <w:rsid w:val="0027647E"/>
    <w:rsid w:val="00280221"/>
    <w:rsid w:val="00283CDA"/>
    <w:rsid w:val="0029299E"/>
    <w:rsid w:val="00295BF8"/>
    <w:rsid w:val="002A1391"/>
    <w:rsid w:val="002B1653"/>
    <w:rsid w:val="002C22B2"/>
    <w:rsid w:val="002C5000"/>
    <w:rsid w:val="002C5A88"/>
    <w:rsid w:val="002D2C4A"/>
    <w:rsid w:val="00300234"/>
    <w:rsid w:val="00313BA8"/>
    <w:rsid w:val="00320AAC"/>
    <w:rsid w:val="0032223C"/>
    <w:rsid w:val="00326DFE"/>
    <w:rsid w:val="00330AC0"/>
    <w:rsid w:val="00344508"/>
    <w:rsid w:val="00345547"/>
    <w:rsid w:val="00347C9E"/>
    <w:rsid w:val="00365849"/>
    <w:rsid w:val="00374193"/>
    <w:rsid w:val="0038240E"/>
    <w:rsid w:val="00393687"/>
    <w:rsid w:val="003944B1"/>
    <w:rsid w:val="003A24E4"/>
    <w:rsid w:val="003A3CBF"/>
    <w:rsid w:val="003A7FA1"/>
    <w:rsid w:val="003B1FAE"/>
    <w:rsid w:val="003C3679"/>
    <w:rsid w:val="003D239D"/>
    <w:rsid w:val="003D64C6"/>
    <w:rsid w:val="003E7623"/>
    <w:rsid w:val="003F0AAD"/>
    <w:rsid w:val="003F0B7A"/>
    <w:rsid w:val="003F32B0"/>
    <w:rsid w:val="003F4B30"/>
    <w:rsid w:val="003F4F84"/>
    <w:rsid w:val="0040396F"/>
    <w:rsid w:val="00405C8F"/>
    <w:rsid w:val="0041096D"/>
    <w:rsid w:val="00415895"/>
    <w:rsid w:val="0042478B"/>
    <w:rsid w:val="00426799"/>
    <w:rsid w:val="004279CC"/>
    <w:rsid w:val="0043408A"/>
    <w:rsid w:val="00436467"/>
    <w:rsid w:val="00441910"/>
    <w:rsid w:val="00441B18"/>
    <w:rsid w:val="004523BF"/>
    <w:rsid w:val="0045297C"/>
    <w:rsid w:val="00453202"/>
    <w:rsid w:val="00457676"/>
    <w:rsid w:val="00457A5D"/>
    <w:rsid w:val="00460121"/>
    <w:rsid w:val="00462938"/>
    <w:rsid w:val="004802A9"/>
    <w:rsid w:val="00480ACF"/>
    <w:rsid w:val="004831D9"/>
    <w:rsid w:val="004A27D4"/>
    <w:rsid w:val="004B4EFF"/>
    <w:rsid w:val="004B6CD4"/>
    <w:rsid w:val="004D13BF"/>
    <w:rsid w:val="004E6C34"/>
    <w:rsid w:val="004E7268"/>
    <w:rsid w:val="004F2C36"/>
    <w:rsid w:val="004F3712"/>
    <w:rsid w:val="004F6F07"/>
    <w:rsid w:val="00525FAB"/>
    <w:rsid w:val="00526299"/>
    <w:rsid w:val="005445D3"/>
    <w:rsid w:val="0054491E"/>
    <w:rsid w:val="00553F2A"/>
    <w:rsid w:val="00570792"/>
    <w:rsid w:val="00575014"/>
    <w:rsid w:val="00580452"/>
    <w:rsid w:val="00580CF1"/>
    <w:rsid w:val="00582B93"/>
    <w:rsid w:val="00592D93"/>
    <w:rsid w:val="005B3123"/>
    <w:rsid w:val="005B551E"/>
    <w:rsid w:val="005C5F59"/>
    <w:rsid w:val="005D4B90"/>
    <w:rsid w:val="005E29E5"/>
    <w:rsid w:val="0060555D"/>
    <w:rsid w:val="00612302"/>
    <w:rsid w:val="00613580"/>
    <w:rsid w:val="00615E57"/>
    <w:rsid w:val="00626651"/>
    <w:rsid w:val="00627BD7"/>
    <w:rsid w:val="00634D50"/>
    <w:rsid w:val="00641FB8"/>
    <w:rsid w:val="00645C7C"/>
    <w:rsid w:val="0065145D"/>
    <w:rsid w:val="0068033A"/>
    <w:rsid w:val="0068107E"/>
    <w:rsid w:val="006817F4"/>
    <w:rsid w:val="00696D39"/>
    <w:rsid w:val="006A020D"/>
    <w:rsid w:val="006A4E54"/>
    <w:rsid w:val="006B1C09"/>
    <w:rsid w:val="006B33C3"/>
    <w:rsid w:val="006B43FB"/>
    <w:rsid w:val="006B4DCB"/>
    <w:rsid w:val="006D1F83"/>
    <w:rsid w:val="006D2EF4"/>
    <w:rsid w:val="006E5B0A"/>
    <w:rsid w:val="006E65A5"/>
    <w:rsid w:val="007039FD"/>
    <w:rsid w:val="00704354"/>
    <w:rsid w:val="007273D8"/>
    <w:rsid w:val="007364D8"/>
    <w:rsid w:val="0074554F"/>
    <w:rsid w:val="0076223D"/>
    <w:rsid w:val="00770C5F"/>
    <w:rsid w:val="007765BE"/>
    <w:rsid w:val="00780925"/>
    <w:rsid w:val="00784358"/>
    <w:rsid w:val="007847A8"/>
    <w:rsid w:val="00791DCB"/>
    <w:rsid w:val="007C3DD6"/>
    <w:rsid w:val="007C6D3E"/>
    <w:rsid w:val="007E34B1"/>
    <w:rsid w:val="007E4494"/>
    <w:rsid w:val="007F7264"/>
    <w:rsid w:val="0081386F"/>
    <w:rsid w:val="00816A6F"/>
    <w:rsid w:val="00816FC0"/>
    <w:rsid w:val="008273BB"/>
    <w:rsid w:val="0083097B"/>
    <w:rsid w:val="00832EB8"/>
    <w:rsid w:val="008402B3"/>
    <w:rsid w:val="00842E6E"/>
    <w:rsid w:val="00857542"/>
    <w:rsid w:val="00867283"/>
    <w:rsid w:val="008723BD"/>
    <w:rsid w:val="008757AE"/>
    <w:rsid w:val="008A2E71"/>
    <w:rsid w:val="008A5BF7"/>
    <w:rsid w:val="008B6242"/>
    <w:rsid w:val="008D2AF8"/>
    <w:rsid w:val="008E4289"/>
    <w:rsid w:val="008E6890"/>
    <w:rsid w:val="00912744"/>
    <w:rsid w:val="00912AF5"/>
    <w:rsid w:val="00914F9A"/>
    <w:rsid w:val="009177F8"/>
    <w:rsid w:val="0093256E"/>
    <w:rsid w:val="00935953"/>
    <w:rsid w:val="00947867"/>
    <w:rsid w:val="00953166"/>
    <w:rsid w:val="009569F3"/>
    <w:rsid w:val="00977A60"/>
    <w:rsid w:val="009966E3"/>
    <w:rsid w:val="009A2F2A"/>
    <w:rsid w:val="009B675F"/>
    <w:rsid w:val="009C0919"/>
    <w:rsid w:val="009C190F"/>
    <w:rsid w:val="009C6759"/>
    <w:rsid w:val="009D0793"/>
    <w:rsid w:val="009D34CE"/>
    <w:rsid w:val="009E24D9"/>
    <w:rsid w:val="00A113BD"/>
    <w:rsid w:val="00A16974"/>
    <w:rsid w:val="00A2010F"/>
    <w:rsid w:val="00A21DEF"/>
    <w:rsid w:val="00A26C54"/>
    <w:rsid w:val="00A32139"/>
    <w:rsid w:val="00A471DC"/>
    <w:rsid w:val="00A55154"/>
    <w:rsid w:val="00A55E5A"/>
    <w:rsid w:val="00A602B0"/>
    <w:rsid w:val="00A821F9"/>
    <w:rsid w:val="00A85DC7"/>
    <w:rsid w:val="00AA6251"/>
    <w:rsid w:val="00AD0570"/>
    <w:rsid w:val="00AD55D7"/>
    <w:rsid w:val="00AE01C6"/>
    <w:rsid w:val="00AE04CD"/>
    <w:rsid w:val="00AE330D"/>
    <w:rsid w:val="00B125C2"/>
    <w:rsid w:val="00B1311B"/>
    <w:rsid w:val="00B200EF"/>
    <w:rsid w:val="00B303B9"/>
    <w:rsid w:val="00B568AF"/>
    <w:rsid w:val="00B569C5"/>
    <w:rsid w:val="00B60AC8"/>
    <w:rsid w:val="00B61AD4"/>
    <w:rsid w:val="00B75F86"/>
    <w:rsid w:val="00B80014"/>
    <w:rsid w:val="00B829B0"/>
    <w:rsid w:val="00B8539E"/>
    <w:rsid w:val="00B956AA"/>
    <w:rsid w:val="00BC5CFA"/>
    <w:rsid w:val="00BE185E"/>
    <w:rsid w:val="00BE319D"/>
    <w:rsid w:val="00BE5C02"/>
    <w:rsid w:val="00BE60E8"/>
    <w:rsid w:val="00BF4817"/>
    <w:rsid w:val="00C13776"/>
    <w:rsid w:val="00C16D95"/>
    <w:rsid w:val="00C24A3B"/>
    <w:rsid w:val="00C2586E"/>
    <w:rsid w:val="00C34C2B"/>
    <w:rsid w:val="00C62E68"/>
    <w:rsid w:val="00C63331"/>
    <w:rsid w:val="00C633E1"/>
    <w:rsid w:val="00C73A06"/>
    <w:rsid w:val="00C8004B"/>
    <w:rsid w:val="00C922AD"/>
    <w:rsid w:val="00C929C9"/>
    <w:rsid w:val="00CA5280"/>
    <w:rsid w:val="00CB180B"/>
    <w:rsid w:val="00CB7F08"/>
    <w:rsid w:val="00CC35A3"/>
    <w:rsid w:val="00CC51AF"/>
    <w:rsid w:val="00CC7A9B"/>
    <w:rsid w:val="00CD7341"/>
    <w:rsid w:val="00CE31A6"/>
    <w:rsid w:val="00CE3715"/>
    <w:rsid w:val="00CE595A"/>
    <w:rsid w:val="00CF2628"/>
    <w:rsid w:val="00D24FF0"/>
    <w:rsid w:val="00D3641B"/>
    <w:rsid w:val="00D44A39"/>
    <w:rsid w:val="00D5703F"/>
    <w:rsid w:val="00D7132F"/>
    <w:rsid w:val="00D7140E"/>
    <w:rsid w:val="00D83D11"/>
    <w:rsid w:val="00D85B71"/>
    <w:rsid w:val="00D96080"/>
    <w:rsid w:val="00DA0FE2"/>
    <w:rsid w:val="00DA1146"/>
    <w:rsid w:val="00DA7A9F"/>
    <w:rsid w:val="00DB3F8C"/>
    <w:rsid w:val="00DC27C1"/>
    <w:rsid w:val="00DC448D"/>
    <w:rsid w:val="00DD2DEC"/>
    <w:rsid w:val="00DE10C7"/>
    <w:rsid w:val="00DE6002"/>
    <w:rsid w:val="00DF174C"/>
    <w:rsid w:val="00E05761"/>
    <w:rsid w:val="00E12282"/>
    <w:rsid w:val="00E20E9E"/>
    <w:rsid w:val="00E4677B"/>
    <w:rsid w:val="00E624F7"/>
    <w:rsid w:val="00E64D0A"/>
    <w:rsid w:val="00E67C2B"/>
    <w:rsid w:val="00E72BDB"/>
    <w:rsid w:val="00E81B22"/>
    <w:rsid w:val="00E84569"/>
    <w:rsid w:val="00E90701"/>
    <w:rsid w:val="00EC5EFA"/>
    <w:rsid w:val="00ED0552"/>
    <w:rsid w:val="00ED3B82"/>
    <w:rsid w:val="00EE2EBE"/>
    <w:rsid w:val="00EF08D8"/>
    <w:rsid w:val="00F0156B"/>
    <w:rsid w:val="00F0159D"/>
    <w:rsid w:val="00F0375A"/>
    <w:rsid w:val="00F041E5"/>
    <w:rsid w:val="00F10C8F"/>
    <w:rsid w:val="00F20731"/>
    <w:rsid w:val="00F2352F"/>
    <w:rsid w:val="00F240C8"/>
    <w:rsid w:val="00F31B9F"/>
    <w:rsid w:val="00F32E5F"/>
    <w:rsid w:val="00F3369A"/>
    <w:rsid w:val="00F42ACE"/>
    <w:rsid w:val="00F461E9"/>
    <w:rsid w:val="00F60EC9"/>
    <w:rsid w:val="00F64D9D"/>
    <w:rsid w:val="00F662DD"/>
    <w:rsid w:val="00F752D7"/>
    <w:rsid w:val="00FA41EB"/>
    <w:rsid w:val="00FB7187"/>
    <w:rsid w:val="00FC1C55"/>
    <w:rsid w:val="00FD1304"/>
    <w:rsid w:val="00FD22C8"/>
    <w:rsid w:val="00FE16DF"/>
    <w:rsid w:val="00FE2E6E"/>
    <w:rsid w:val="00FE4920"/>
    <w:rsid w:val="00FF3874"/>
    <w:rsid w:val="0148660A"/>
    <w:rsid w:val="014921F2"/>
    <w:rsid w:val="018169DF"/>
    <w:rsid w:val="0472466F"/>
    <w:rsid w:val="061F2A86"/>
    <w:rsid w:val="06826CEB"/>
    <w:rsid w:val="08053E60"/>
    <w:rsid w:val="08D90C37"/>
    <w:rsid w:val="0B571E32"/>
    <w:rsid w:val="0B6E3B68"/>
    <w:rsid w:val="0C10030E"/>
    <w:rsid w:val="0CFF716D"/>
    <w:rsid w:val="0D4F2030"/>
    <w:rsid w:val="0DA04313"/>
    <w:rsid w:val="0FCE3588"/>
    <w:rsid w:val="0FF56668"/>
    <w:rsid w:val="104B4477"/>
    <w:rsid w:val="106F37A0"/>
    <w:rsid w:val="108F1880"/>
    <w:rsid w:val="11D566EF"/>
    <w:rsid w:val="13274D28"/>
    <w:rsid w:val="13E807D5"/>
    <w:rsid w:val="14A5190A"/>
    <w:rsid w:val="14AD3731"/>
    <w:rsid w:val="15703896"/>
    <w:rsid w:val="162A5593"/>
    <w:rsid w:val="16AD7A65"/>
    <w:rsid w:val="17730AC6"/>
    <w:rsid w:val="18214BE3"/>
    <w:rsid w:val="196B70B6"/>
    <w:rsid w:val="1C890801"/>
    <w:rsid w:val="1D7766A0"/>
    <w:rsid w:val="1E27716B"/>
    <w:rsid w:val="1FE146E6"/>
    <w:rsid w:val="1FFC6916"/>
    <w:rsid w:val="223920E8"/>
    <w:rsid w:val="23BD0B0B"/>
    <w:rsid w:val="262670C1"/>
    <w:rsid w:val="26752182"/>
    <w:rsid w:val="2713541C"/>
    <w:rsid w:val="27B34A08"/>
    <w:rsid w:val="27CF4657"/>
    <w:rsid w:val="28264EC0"/>
    <w:rsid w:val="289E7DF2"/>
    <w:rsid w:val="28ED32CC"/>
    <w:rsid w:val="2B6C5576"/>
    <w:rsid w:val="2BFF5F02"/>
    <w:rsid w:val="2D452523"/>
    <w:rsid w:val="2EB711FE"/>
    <w:rsid w:val="2F193C67"/>
    <w:rsid w:val="2F6A41CC"/>
    <w:rsid w:val="2F882B9B"/>
    <w:rsid w:val="2FC8256B"/>
    <w:rsid w:val="30B41023"/>
    <w:rsid w:val="30E35856"/>
    <w:rsid w:val="31CC0B61"/>
    <w:rsid w:val="32666557"/>
    <w:rsid w:val="3267190E"/>
    <w:rsid w:val="32E71EAF"/>
    <w:rsid w:val="32FC4400"/>
    <w:rsid w:val="33511D72"/>
    <w:rsid w:val="33D666D7"/>
    <w:rsid w:val="34CB02E2"/>
    <w:rsid w:val="34D430E6"/>
    <w:rsid w:val="35BE7316"/>
    <w:rsid w:val="35CF1523"/>
    <w:rsid w:val="36A77DAA"/>
    <w:rsid w:val="37A144A3"/>
    <w:rsid w:val="38E3145C"/>
    <w:rsid w:val="39B06EA7"/>
    <w:rsid w:val="3AE20A79"/>
    <w:rsid w:val="3EE20422"/>
    <w:rsid w:val="3F9344CA"/>
    <w:rsid w:val="3FFA19CD"/>
    <w:rsid w:val="4002629A"/>
    <w:rsid w:val="40691531"/>
    <w:rsid w:val="42745AE8"/>
    <w:rsid w:val="4565334A"/>
    <w:rsid w:val="45EC7588"/>
    <w:rsid w:val="464645A6"/>
    <w:rsid w:val="47A125F4"/>
    <w:rsid w:val="47AF4D11"/>
    <w:rsid w:val="498C7317"/>
    <w:rsid w:val="4A0550BC"/>
    <w:rsid w:val="4A084BAC"/>
    <w:rsid w:val="4A1E07F6"/>
    <w:rsid w:val="4ABE5113"/>
    <w:rsid w:val="4C453E95"/>
    <w:rsid w:val="4D676751"/>
    <w:rsid w:val="4F9A3756"/>
    <w:rsid w:val="505F4DFA"/>
    <w:rsid w:val="50BD38C3"/>
    <w:rsid w:val="51C161BD"/>
    <w:rsid w:val="538928BA"/>
    <w:rsid w:val="53A56FC8"/>
    <w:rsid w:val="53BE40A3"/>
    <w:rsid w:val="53EE2E96"/>
    <w:rsid w:val="548A43F4"/>
    <w:rsid w:val="559A5B0E"/>
    <w:rsid w:val="55D41F2D"/>
    <w:rsid w:val="560D3B2E"/>
    <w:rsid w:val="562333F0"/>
    <w:rsid w:val="56B3675A"/>
    <w:rsid w:val="57C43FC6"/>
    <w:rsid w:val="58244328"/>
    <w:rsid w:val="59831B59"/>
    <w:rsid w:val="59B51B15"/>
    <w:rsid w:val="5BA85CB8"/>
    <w:rsid w:val="5C09120C"/>
    <w:rsid w:val="5CFC40FC"/>
    <w:rsid w:val="5DAE16BD"/>
    <w:rsid w:val="5F8B1768"/>
    <w:rsid w:val="5F8E4893"/>
    <w:rsid w:val="5FC01133"/>
    <w:rsid w:val="60F95BBD"/>
    <w:rsid w:val="613D4CE3"/>
    <w:rsid w:val="61613941"/>
    <w:rsid w:val="61EF785F"/>
    <w:rsid w:val="622B3119"/>
    <w:rsid w:val="638E34FF"/>
    <w:rsid w:val="64CB5CF8"/>
    <w:rsid w:val="65E12608"/>
    <w:rsid w:val="66A6332B"/>
    <w:rsid w:val="67BF28F6"/>
    <w:rsid w:val="6A6652AB"/>
    <w:rsid w:val="6BA21B4E"/>
    <w:rsid w:val="6C1B3E73"/>
    <w:rsid w:val="6C530683"/>
    <w:rsid w:val="6C5477EF"/>
    <w:rsid w:val="6D08089B"/>
    <w:rsid w:val="6E897CA6"/>
    <w:rsid w:val="6EE844E0"/>
    <w:rsid w:val="705A4699"/>
    <w:rsid w:val="70875F7B"/>
    <w:rsid w:val="71B73FD1"/>
    <w:rsid w:val="72FE3522"/>
    <w:rsid w:val="73E300A9"/>
    <w:rsid w:val="743A24FB"/>
    <w:rsid w:val="7440091B"/>
    <w:rsid w:val="747A1DDE"/>
    <w:rsid w:val="747C5589"/>
    <w:rsid w:val="74C55995"/>
    <w:rsid w:val="74DE40C6"/>
    <w:rsid w:val="76DD3EAF"/>
    <w:rsid w:val="7721386B"/>
    <w:rsid w:val="77722959"/>
    <w:rsid w:val="7818592B"/>
    <w:rsid w:val="784D0326"/>
    <w:rsid w:val="7881228A"/>
    <w:rsid w:val="794E3ADA"/>
    <w:rsid w:val="799B1AC5"/>
    <w:rsid w:val="7A08426B"/>
    <w:rsid w:val="7B364829"/>
    <w:rsid w:val="7BB823C7"/>
    <w:rsid w:val="7C570EF7"/>
    <w:rsid w:val="7D2C313C"/>
    <w:rsid w:val="7D5E0064"/>
    <w:rsid w:val="7E805274"/>
    <w:rsid w:val="7E865AC4"/>
    <w:rsid w:val="7EA55CBC"/>
    <w:rsid w:val="7EDC1B88"/>
    <w:rsid w:val="7F695428"/>
    <w:rsid w:val="7FB24E2D"/>
    <w:rsid w:val="7FC65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6"/>
      <w:szCs w:val="32"/>
    </w:rPr>
  </w:style>
  <w:style w:type="paragraph" w:styleId="2">
    <w:name w:val="heading 3"/>
    <w:basedOn w:val="1"/>
    <w:next w:val="1"/>
    <w:link w:val="32"/>
    <w:unhideWhenUsed/>
    <w:qFormat/>
    <w:uiPriority w:val="9"/>
    <w:pPr>
      <w:keepNext/>
      <w:keepLines/>
      <w:widowControl w:val="0"/>
      <w:spacing w:beforeLines="50" w:afterLines="50"/>
      <w:ind w:firstLine="200" w:firstLineChars="200"/>
      <w:jc w:val="both"/>
      <w:outlineLvl w:val="2"/>
    </w:pPr>
    <w:rPr>
      <w:rFonts w:asciiTheme="minorHAnsi" w:hAnsiTheme="minorHAnsi" w:eastAsiaTheme="minorEastAsia" w:cstheme="min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style>
  <w:style w:type="paragraph" w:styleId="6">
    <w:name w:val="Body Text"/>
    <w:basedOn w:val="1"/>
    <w:next w:val="1"/>
    <w:qFormat/>
    <w:uiPriority w:val="99"/>
    <w:pPr>
      <w:autoSpaceDE w:val="0"/>
      <w:autoSpaceDN w:val="0"/>
      <w:jc w:val="left"/>
    </w:pPr>
    <w:rPr>
      <w:rFonts w:ascii="宋体" w:hAnsi="宋体" w:cs="宋体"/>
      <w:kern w:val="0"/>
      <w:sz w:val="30"/>
      <w:szCs w:val="30"/>
      <w:lang w:val="zh-CN"/>
    </w:rPr>
  </w:style>
  <w:style w:type="paragraph" w:styleId="7">
    <w:name w:val="toc 3"/>
    <w:basedOn w:val="1"/>
    <w:next w:val="1"/>
    <w:unhideWhenUsed/>
    <w:qFormat/>
    <w:uiPriority w:val="39"/>
    <w:pPr>
      <w:ind w:left="840" w:leftChars="400"/>
    </w:pPr>
  </w:style>
  <w:style w:type="paragraph" w:styleId="8">
    <w:name w:val="Date"/>
    <w:basedOn w:val="1"/>
    <w:next w:val="1"/>
    <w:link w:val="35"/>
    <w:semiHidden/>
    <w:unhideWhenUsed/>
    <w:qFormat/>
    <w:uiPriority w:val="99"/>
    <w:pPr>
      <w:ind w:left="100" w:leftChars="2500"/>
    </w:pPr>
  </w:style>
  <w:style w:type="paragraph" w:styleId="9">
    <w:name w:val="Balloon Text"/>
    <w:basedOn w:val="1"/>
    <w:link w:val="30"/>
    <w:semiHidden/>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100" w:beforeAutospacing="1" w:after="100" w:afterAutospacing="1" w:line="240" w:lineRule="auto"/>
    </w:pPr>
    <w:rPr>
      <w:rFonts w:ascii="宋体" w:hAnsi="宋体" w:cs="宋体"/>
      <w:kern w:val="0"/>
      <w:sz w:val="24"/>
      <w:szCs w:val="24"/>
    </w:rPr>
  </w:style>
  <w:style w:type="paragraph" w:styleId="15">
    <w:name w:val="annotation subject"/>
    <w:basedOn w:val="5"/>
    <w:next w:val="5"/>
    <w:link w:val="29"/>
    <w:semiHidden/>
    <w:unhideWhenUsed/>
    <w:qFormat/>
    <w:uiPriority w:val="99"/>
    <w:rPr>
      <w:b/>
      <w:bCs/>
    </w:rPr>
  </w:style>
  <w:style w:type="paragraph" w:styleId="16">
    <w:name w:val="Body Text First Indent"/>
    <w:basedOn w:val="6"/>
    <w:unhideWhenUsed/>
    <w:qFormat/>
    <w:uiPriority w:val="99"/>
    <w:pPr>
      <w:spacing w:before="0" w:beforeAutospacing="0" w:after="120" w:afterAutospacing="0"/>
      <w:ind w:firstLine="420" w:firstLineChars="100"/>
    </w:pPr>
    <w:rPr>
      <w:rFonts w:ascii="Calibri" w:hAnsi="Calibri"/>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标题 1 Char"/>
    <w:basedOn w:val="19"/>
    <w:link w:val="3"/>
    <w:qFormat/>
    <w:uiPriority w:val="9"/>
    <w:rPr>
      <w:rFonts w:ascii="Calibri" w:hAnsi="Calibri" w:eastAsia="宋体" w:cs="Times New Roman"/>
      <w:b/>
      <w:bCs/>
      <w:kern w:val="44"/>
      <w:sz w:val="44"/>
      <w:szCs w:val="44"/>
    </w:rPr>
  </w:style>
  <w:style w:type="character" w:customStyle="1" w:styleId="24">
    <w:name w:val="标题 2 Char"/>
    <w:basedOn w:val="19"/>
    <w:link w:val="4"/>
    <w:qFormat/>
    <w:uiPriority w:val="9"/>
    <w:rPr>
      <w:rFonts w:asciiTheme="majorHAnsi" w:hAnsiTheme="majorHAnsi" w:eastAsiaTheme="majorEastAsia" w:cstheme="majorBidi"/>
      <w:b/>
      <w:bCs/>
      <w:sz w:val="36"/>
      <w:szCs w:val="32"/>
    </w:rPr>
  </w:style>
  <w:style w:type="character" w:customStyle="1" w:styleId="25">
    <w:name w:val="页眉 Char"/>
    <w:basedOn w:val="19"/>
    <w:link w:val="11"/>
    <w:qFormat/>
    <w:uiPriority w:val="99"/>
    <w:rPr>
      <w:sz w:val="18"/>
      <w:szCs w:val="18"/>
    </w:rPr>
  </w:style>
  <w:style w:type="character" w:customStyle="1" w:styleId="26">
    <w:name w:val="页脚 Char"/>
    <w:basedOn w:val="19"/>
    <w:link w:val="10"/>
    <w:qFormat/>
    <w:uiPriority w:val="99"/>
    <w:rPr>
      <w:sz w:val="18"/>
      <w:szCs w:val="18"/>
    </w:rPr>
  </w:style>
  <w:style w:type="character" w:customStyle="1" w:styleId="27">
    <w:name w:val="fontstyle01"/>
    <w:basedOn w:val="19"/>
    <w:qFormat/>
    <w:uiPriority w:val="0"/>
    <w:rPr>
      <w:rFonts w:hint="default" w:ascii="FZXBSJW--GB1-0" w:hAnsi="FZXBSJW--GB1-0"/>
      <w:color w:val="FF0000"/>
      <w:sz w:val="80"/>
      <w:szCs w:val="80"/>
    </w:rPr>
  </w:style>
  <w:style w:type="character" w:customStyle="1" w:styleId="28">
    <w:name w:val="批注文字 Char"/>
    <w:basedOn w:val="19"/>
    <w:link w:val="5"/>
    <w:qFormat/>
    <w:uiPriority w:val="99"/>
    <w:rPr>
      <w:rFonts w:ascii="Calibri" w:hAnsi="Calibri" w:eastAsia="宋体" w:cs="Times New Roman"/>
    </w:rPr>
  </w:style>
  <w:style w:type="character" w:customStyle="1" w:styleId="29">
    <w:name w:val="批注主题 Char"/>
    <w:basedOn w:val="28"/>
    <w:link w:val="15"/>
    <w:semiHidden/>
    <w:qFormat/>
    <w:uiPriority w:val="99"/>
    <w:rPr>
      <w:rFonts w:ascii="Calibri" w:hAnsi="Calibri" w:eastAsia="宋体" w:cs="Times New Roman"/>
      <w:b/>
      <w:bCs/>
    </w:rPr>
  </w:style>
  <w:style w:type="character" w:customStyle="1" w:styleId="30">
    <w:name w:val="批注框文本 Char"/>
    <w:basedOn w:val="19"/>
    <w:link w:val="9"/>
    <w:semiHidden/>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标题 3 Char"/>
    <w:basedOn w:val="19"/>
    <w:link w:val="2"/>
    <w:qFormat/>
    <w:uiPriority w:val="9"/>
    <w:rPr>
      <w:rFonts w:asciiTheme="minorHAnsi" w:hAnsiTheme="minorHAnsi" w:eastAsiaTheme="minorEastAsia"/>
      <w:b/>
      <w:bCs/>
      <w:sz w:val="32"/>
      <w:szCs w:val="32"/>
    </w:rPr>
  </w:style>
  <w:style w:type="character" w:customStyle="1" w:styleId="33">
    <w:name w:val="group-name"/>
    <w:basedOn w:val="19"/>
    <w:qFormat/>
    <w:uiPriority w:val="0"/>
  </w:style>
  <w:style w:type="character" w:customStyle="1" w:styleId="34">
    <w:name w:val="group-number"/>
    <w:basedOn w:val="19"/>
    <w:qFormat/>
    <w:uiPriority w:val="0"/>
  </w:style>
  <w:style w:type="character" w:customStyle="1" w:styleId="35">
    <w:name w:val="日期 Char"/>
    <w:basedOn w:val="19"/>
    <w:link w:val="8"/>
    <w:semiHidden/>
    <w:qFormat/>
    <w:uiPriority w:val="99"/>
    <w:rPr>
      <w:rFonts w:ascii="Calibri" w:hAnsi="Calibri" w:eastAsia="宋体" w:cs="Times New Roman"/>
    </w:rPr>
  </w:style>
  <w:style w:type="table" w:customStyle="1" w:styleId="36">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3"/>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TOC 标题2"/>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表格文字"/>
    <w:basedOn w:val="1"/>
    <w:qFormat/>
    <w:uiPriority w:val="0"/>
    <w:pPr>
      <w:widowControl w:val="0"/>
      <w:spacing w:line="240" w:lineRule="auto"/>
      <w:jc w:val="center"/>
      <w:textAlignment w:val="center"/>
    </w:pPr>
    <w:rPr>
      <w:rFonts w:ascii="Times New Roman" w:hAnsi="Times New Roman" w:eastAsia="仿宋"/>
      <w:sz w:val="24"/>
      <w:szCs w:val="24"/>
    </w:rPr>
  </w:style>
  <w:style w:type="paragraph" w:customStyle="1" w:styleId="41">
    <w:name w:val="表 靠左"/>
    <w:basedOn w:val="1"/>
    <w:qFormat/>
    <w:uiPriority w:val="0"/>
    <w:pPr>
      <w:widowControl w:val="0"/>
      <w:spacing w:line="240" w:lineRule="auto"/>
    </w:pPr>
    <w:rPr>
      <w:rFonts w:ascii="宋体" w:hAnsi="宋体"/>
      <w:szCs w:val="21"/>
    </w:rPr>
  </w:style>
  <w:style w:type="paragraph" w:customStyle="1" w:styleId="42">
    <w:name w:val="正文文本1"/>
    <w:basedOn w:val="1"/>
    <w:qFormat/>
    <w:uiPriority w:val="0"/>
    <w:pPr>
      <w:spacing w:line="439" w:lineRule="auto"/>
      <w:ind w:firstLine="400"/>
    </w:pPr>
    <w:rPr>
      <w:rFonts w:ascii="宋体" w:hAnsi="宋体" w:cs="宋体"/>
      <w:sz w:val="26"/>
      <w:szCs w:val="26"/>
    </w:rPr>
  </w:style>
  <w:style w:type="paragraph" w:customStyle="1" w:styleId="43">
    <w:name w:val="其他"/>
    <w:basedOn w:val="1"/>
    <w:qFormat/>
    <w:uiPriority w:val="0"/>
    <w:pPr>
      <w:spacing w:line="439" w:lineRule="auto"/>
      <w:ind w:firstLine="400"/>
    </w:pPr>
    <w:rPr>
      <w:rFonts w:ascii="宋体" w:hAnsi="宋体" w:cs="宋体"/>
      <w:sz w:val="26"/>
      <w:szCs w:val="26"/>
    </w:rPr>
  </w:style>
  <w:style w:type="paragraph" w:customStyle="1" w:styleId="44">
    <w:name w:val="标题 #1"/>
    <w:basedOn w:val="1"/>
    <w:qFormat/>
    <w:uiPriority w:val="0"/>
    <w:pPr>
      <w:spacing w:line="562" w:lineRule="exact"/>
      <w:ind w:left="1140"/>
      <w:outlineLvl w:val="0"/>
    </w:pPr>
    <w:rPr>
      <w:rFonts w:ascii="宋体" w:hAnsi="宋体" w:cs="宋体"/>
      <w:b/>
      <w:bCs/>
      <w:sz w:val="26"/>
      <w:szCs w:val="26"/>
    </w:rPr>
  </w:style>
  <w:style w:type="character" w:customStyle="1" w:styleId="45">
    <w:name w:val="font21"/>
    <w:basedOn w:val="19"/>
    <w:qFormat/>
    <w:uiPriority w:val="0"/>
    <w:rPr>
      <w:rFonts w:hint="eastAsia" w:ascii="宋体" w:hAnsi="宋体" w:eastAsia="宋体" w:cs="宋体"/>
      <w:b/>
      <w:bCs/>
      <w:color w:val="000000"/>
      <w:sz w:val="28"/>
      <w:szCs w:val="28"/>
      <w:u w:val="none"/>
    </w:rPr>
  </w:style>
  <w:style w:type="paragraph" w:customStyle="1" w:styleId="46">
    <w:name w:val="修订1"/>
    <w:hidden/>
    <w:semiHidden/>
    <w:qFormat/>
    <w:uiPriority w:val="99"/>
    <w:pPr>
      <w:spacing w:line="640" w:lineRule="exact"/>
    </w:pPr>
    <w:rPr>
      <w:rFonts w:ascii="Calibri" w:hAnsi="Calibri" w:eastAsia="宋体" w:cs="Times New Roman"/>
      <w:kern w:val="2"/>
      <w:sz w:val="21"/>
      <w:szCs w:val="22"/>
      <w:lang w:val="en-US" w:eastAsia="zh-CN" w:bidi="ar-SA"/>
    </w:rPr>
  </w:style>
  <w:style w:type="character" w:customStyle="1" w:styleId="47">
    <w:name w:val="font11"/>
    <w:basedOn w:val="19"/>
    <w:qFormat/>
    <w:uiPriority w:val="0"/>
    <w:rPr>
      <w:rFonts w:hint="eastAsia" w:ascii="黑体" w:hAnsi="宋体" w:eastAsia="黑体" w:cs="黑体"/>
      <w:color w:val="FF0000"/>
      <w:sz w:val="28"/>
      <w:szCs w:val="28"/>
      <w:u w:val="none"/>
    </w:rPr>
  </w:style>
  <w:style w:type="character" w:customStyle="1" w:styleId="48">
    <w:name w:val="font31"/>
    <w:basedOn w:val="19"/>
    <w:qFormat/>
    <w:uiPriority w:val="0"/>
    <w:rPr>
      <w:rFonts w:hint="eastAsia" w:ascii="黑体" w:hAnsi="宋体" w:eastAsia="黑体" w:cs="黑体"/>
      <w:b/>
      <w:bCs/>
      <w:color w:val="FF0000"/>
      <w:sz w:val="28"/>
      <w:szCs w:val="28"/>
      <w:u w:val="none"/>
    </w:rPr>
  </w:style>
  <w:style w:type="paragraph" w:customStyle="1" w:styleId="4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1CF3A-6549-45D2-8950-AF1CC34DE9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9012</Words>
  <Characters>9218</Characters>
  <Lines>72</Lines>
  <Paragraphs>20</Paragraphs>
  <TotalTime>2</TotalTime>
  <ScaleCrop>false</ScaleCrop>
  <LinksUpToDate>false</LinksUpToDate>
  <CharactersWithSpaces>9275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2023-11-29T04:48:00Z</dcterms:created>
  <dc:creator>L</dc:creator>
  <cp:lastModifiedBy>GXC-2024</cp:lastModifiedBy>
  <cp:lastPrinted>2022-10-24T08:16:00Z</cp:lastPrinted>
  <dcterms:modified xsi:type="dcterms:W3CDTF">2024-04-26T01:28:13Z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D8E2F33B6F034D5FAA5018420B1C84DA_13</vt:lpwstr>
  </property>
</Properties>
</file>