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680"/>
        </w:tabs>
        <w:jc w:val="center"/>
        <w:rPr>
          <w:rFonts w:ascii="方正小标宋简体" w:hAnsi="黑体" w:eastAsia="方正小标宋简体"/>
          <w:bCs/>
          <w:sz w:val="36"/>
          <w:szCs w:val="36"/>
        </w:rPr>
      </w:pPr>
      <w:r>
        <w:rPr>
          <w:rFonts w:hint="eastAsia" w:ascii="方正小标宋简体" w:hAnsi="黑体" w:eastAsia="方正小标宋简体"/>
          <w:bCs/>
          <w:sz w:val="36"/>
          <w:szCs w:val="36"/>
        </w:rPr>
        <w:t>202</w:t>
      </w:r>
      <w:r>
        <w:rPr>
          <w:rFonts w:hint="eastAsia" w:ascii="方正小标宋简体" w:hAnsi="黑体" w:eastAsia="方正小标宋简体"/>
          <w:bCs/>
          <w:sz w:val="36"/>
          <w:szCs w:val="36"/>
          <w:lang w:val="en-US" w:eastAsia="zh-CN"/>
        </w:rPr>
        <w:t>5</w:t>
      </w:r>
      <w:r>
        <w:rPr>
          <w:rFonts w:hint="eastAsia" w:ascii="方正小标宋简体" w:hAnsi="黑体" w:eastAsia="方正小标宋简体"/>
          <w:bCs/>
          <w:sz w:val="36"/>
          <w:szCs w:val="36"/>
        </w:rPr>
        <w:t>年河北省职业院校学生技能大赛</w:t>
      </w:r>
    </w:p>
    <w:p>
      <w:pPr>
        <w:jc w:val="center"/>
        <w:rPr>
          <w:rFonts w:ascii="方正小标宋简体" w:hAnsi="黑体" w:eastAsia="方正小标宋简体"/>
          <w:bCs/>
          <w:sz w:val="36"/>
          <w:szCs w:val="36"/>
        </w:rPr>
      </w:pPr>
      <w:r>
        <w:rPr>
          <w:rFonts w:hint="eastAsia" w:ascii="方正小标宋简体" w:hAnsi="黑体" w:eastAsia="方正小标宋简体"/>
          <w:bCs/>
          <w:sz w:val="36"/>
          <w:szCs w:val="36"/>
          <w:u w:val="single"/>
        </w:rPr>
        <w:t xml:space="preserve"> 城市轨道交通运营与维护 </w:t>
      </w:r>
      <w:r>
        <w:rPr>
          <w:rFonts w:hint="eastAsia" w:ascii="方正小标宋简体" w:hAnsi="黑体" w:eastAsia="方正小标宋简体"/>
          <w:bCs/>
          <w:sz w:val="36"/>
          <w:szCs w:val="36"/>
        </w:rPr>
        <w:t>赛项技术规程</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一、赛项名称</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赛项名称：城市轨道交通运营与维护</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赛项组别：中职组</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归属专业大类：交通运输</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二、竞赛目的</w:t>
      </w:r>
    </w:p>
    <w:p>
      <w:pPr>
        <w:spacing w:line="560" w:lineRule="exact"/>
        <w:ind w:firstLine="560" w:firstLineChars="200"/>
        <w:rPr>
          <w:rFonts w:ascii="仿宋" w:hAnsi="仿宋" w:eastAsia="仿宋" w:cs="仿宋"/>
          <w:color w:val="000000"/>
          <w:sz w:val="28"/>
          <w:szCs w:val="28"/>
        </w:rPr>
      </w:pPr>
      <w:r>
        <w:rPr>
          <w:rFonts w:hint="eastAsia" w:ascii="仿宋" w:hAnsi="仿宋" w:eastAsia="仿宋" w:cs="仿宋"/>
          <w:color w:val="000000"/>
          <w:sz w:val="28"/>
          <w:szCs w:val="28"/>
        </w:rPr>
        <w:t>通过竞赛，展示城市轨道交通运营服务和维护领域的师生技能风采，考核参赛选手办理列车出入段等正常行车组织作业、办理信号重开等非正常行车组织作业的能力，屏蔽门故障、地震、火灾等突发事件应急处置的能力，手摇道岔现场操作的能力，信号机设备故障分析及处理的</w:t>
      </w:r>
      <w:r>
        <w:rPr>
          <w:rFonts w:ascii="仿宋" w:hAnsi="仿宋" w:eastAsia="仿宋" w:cs="仿宋"/>
          <w:color w:val="000000"/>
          <w:sz w:val="28"/>
          <w:szCs w:val="28"/>
        </w:rPr>
        <w:t>能力</w:t>
      </w:r>
      <w:r>
        <w:rPr>
          <w:rFonts w:hint="eastAsia" w:ascii="仿宋" w:hAnsi="仿宋" w:eastAsia="仿宋" w:cs="仿宋"/>
          <w:color w:val="000000"/>
          <w:sz w:val="28"/>
          <w:szCs w:val="28"/>
        </w:rPr>
        <w:t>；同时考核参赛选手的安全生产、团队协作、规范操作、精益求精等职业素质。助推具有工匠精神的城市轨道交通运营与维护复合型高素质技术技能人才的培养，满足河北省城市轨道交通行业高速发展的需要，助力交通强国战略和职业教育高质量发展。</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三、竞赛内容</w:t>
      </w:r>
    </w:p>
    <w:p>
      <w:pPr>
        <w:spacing w:line="560" w:lineRule="exact"/>
        <w:ind w:firstLine="562" w:firstLineChars="20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表1：竞赛内容与岗位、知识、技能</w:t>
      </w:r>
    </w:p>
    <w:tbl>
      <w:tblPr>
        <w:tblStyle w:val="12"/>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2085"/>
        <w:gridCol w:w="1635"/>
        <w:gridCol w:w="171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序号</w:t>
            </w:r>
          </w:p>
        </w:tc>
        <w:tc>
          <w:tcPr>
            <w:tcW w:w="2085"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竞赛内容</w:t>
            </w:r>
          </w:p>
        </w:tc>
        <w:tc>
          <w:tcPr>
            <w:tcW w:w="1635"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岗位</w:t>
            </w:r>
          </w:p>
        </w:tc>
        <w:tc>
          <w:tcPr>
            <w:tcW w:w="1710"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知识</w:t>
            </w:r>
          </w:p>
        </w:tc>
        <w:tc>
          <w:tcPr>
            <w:tcW w:w="2130" w:type="dxa"/>
          </w:tcPr>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10"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1</w:t>
            </w:r>
          </w:p>
        </w:tc>
        <w:tc>
          <w:tcPr>
            <w:tcW w:w="208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sz w:val="24"/>
                <w:szCs w:val="24"/>
              </w:rPr>
              <w:t>城市轨道交通运营服务</w:t>
            </w:r>
          </w:p>
        </w:tc>
        <w:tc>
          <w:tcPr>
            <w:tcW w:w="163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行车值班员、行车调度员</w:t>
            </w:r>
          </w:p>
        </w:tc>
        <w:tc>
          <w:tcPr>
            <w:tcW w:w="171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color w:val="000000"/>
                <w:sz w:val="24"/>
                <w:szCs w:val="24"/>
              </w:rPr>
              <w:t>行车值班员和行车调度员岗位知识，办理正常和非正常行车组织作业的工作流程。</w:t>
            </w:r>
          </w:p>
        </w:tc>
        <w:tc>
          <w:tcPr>
            <w:tcW w:w="213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sz w:val="24"/>
                <w:szCs w:val="24"/>
              </w:rPr>
              <w:t>办理列车出入段等正常行车组织作业、办理信号重开等非正常行车组织作业、屏蔽门单门、多门故障应急处置的能力。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10"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c>
          <w:tcPr>
            <w:tcW w:w="2085" w:type="dxa"/>
            <w:vAlign w:val="center"/>
          </w:tcPr>
          <w:p>
            <w:pPr>
              <w:pStyle w:val="10"/>
              <w:spacing w:after="0"/>
              <w:ind w:left="0" w:leftChars="0" w:firstLine="0" w:firstLineChars="0"/>
              <w:rPr>
                <w:rFonts w:ascii="仿宋_GB2312" w:hAnsi="仿宋_GB2312" w:eastAsia="仿宋_GB2312" w:cs="仿宋_GB2312"/>
                <w:color w:val="000000"/>
                <w:sz w:val="24"/>
              </w:rPr>
            </w:pPr>
            <w:r>
              <w:rPr>
                <w:rFonts w:hint="eastAsia" w:ascii="仿宋_GB2312" w:hAnsi="仿宋_GB2312" w:eastAsia="仿宋_GB2312" w:cs="仿宋_GB2312"/>
                <w:color w:val="000000"/>
                <w:sz w:val="24"/>
              </w:rPr>
              <w:t>城市轨道交通信号设备维护</w:t>
            </w:r>
          </w:p>
        </w:tc>
        <w:tc>
          <w:tcPr>
            <w:tcW w:w="163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值班站长、站务员、信号检修员</w:t>
            </w:r>
          </w:p>
        </w:tc>
        <w:tc>
          <w:tcPr>
            <w:tcW w:w="1710" w:type="dxa"/>
            <w:vAlign w:val="center"/>
          </w:tcPr>
          <w:p>
            <w:pPr>
              <w:spacing w:line="240" w:lineRule="atLeast"/>
              <w:jc w:val="left"/>
              <w:rPr>
                <w:rFonts w:ascii="仿宋" w:hAnsi="仿宋" w:eastAsia="仿宋" w:cs="仿宋"/>
                <w:color w:val="000000"/>
                <w:sz w:val="24"/>
                <w:szCs w:val="24"/>
              </w:rPr>
            </w:pPr>
            <w:r>
              <w:rPr>
                <w:rFonts w:hint="eastAsia" w:ascii="仿宋_GB2312" w:hAnsi="仿宋_GB2312" w:eastAsia="仿宋_GB2312" w:cs="仿宋_GB2312"/>
                <w:color w:val="000000"/>
                <w:sz w:val="24"/>
              </w:rPr>
              <w:t>手摇道岔操作、信号机故障分析与处理</w:t>
            </w:r>
          </w:p>
        </w:tc>
        <w:tc>
          <w:tcPr>
            <w:tcW w:w="213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color w:val="000000"/>
                <w:sz w:val="24"/>
                <w:szCs w:val="24"/>
              </w:rPr>
              <w:t>正确判断道岔位置、正确使用手摇道岔工具，完成手摇道岔流程。通过进路判断信号故障。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810"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3</w:t>
            </w:r>
          </w:p>
        </w:tc>
        <w:tc>
          <w:tcPr>
            <w:tcW w:w="208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sz w:val="24"/>
                <w:szCs w:val="24"/>
              </w:rPr>
              <w:t>城市轨道交通突发事件应急处理</w:t>
            </w:r>
          </w:p>
        </w:tc>
        <w:tc>
          <w:tcPr>
            <w:tcW w:w="1635" w:type="dxa"/>
            <w:vAlign w:val="center"/>
          </w:tcPr>
          <w:p>
            <w:pPr>
              <w:spacing w:line="240" w:lineRule="atLeast"/>
              <w:jc w:val="center"/>
              <w:rPr>
                <w:rFonts w:ascii="仿宋" w:hAnsi="仿宋" w:eastAsia="仿宋" w:cs="仿宋"/>
                <w:color w:val="000000"/>
                <w:sz w:val="24"/>
                <w:szCs w:val="24"/>
              </w:rPr>
            </w:pPr>
            <w:r>
              <w:rPr>
                <w:rFonts w:hint="eastAsia" w:ascii="仿宋" w:hAnsi="仿宋" w:eastAsia="仿宋" w:cs="仿宋"/>
                <w:color w:val="000000"/>
                <w:sz w:val="24"/>
                <w:szCs w:val="24"/>
              </w:rPr>
              <w:t>值班站长、安全员、综控员、票务员</w:t>
            </w:r>
          </w:p>
        </w:tc>
        <w:tc>
          <w:tcPr>
            <w:tcW w:w="171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color w:val="000000"/>
                <w:sz w:val="24"/>
                <w:szCs w:val="24"/>
              </w:rPr>
              <w:t>城市轨道交通车站工作人员在遇到地震</w:t>
            </w:r>
          </w:p>
        </w:tc>
        <w:tc>
          <w:tcPr>
            <w:tcW w:w="2130" w:type="dxa"/>
            <w:vAlign w:val="center"/>
          </w:tcPr>
          <w:p>
            <w:pPr>
              <w:spacing w:line="240" w:lineRule="atLeast"/>
              <w:jc w:val="left"/>
              <w:rPr>
                <w:rFonts w:ascii="仿宋" w:hAnsi="仿宋" w:eastAsia="仿宋" w:cs="仿宋"/>
                <w:color w:val="000000"/>
                <w:sz w:val="24"/>
                <w:szCs w:val="24"/>
              </w:rPr>
            </w:pPr>
            <w:r>
              <w:rPr>
                <w:rFonts w:hint="eastAsia" w:ascii="仿宋" w:hAnsi="仿宋" w:eastAsia="仿宋" w:cs="仿宋"/>
                <w:sz w:val="24"/>
                <w:szCs w:val="24"/>
              </w:rPr>
              <w:t>地震、爆炸、车站火灾、突发大客流、地外伤害、列车临时清人、列车救援等突发事件应急处置、信号系统维护和故障处理等方面的能力。</w:t>
            </w:r>
          </w:p>
        </w:tc>
      </w:tr>
    </w:tbl>
    <w:p>
      <w:pPr>
        <w:spacing w:line="560" w:lineRule="exact"/>
        <w:jc w:val="center"/>
        <w:rPr>
          <w:rFonts w:ascii="仿宋" w:hAnsi="仿宋" w:eastAsia="仿宋" w:cs="仿宋"/>
          <w:color w:val="000000"/>
          <w:sz w:val="28"/>
          <w:szCs w:val="28"/>
        </w:rPr>
      </w:pPr>
    </w:p>
    <w:p>
      <w:pPr>
        <w:spacing w:line="560" w:lineRule="exact"/>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表2：竞赛内容的时长、分值</w:t>
      </w:r>
    </w:p>
    <w:p>
      <w:pPr>
        <w:spacing w:before="13"/>
        <w:rPr>
          <w:rFonts w:ascii="仿宋" w:hAnsi="仿宋" w:eastAsia="仿宋" w:cs="仿宋"/>
          <w:sz w:val="16"/>
          <w:szCs w:val="16"/>
        </w:rPr>
      </w:pPr>
    </w:p>
    <w:tbl>
      <w:tblPr>
        <w:tblStyle w:val="11"/>
        <w:tblW w:w="8445" w:type="dxa"/>
        <w:tblInd w:w="-9"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855"/>
        <w:gridCol w:w="2580"/>
        <w:gridCol w:w="1095"/>
        <w:gridCol w:w="1290"/>
        <w:gridCol w:w="1755"/>
        <w:gridCol w:w="870"/>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623" w:hRule="exact"/>
        </w:trPr>
        <w:tc>
          <w:tcPr>
            <w:tcW w:w="855" w:type="dxa"/>
            <w:tcBorders>
              <w:bottom w:val="single" w:color="000000" w:sz="4" w:space="0"/>
              <w:right w:val="single" w:color="000000" w:sz="4" w:space="0"/>
            </w:tcBorders>
            <w:vAlign w:val="center"/>
          </w:tcPr>
          <w:p>
            <w:pPr>
              <w:pStyle w:val="14"/>
              <w:spacing w:before="122"/>
              <w:jc w:val="center"/>
              <w:rPr>
                <w:rFonts w:ascii="仿宋" w:hAnsi="仿宋" w:eastAsia="仿宋" w:cs="仿宋"/>
                <w:sz w:val="28"/>
                <w:szCs w:val="28"/>
              </w:rPr>
            </w:pPr>
            <w:r>
              <w:rPr>
                <w:rFonts w:ascii="仿宋" w:hAnsi="仿宋" w:eastAsia="仿宋" w:cs="仿宋"/>
                <w:b/>
                <w:bCs/>
                <w:sz w:val="28"/>
                <w:szCs w:val="28"/>
              </w:rPr>
              <w:t>序号</w:t>
            </w:r>
          </w:p>
        </w:tc>
        <w:tc>
          <w:tcPr>
            <w:tcW w:w="2580" w:type="dxa"/>
            <w:tcBorders>
              <w:left w:val="single" w:color="000000" w:sz="4" w:space="0"/>
              <w:bottom w:val="single" w:color="000000" w:sz="4" w:space="0"/>
              <w:right w:val="single" w:color="000000" w:sz="4" w:space="0"/>
            </w:tcBorders>
            <w:vAlign w:val="center"/>
          </w:tcPr>
          <w:p>
            <w:pPr>
              <w:pStyle w:val="14"/>
              <w:spacing w:before="124"/>
              <w:ind w:right="3"/>
              <w:jc w:val="center"/>
              <w:rPr>
                <w:rFonts w:ascii="仿宋" w:hAnsi="仿宋" w:eastAsia="仿宋" w:cs="仿宋"/>
                <w:sz w:val="28"/>
                <w:szCs w:val="28"/>
              </w:rPr>
            </w:pPr>
            <w:r>
              <w:rPr>
                <w:rFonts w:ascii="仿宋" w:hAnsi="仿宋" w:eastAsia="仿宋" w:cs="仿宋"/>
                <w:b/>
                <w:bCs/>
                <w:sz w:val="28"/>
                <w:szCs w:val="28"/>
              </w:rPr>
              <w:t>竞赛</w:t>
            </w:r>
            <w:r>
              <w:rPr>
                <w:rFonts w:hint="eastAsia" w:ascii="仿宋" w:hAnsi="仿宋" w:eastAsia="仿宋" w:cs="仿宋"/>
                <w:b/>
                <w:bCs/>
                <w:sz w:val="28"/>
                <w:szCs w:val="28"/>
              </w:rPr>
              <w:t>内容</w:t>
            </w:r>
          </w:p>
        </w:tc>
        <w:tc>
          <w:tcPr>
            <w:tcW w:w="1095" w:type="dxa"/>
            <w:tcBorders>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8"/>
                <w:szCs w:val="28"/>
              </w:rPr>
            </w:pPr>
            <w:r>
              <w:rPr>
                <w:rFonts w:ascii="仿宋" w:hAnsi="仿宋" w:eastAsia="仿宋" w:cs="仿宋"/>
                <w:b/>
                <w:bCs/>
                <w:sz w:val="28"/>
                <w:szCs w:val="28"/>
              </w:rPr>
              <w:t>时长</w:t>
            </w:r>
          </w:p>
        </w:tc>
        <w:tc>
          <w:tcPr>
            <w:tcW w:w="1290" w:type="dxa"/>
            <w:tcBorders>
              <w:left w:val="single" w:color="000000" w:sz="4" w:space="0"/>
              <w:bottom w:val="single" w:color="000000" w:sz="4" w:space="0"/>
              <w:right w:val="single" w:color="000000" w:sz="4" w:space="0"/>
            </w:tcBorders>
            <w:vAlign w:val="center"/>
          </w:tcPr>
          <w:p>
            <w:pPr>
              <w:pStyle w:val="14"/>
              <w:spacing w:before="124"/>
              <w:ind w:right="5"/>
              <w:jc w:val="center"/>
              <w:rPr>
                <w:rFonts w:ascii="仿宋" w:hAnsi="仿宋" w:eastAsia="仿宋" w:cs="仿宋"/>
                <w:sz w:val="28"/>
                <w:szCs w:val="28"/>
              </w:rPr>
            </w:pPr>
            <w:r>
              <w:rPr>
                <w:rFonts w:ascii="仿宋" w:hAnsi="仿宋" w:eastAsia="仿宋" w:cs="仿宋"/>
                <w:b/>
                <w:bCs/>
                <w:sz w:val="28"/>
                <w:szCs w:val="28"/>
              </w:rPr>
              <w:t>分值</w:t>
            </w:r>
          </w:p>
        </w:tc>
        <w:tc>
          <w:tcPr>
            <w:tcW w:w="1755" w:type="dxa"/>
            <w:tcBorders>
              <w:left w:val="single" w:color="000000" w:sz="4" w:space="0"/>
              <w:bottom w:val="single" w:color="000000" w:sz="4" w:space="0"/>
            </w:tcBorders>
            <w:vAlign w:val="center"/>
          </w:tcPr>
          <w:p>
            <w:pPr>
              <w:pStyle w:val="14"/>
              <w:spacing w:before="124"/>
              <w:ind w:right="5"/>
              <w:jc w:val="center"/>
              <w:rPr>
                <w:rFonts w:ascii="仿宋" w:hAnsi="仿宋" w:eastAsia="仿宋" w:cs="仿宋"/>
                <w:b/>
                <w:bCs/>
                <w:sz w:val="28"/>
                <w:szCs w:val="28"/>
              </w:rPr>
            </w:pPr>
            <w:r>
              <w:rPr>
                <w:rFonts w:hint="eastAsia" w:ascii="仿宋" w:hAnsi="仿宋" w:eastAsia="仿宋" w:cs="仿宋"/>
                <w:b/>
                <w:bCs/>
                <w:sz w:val="28"/>
                <w:szCs w:val="28"/>
              </w:rPr>
              <w:t>评分方法</w:t>
            </w:r>
          </w:p>
        </w:tc>
        <w:tc>
          <w:tcPr>
            <w:tcW w:w="870" w:type="dxa"/>
            <w:tcBorders>
              <w:left w:val="single" w:color="000000" w:sz="4" w:space="0"/>
              <w:bottom w:val="single" w:color="000000" w:sz="4" w:space="0"/>
            </w:tcBorders>
            <w:vAlign w:val="center"/>
          </w:tcPr>
          <w:p>
            <w:pPr>
              <w:pStyle w:val="14"/>
              <w:spacing w:before="124"/>
              <w:jc w:val="center"/>
              <w:rPr>
                <w:rFonts w:ascii="仿宋" w:hAnsi="仿宋" w:eastAsia="仿宋" w:cs="仿宋"/>
                <w:b/>
                <w:bCs/>
                <w:sz w:val="28"/>
                <w:szCs w:val="28"/>
              </w:rPr>
            </w:pPr>
            <w:r>
              <w:rPr>
                <w:rFonts w:hint="eastAsia" w:ascii="仿宋" w:hAnsi="仿宋" w:eastAsia="仿宋" w:cs="仿宋"/>
                <w:b/>
                <w:bCs/>
                <w:sz w:val="28"/>
                <w:szCs w:val="28"/>
              </w:rPr>
              <w:t>总分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555" w:hRule="exact"/>
        </w:trPr>
        <w:tc>
          <w:tcPr>
            <w:tcW w:w="855" w:type="dxa"/>
            <w:tcBorders>
              <w:top w:val="single" w:color="000000" w:sz="4" w:space="0"/>
              <w:bottom w:val="single" w:color="auto"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1</w:t>
            </w:r>
          </w:p>
        </w:tc>
        <w:tc>
          <w:tcPr>
            <w:tcW w:w="2580" w:type="dxa"/>
            <w:tcBorders>
              <w:top w:val="single" w:color="000000" w:sz="4" w:space="0"/>
              <w:left w:val="single" w:color="000000" w:sz="4" w:space="0"/>
              <w:bottom w:val="single" w:color="auto"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sz w:val="24"/>
                <w:szCs w:val="24"/>
              </w:rPr>
              <w:t>城市轨道交通运营服务</w:t>
            </w:r>
          </w:p>
        </w:tc>
        <w:tc>
          <w:tcPr>
            <w:tcW w:w="1095" w:type="dxa"/>
            <w:tcBorders>
              <w:top w:val="single" w:color="000000" w:sz="4" w:space="0"/>
              <w:left w:val="single" w:color="000000" w:sz="4" w:space="0"/>
              <w:bottom w:val="single" w:color="auto"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60</w:t>
            </w:r>
          </w:p>
        </w:tc>
        <w:tc>
          <w:tcPr>
            <w:tcW w:w="1290" w:type="dxa"/>
            <w:tcBorders>
              <w:top w:val="single" w:color="000000" w:sz="4" w:space="0"/>
              <w:left w:val="single" w:color="000000" w:sz="4" w:space="0"/>
              <w:bottom w:val="single" w:color="auto"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35</w:t>
            </w:r>
          </w:p>
        </w:tc>
        <w:tc>
          <w:tcPr>
            <w:tcW w:w="1755" w:type="dxa"/>
            <w:tcBorders>
              <w:top w:val="single" w:color="000000" w:sz="4" w:space="0"/>
              <w:left w:val="single" w:color="000000" w:sz="4" w:space="0"/>
              <w:bottom w:val="single" w:color="auto"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机考评分</w:t>
            </w:r>
          </w:p>
        </w:tc>
        <w:tc>
          <w:tcPr>
            <w:tcW w:w="870" w:type="dxa"/>
            <w:vMerge w:val="restart"/>
            <w:tcBorders>
              <w:top w:val="single" w:color="000000" w:sz="4" w:space="0"/>
              <w:left w:val="single" w:color="000000" w:sz="4" w:space="0"/>
              <w:bottom w:val="single" w:color="auto" w:sz="4" w:space="0"/>
            </w:tcBorders>
            <w:vAlign w:val="center"/>
          </w:tcPr>
          <w:p>
            <w:pPr>
              <w:pStyle w:val="14"/>
              <w:spacing w:before="205"/>
              <w:jc w:val="center"/>
              <w:rPr>
                <w:rFonts w:ascii="仿宋" w:hAnsi="仿宋" w:eastAsia="仿宋" w:cs="仿宋"/>
                <w:sz w:val="24"/>
                <w:szCs w:val="24"/>
              </w:rPr>
            </w:pPr>
            <w:r>
              <w:rPr>
                <w:rFonts w:hint="eastAsia" w:ascii="仿宋" w:hAnsi="仿宋" w:eastAsia="仿宋" w:cs="仿宋"/>
                <w:sz w:val="24"/>
                <w:szCs w:val="24"/>
              </w:rPr>
              <w:t>100</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900" w:hRule="exact"/>
        </w:trPr>
        <w:tc>
          <w:tcPr>
            <w:tcW w:w="855" w:type="dxa"/>
            <w:tcBorders>
              <w:top w:val="single" w:color="auto" w:sz="4" w:space="0"/>
              <w:bottom w:val="single" w:color="000000"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2</w:t>
            </w:r>
          </w:p>
        </w:tc>
        <w:tc>
          <w:tcPr>
            <w:tcW w:w="2580" w:type="dxa"/>
            <w:tcBorders>
              <w:top w:val="single" w:color="auto" w:sz="4" w:space="0"/>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4"/>
                <w:szCs w:val="24"/>
              </w:rPr>
            </w:pPr>
            <w:r>
              <w:rPr>
                <w:rFonts w:hint="eastAsia" w:ascii="仿宋_GB2312" w:hAnsi="仿宋_GB2312" w:eastAsia="仿宋_GB2312" w:cs="仿宋_GB2312"/>
                <w:color w:val="000000"/>
                <w:sz w:val="24"/>
              </w:rPr>
              <w:t>城市轨道交通信号设备维护</w:t>
            </w:r>
          </w:p>
        </w:tc>
        <w:tc>
          <w:tcPr>
            <w:tcW w:w="1095" w:type="dxa"/>
            <w:tcBorders>
              <w:top w:val="single" w:color="auto" w:sz="4" w:space="0"/>
              <w:left w:val="single" w:color="000000" w:sz="4" w:space="0"/>
              <w:bottom w:val="single" w:color="000000" w:sz="4" w:space="0"/>
              <w:right w:val="single" w:color="000000" w:sz="4" w:space="0"/>
            </w:tcBorders>
            <w:vAlign w:val="center"/>
          </w:tcPr>
          <w:p>
            <w:pPr>
              <w:spacing w:line="560" w:lineRule="exact"/>
              <w:jc w:val="center"/>
              <w:rPr>
                <w:rFonts w:hint="default"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60</w:t>
            </w:r>
          </w:p>
        </w:tc>
        <w:tc>
          <w:tcPr>
            <w:tcW w:w="1290" w:type="dxa"/>
            <w:tcBorders>
              <w:top w:val="single" w:color="auto" w:sz="4" w:space="0"/>
              <w:left w:val="single" w:color="000000" w:sz="4" w:space="0"/>
              <w:bottom w:val="single" w:color="000000"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35</w:t>
            </w:r>
          </w:p>
        </w:tc>
        <w:tc>
          <w:tcPr>
            <w:tcW w:w="1755" w:type="dxa"/>
            <w:tcBorders>
              <w:top w:val="single" w:color="auto" w:sz="4" w:space="0"/>
              <w:left w:val="single" w:color="000000" w:sz="4" w:space="0"/>
              <w:bottom w:val="single" w:color="auto" w:sz="4" w:space="0"/>
              <w:right w:val="single" w:color="auto"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裁判评分</w:t>
            </w:r>
          </w:p>
        </w:tc>
        <w:tc>
          <w:tcPr>
            <w:tcW w:w="870" w:type="dxa"/>
            <w:vMerge w:val="continue"/>
            <w:tcBorders>
              <w:top w:val="single" w:color="auto" w:sz="4" w:space="0"/>
              <w:left w:val="single" w:color="auto" w:sz="4" w:space="0"/>
            </w:tcBorders>
            <w:vAlign w:val="center"/>
          </w:tcPr>
          <w:p>
            <w:pPr>
              <w:pStyle w:val="14"/>
              <w:spacing w:before="124"/>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751" w:hRule="exact"/>
        </w:trPr>
        <w:tc>
          <w:tcPr>
            <w:tcW w:w="855" w:type="dxa"/>
            <w:tcBorders>
              <w:top w:val="single" w:color="000000" w:sz="4" w:space="0"/>
              <w:bottom w:val="single" w:color="000000" w:sz="4" w:space="0"/>
              <w:right w:val="single" w:color="000000" w:sz="4" w:space="0"/>
            </w:tcBorders>
            <w:vAlign w:val="center"/>
          </w:tcPr>
          <w:p>
            <w:pPr>
              <w:spacing w:line="56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3</w:t>
            </w:r>
          </w:p>
        </w:tc>
        <w:tc>
          <w:tcPr>
            <w:tcW w:w="2580" w:type="dxa"/>
            <w:tcBorders>
              <w:top w:val="single" w:color="000000" w:sz="4" w:space="0"/>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4"/>
                <w:szCs w:val="24"/>
              </w:rPr>
            </w:pPr>
            <w:r>
              <w:rPr>
                <w:rFonts w:hint="eastAsia" w:ascii="仿宋" w:hAnsi="仿宋" w:eastAsia="仿宋" w:cs="仿宋"/>
                <w:sz w:val="24"/>
                <w:szCs w:val="24"/>
              </w:rPr>
              <w:t>城市轨道交通突发事件应急处理</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4"/>
                <w:szCs w:val="24"/>
              </w:rPr>
            </w:pPr>
            <w:r>
              <w:rPr>
                <w:rFonts w:hint="eastAsia" w:ascii="仿宋" w:hAnsi="仿宋" w:eastAsia="仿宋" w:cs="仿宋"/>
                <w:sz w:val="24"/>
                <w:szCs w:val="24"/>
              </w:rPr>
              <w:t>60</w:t>
            </w:r>
          </w:p>
        </w:tc>
        <w:tc>
          <w:tcPr>
            <w:tcW w:w="1290" w:type="dxa"/>
            <w:tcBorders>
              <w:top w:val="single" w:color="000000" w:sz="4" w:space="0"/>
              <w:left w:val="single" w:color="000000" w:sz="4" w:space="0"/>
              <w:bottom w:val="single" w:color="000000" w:sz="4" w:space="0"/>
              <w:right w:val="single" w:color="000000" w:sz="4" w:space="0"/>
            </w:tcBorders>
            <w:vAlign w:val="center"/>
          </w:tcPr>
          <w:p>
            <w:pPr>
              <w:pStyle w:val="14"/>
              <w:spacing w:before="124"/>
              <w:jc w:val="center"/>
              <w:rPr>
                <w:rFonts w:ascii="仿宋" w:hAnsi="仿宋" w:eastAsia="仿宋" w:cs="仿宋"/>
                <w:sz w:val="24"/>
                <w:szCs w:val="24"/>
              </w:rPr>
            </w:pPr>
            <w:r>
              <w:rPr>
                <w:rFonts w:hint="eastAsia" w:ascii="仿宋" w:hAnsi="仿宋" w:eastAsia="仿宋" w:cs="仿宋"/>
                <w:sz w:val="24"/>
                <w:szCs w:val="24"/>
              </w:rPr>
              <w:t>30</w:t>
            </w:r>
          </w:p>
        </w:tc>
        <w:tc>
          <w:tcPr>
            <w:tcW w:w="1755" w:type="dxa"/>
            <w:tcBorders>
              <w:top w:val="single" w:color="auto" w:sz="4" w:space="0"/>
              <w:left w:val="single" w:color="000000" w:sz="4" w:space="0"/>
              <w:right w:val="single" w:color="auto" w:sz="4" w:space="0"/>
            </w:tcBorders>
            <w:vAlign w:val="center"/>
          </w:tcPr>
          <w:p>
            <w:pPr>
              <w:pStyle w:val="14"/>
              <w:spacing w:before="124"/>
              <w:jc w:val="center"/>
              <w:rPr>
                <w:rFonts w:ascii="仿宋" w:hAnsi="仿宋" w:eastAsia="仿宋" w:cs="仿宋"/>
                <w:color w:val="000000"/>
                <w:sz w:val="24"/>
                <w:szCs w:val="24"/>
              </w:rPr>
            </w:pPr>
            <w:r>
              <w:rPr>
                <w:rFonts w:hint="eastAsia" w:ascii="仿宋" w:hAnsi="仿宋" w:eastAsia="仿宋" w:cs="仿宋"/>
                <w:color w:val="000000"/>
                <w:sz w:val="24"/>
                <w:szCs w:val="24"/>
              </w:rPr>
              <w:t>机考评分</w:t>
            </w:r>
          </w:p>
        </w:tc>
        <w:tc>
          <w:tcPr>
            <w:tcW w:w="870" w:type="dxa"/>
            <w:vMerge w:val="continue"/>
            <w:tcBorders>
              <w:left w:val="single" w:color="auto" w:sz="4" w:space="0"/>
            </w:tcBorders>
            <w:vAlign w:val="center"/>
          </w:tcPr>
          <w:p>
            <w:pPr>
              <w:pStyle w:val="14"/>
              <w:spacing w:before="124"/>
              <w:jc w:val="center"/>
              <w:rPr>
                <w:rFonts w:ascii="仿宋" w:hAnsi="仿宋" w:eastAsia="仿宋" w:cs="仿宋"/>
                <w:sz w:val="24"/>
                <w:szCs w:val="24"/>
              </w:rPr>
            </w:pPr>
          </w:p>
        </w:tc>
      </w:tr>
    </w:tbl>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四、竞赛方式</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（一）比赛形式</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本赛项采用团体赛方式进行，只设团体奖项。模块一：城市轨道交通运营服务，采取计算机任务下发形式，由2名选手合作完成，机考评分；模块二：由其他2名参赛选手合作完成，“手摇道岔操作”为裁判评分，“信号机设备故障分析及处理”为机考评分；模块三：采取任务书下达形式，由4名选手合作完成，机考评分。</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（二）参赛队组成</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每个参赛队设4名选手（设场上队长1名），每队指导教师不超过2人，每个学校设领队1人，指导教师和领队须为本校专兼职教师。每个学校参赛队伍数量不能超过2支。</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五、竞赛流程</w:t>
      </w:r>
    </w:p>
    <w:p>
      <w:pPr>
        <w:pStyle w:val="4"/>
        <w:spacing w:before="38"/>
        <w:ind w:left="0" w:firstLine="560" w:firstLineChars="200"/>
        <w:jc w:val="left"/>
      </w:pPr>
      <w:r>
        <w:rPr>
          <w:rFonts w:hint="eastAsia"/>
        </w:rPr>
        <w:t>（一）</w:t>
      </w:r>
      <w:r>
        <w:t>竞赛操作流程</w:t>
      </w:r>
    </w:p>
    <w:p>
      <w:pPr>
        <w:pStyle w:val="4"/>
        <w:spacing w:before="38"/>
        <w:ind w:left="0" w:firstLine="560" w:firstLineChars="200"/>
        <w:jc w:val="center"/>
      </w:pPr>
      <w:r>
        <w:drawing>
          <wp:inline distT="0" distB="0" distL="114300" distR="114300">
            <wp:extent cx="4312285" cy="4630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317950" cy="4636176"/>
                    </a:xfrm>
                    <a:prstGeom prst="rect">
                      <a:avLst/>
                    </a:prstGeom>
                    <a:noFill/>
                    <a:ln w="9525">
                      <a:noFill/>
                    </a:ln>
                  </pic:spPr>
                </pic:pic>
              </a:graphicData>
            </a:graphic>
          </wp:inline>
        </w:drawing>
      </w:r>
    </w:p>
    <w:p>
      <w:pPr>
        <w:pStyle w:val="4"/>
        <w:spacing w:before="38"/>
        <w:ind w:left="0" w:firstLine="560" w:firstLineChars="200"/>
        <w:jc w:val="left"/>
      </w:pPr>
    </w:p>
    <w:p>
      <w:pPr>
        <w:pStyle w:val="4"/>
        <w:spacing w:before="38"/>
        <w:ind w:left="0" w:firstLine="560" w:firstLineChars="200"/>
        <w:jc w:val="left"/>
      </w:pPr>
      <w:r>
        <w:rPr>
          <w:rFonts w:hint="eastAsia"/>
        </w:rPr>
        <w:t>（二）竞赛安排</w:t>
      </w:r>
    </w:p>
    <w:p>
      <w:pPr>
        <w:adjustRightInd w:val="0"/>
        <w:snapToGrid w:val="0"/>
        <w:spacing w:line="560" w:lineRule="exact"/>
        <w:ind w:firstLine="560" w:firstLineChars="200"/>
        <w:rPr>
          <w:rFonts w:ascii="仿宋" w:hAnsi="仿宋" w:eastAsia="仿宋" w:cs="仿宋"/>
          <w:color w:val="FF0000"/>
          <w:sz w:val="28"/>
          <w:szCs w:val="28"/>
        </w:rPr>
      </w:pPr>
      <w:r>
        <w:rPr>
          <w:rFonts w:hint="eastAsia" w:ascii="仿宋" w:hAnsi="仿宋" w:eastAsia="仿宋" w:cs="仿宋"/>
          <w:sz w:val="28"/>
          <w:szCs w:val="28"/>
        </w:rPr>
        <w:t>1.赛前培训会</w:t>
      </w:r>
    </w:p>
    <w:p>
      <w:pPr>
        <w:adjustRightInd w:val="0"/>
        <w:snapToGrid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因赛项内容变化，特在赛前进行赛项说明和赛项培训。</w:t>
      </w:r>
    </w:p>
    <w:p>
      <w:pPr>
        <w:adjustRightInd w:val="0"/>
        <w:snapToGrid w:val="0"/>
        <w:spacing w:line="560" w:lineRule="exact"/>
        <w:ind w:firstLine="560" w:firstLineChars="200"/>
        <w:rPr>
          <w:rFonts w:ascii="仿宋" w:hAnsi="仿宋" w:eastAsia="仿宋" w:cs="仿宋"/>
          <w:color w:val="FF0000"/>
          <w:sz w:val="28"/>
          <w:szCs w:val="28"/>
        </w:rPr>
      </w:pPr>
      <w:r>
        <w:rPr>
          <w:rFonts w:hint="eastAsia" w:ascii="仿宋" w:hAnsi="仿宋" w:eastAsia="仿宋" w:cs="仿宋"/>
          <w:sz w:val="28"/>
          <w:szCs w:val="28"/>
        </w:rPr>
        <w:t xml:space="preserve">2.竞赛日程安排 </w:t>
      </w:r>
    </w:p>
    <w:p>
      <w:pPr>
        <w:pStyle w:val="4"/>
        <w:tabs>
          <w:tab w:val="left" w:pos="772"/>
        </w:tabs>
        <w:spacing w:before="0"/>
        <w:ind w:left="0"/>
        <w:jc w:val="center"/>
        <w:rPr>
          <w:rFonts w:cs="仿宋"/>
          <w:b/>
          <w:bCs/>
        </w:rPr>
      </w:pPr>
      <w:r>
        <w:rPr>
          <w:rFonts w:hint="eastAsia" w:cs="仿宋"/>
          <w:b/>
          <w:bCs/>
        </w:rPr>
        <w:t>表3：竞赛日程表（仅供参考）</w:t>
      </w:r>
    </w:p>
    <w:tbl>
      <w:tblPr>
        <w:tblStyle w:val="11"/>
        <w:tblpPr w:leftFromText="180" w:rightFromText="180" w:vertAnchor="text" w:horzAnchor="page" w:tblpX="1762" w:tblpY="197"/>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3"/>
        <w:gridCol w:w="1517"/>
        <w:gridCol w:w="333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exact"/>
        </w:trPr>
        <w:tc>
          <w:tcPr>
            <w:tcW w:w="1423" w:type="dxa"/>
            <w:tcBorders>
              <w:bottom w:val="single" w:color="auto" w:sz="4" w:space="0"/>
              <w:tl2br w:val="nil"/>
              <w:tr2bl w:val="nil"/>
            </w:tcBorders>
          </w:tcPr>
          <w:p>
            <w:pPr>
              <w:pStyle w:val="14"/>
              <w:spacing w:line="366" w:lineRule="exact"/>
              <w:jc w:val="center"/>
              <w:rPr>
                <w:rFonts w:ascii="仿宋" w:hAnsi="仿宋" w:eastAsia="仿宋" w:cs="仿宋"/>
                <w:sz w:val="24"/>
                <w:szCs w:val="24"/>
              </w:rPr>
            </w:pPr>
            <w:r>
              <w:rPr>
                <w:rFonts w:hint="eastAsia" w:ascii="仿宋" w:hAnsi="仿宋" w:eastAsia="仿宋" w:cs="仿宋"/>
                <w:b/>
                <w:bCs/>
                <w:sz w:val="24"/>
                <w:szCs w:val="24"/>
              </w:rPr>
              <w:t>日程</w:t>
            </w:r>
          </w:p>
        </w:tc>
        <w:tc>
          <w:tcPr>
            <w:tcW w:w="1517" w:type="dxa"/>
            <w:tcBorders>
              <w:bottom w:val="single" w:color="auto" w:sz="4" w:space="0"/>
              <w:tl2br w:val="nil"/>
              <w:tr2bl w:val="nil"/>
            </w:tcBorders>
          </w:tcPr>
          <w:p>
            <w:pPr>
              <w:pStyle w:val="14"/>
              <w:spacing w:line="366" w:lineRule="exact"/>
              <w:jc w:val="center"/>
              <w:rPr>
                <w:rFonts w:ascii="仿宋" w:hAnsi="仿宋" w:eastAsia="仿宋" w:cs="仿宋"/>
                <w:sz w:val="24"/>
                <w:szCs w:val="24"/>
              </w:rPr>
            </w:pPr>
            <w:r>
              <w:rPr>
                <w:rFonts w:hint="eastAsia" w:ascii="仿宋" w:hAnsi="仿宋" w:eastAsia="仿宋" w:cs="仿宋"/>
                <w:b/>
                <w:bCs/>
                <w:sz w:val="24"/>
                <w:szCs w:val="24"/>
              </w:rPr>
              <w:t>时间</w:t>
            </w:r>
          </w:p>
        </w:tc>
        <w:tc>
          <w:tcPr>
            <w:tcW w:w="3330" w:type="dxa"/>
            <w:tcBorders>
              <w:bottom w:val="single" w:color="auto" w:sz="4" w:space="0"/>
              <w:tl2br w:val="nil"/>
              <w:tr2bl w:val="nil"/>
            </w:tcBorders>
          </w:tcPr>
          <w:p>
            <w:pPr>
              <w:pStyle w:val="14"/>
              <w:spacing w:line="366" w:lineRule="exact"/>
              <w:jc w:val="center"/>
              <w:rPr>
                <w:rFonts w:ascii="仿宋" w:hAnsi="仿宋" w:eastAsia="仿宋" w:cs="仿宋"/>
                <w:sz w:val="24"/>
                <w:szCs w:val="24"/>
              </w:rPr>
            </w:pPr>
            <w:r>
              <w:rPr>
                <w:rFonts w:hint="eastAsia" w:ascii="仿宋" w:hAnsi="仿宋" w:eastAsia="仿宋" w:cs="仿宋"/>
                <w:b/>
                <w:bCs/>
                <w:sz w:val="24"/>
                <w:szCs w:val="24"/>
              </w:rPr>
              <w:t>内容</w:t>
            </w:r>
          </w:p>
        </w:tc>
        <w:tc>
          <w:tcPr>
            <w:tcW w:w="2190" w:type="dxa"/>
            <w:tcBorders>
              <w:bottom w:val="single" w:color="auto" w:sz="4" w:space="0"/>
              <w:tl2br w:val="nil"/>
              <w:tr2bl w:val="nil"/>
            </w:tcBorders>
          </w:tcPr>
          <w:p>
            <w:pPr>
              <w:pStyle w:val="14"/>
              <w:spacing w:line="366" w:lineRule="exact"/>
              <w:jc w:val="center"/>
              <w:rPr>
                <w:rFonts w:ascii="仿宋" w:hAnsi="仿宋" w:eastAsia="仿宋" w:cs="仿宋"/>
                <w:color w:val="FF0000"/>
                <w:sz w:val="24"/>
                <w:szCs w:val="24"/>
              </w:rPr>
            </w:pPr>
            <w:r>
              <w:rPr>
                <w:rFonts w:hint="eastAsia" w:ascii="仿宋" w:hAnsi="仿宋" w:eastAsia="仿宋" w:cs="仿宋"/>
                <w:b/>
                <w:bCs/>
                <w:color w:val="auto"/>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8" w:hRule="exact"/>
        </w:trPr>
        <w:tc>
          <w:tcPr>
            <w:tcW w:w="1423" w:type="dxa"/>
            <w:vMerge w:val="restart"/>
            <w:tcBorders>
              <w:tl2br w:val="nil"/>
              <w:tr2bl w:val="nil"/>
            </w:tcBorders>
            <w:vAlign w:val="center"/>
          </w:tcPr>
          <w:p>
            <w:pPr>
              <w:pStyle w:val="14"/>
              <w:jc w:val="center"/>
              <w:rPr>
                <w:rFonts w:ascii="仿宋" w:hAnsi="仿宋" w:eastAsia="仿宋" w:cs="仿宋"/>
                <w:sz w:val="24"/>
                <w:szCs w:val="24"/>
              </w:rPr>
            </w:pPr>
          </w:p>
          <w:p>
            <w:pPr>
              <w:pStyle w:val="14"/>
              <w:spacing w:before="11"/>
              <w:jc w:val="center"/>
              <w:rPr>
                <w:rFonts w:ascii="仿宋" w:hAnsi="仿宋" w:eastAsia="仿宋" w:cs="仿宋"/>
                <w:sz w:val="24"/>
                <w:szCs w:val="24"/>
              </w:rPr>
            </w:pPr>
          </w:p>
          <w:p>
            <w:pPr>
              <w:pStyle w:val="14"/>
              <w:jc w:val="center"/>
              <w:rPr>
                <w:rFonts w:ascii="仿宋" w:hAnsi="仿宋" w:eastAsia="仿宋" w:cs="仿宋"/>
                <w:sz w:val="24"/>
                <w:szCs w:val="24"/>
                <w:u w:val="single"/>
              </w:rPr>
            </w:pPr>
            <w:r>
              <w:rPr>
                <w:rFonts w:hint="eastAsia" w:ascii="仿宋" w:hAnsi="仿宋" w:eastAsia="仿宋" w:cs="仿宋"/>
                <w:sz w:val="24"/>
                <w:szCs w:val="24"/>
              </w:rPr>
              <w:t>上午</w:t>
            </w:r>
          </w:p>
          <w:p>
            <w:pPr>
              <w:pStyle w:val="14"/>
              <w:jc w:val="center"/>
              <w:rPr>
                <w:rFonts w:ascii="仿宋" w:hAnsi="仿宋" w:eastAsia="仿宋" w:cs="仿宋"/>
                <w:sz w:val="24"/>
                <w:szCs w:val="24"/>
                <w:u w:val="single"/>
              </w:rPr>
            </w:pPr>
          </w:p>
          <w:p>
            <w:pPr>
              <w:pStyle w:val="14"/>
              <w:spacing w:before="5"/>
              <w:jc w:val="center"/>
              <w:rPr>
                <w:rFonts w:ascii="仿宋" w:hAnsi="仿宋" w:eastAsia="仿宋" w:cs="仿宋"/>
                <w:sz w:val="24"/>
                <w:szCs w:val="24"/>
                <w:u w:val="single"/>
              </w:rPr>
            </w:pPr>
          </w:p>
          <w:p>
            <w:pPr>
              <w:pStyle w:val="14"/>
              <w:ind w:left="155"/>
              <w:jc w:val="center"/>
              <w:rPr>
                <w:rFonts w:ascii="仿宋" w:hAnsi="仿宋" w:eastAsia="仿宋" w:cs="仿宋"/>
                <w:sz w:val="24"/>
                <w:szCs w:val="24"/>
                <w:u w:val="single"/>
              </w:rPr>
            </w:pPr>
          </w:p>
        </w:tc>
        <w:tc>
          <w:tcPr>
            <w:tcW w:w="1517" w:type="dxa"/>
            <w:tcBorders>
              <w:tl2br w:val="nil"/>
              <w:tr2bl w:val="nil"/>
            </w:tcBorders>
            <w:vAlign w:val="center"/>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8:30-9:00</w:t>
            </w:r>
          </w:p>
        </w:tc>
        <w:tc>
          <w:tcPr>
            <w:tcW w:w="3330" w:type="dxa"/>
            <w:tcBorders>
              <w:tl2br w:val="nil"/>
              <w:tr2bl w:val="nil"/>
            </w:tcBorders>
          </w:tcPr>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报到</w:t>
            </w:r>
          </w:p>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模块一 团队工位号抽签</w:t>
            </w:r>
          </w:p>
          <w:p>
            <w:pPr>
              <w:pStyle w:val="14"/>
              <w:spacing w:before="57"/>
              <w:ind w:left="103"/>
              <w:jc w:val="left"/>
              <w:rPr>
                <w:rFonts w:ascii="仿宋" w:hAnsi="仿宋" w:eastAsia="仿宋" w:cs="仿宋"/>
                <w:sz w:val="24"/>
                <w:szCs w:val="24"/>
              </w:rPr>
            </w:pPr>
            <w:r>
              <w:rPr>
                <w:rFonts w:hint="eastAsia" w:ascii="仿宋" w:hAnsi="仿宋" w:eastAsia="仿宋" w:cs="仿宋"/>
                <w:spacing w:val="-21"/>
                <w:sz w:val="24"/>
                <w:szCs w:val="24"/>
                <w:shd w:val="clear" w:color="auto" w:fill="FFFFFF"/>
              </w:rPr>
              <w:t>模块二 团队出场顺序号抽签</w:t>
            </w:r>
          </w:p>
        </w:tc>
        <w:tc>
          <w:tcPr>
            <w:tcW w:w="2190" w:type="dxa"/>
            <w:tcBorders>
              <w:tl2br w:val="nil"/>
              <w:tr2bl w:val="nil"/>
            </w:tcBorders>
            <w:vAlign w:val="center"/>
          </w:tcPr>
          <w:p>
            <w:pPr>
              <w:pStyle w:val="14"/>
              <w:spacing w:before="57"/>
              <w:jc w:val="center"/>
              <w:rPr>
                <w:rFonts w:ascii="仿宋" w:hAnsi="仿宋" w:eastAsia="仿宋" w:cs="仿宋"/>
                <w:color w:val="auto"/>
                <w:sz w:val="24"/>
                <w:szCs w:val="24"/>
              </w:rPr>
            </w:pPr>
            <w:r>
              <w:rPr>
                <w:rFonts w:hint="eastAsia" w:ascii="仿宋" w:hAnsi="仿宋" w:eastAsia="仿宋" w:cs="仿宋"/>
                <w:color w:val="auto"/>
                <w:spacing w:val="-21"/>
                <w:sz w:val="24"/>
                <w:szCs w:val="24"/>
                <w:shd w:val="clear" w:color="auto" w:fill="FFFFFF"/>
              </w:rPr>
              <w:t>运管楼106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4" w:hRule="exact"/>
        </w:trPr>
        <w:tc>
          <w:tcPr>
            <w:tcW w:w="1423" w:type="dxa"/>
            <w:vMerge w:val="continue"/>
            <w:tcBorders>
              <w:tl2br w:val="nil"/>
              <w:tr2bl w:val="nil"/>
            </w:tcBorders>
          </w:tcPr>
          <w:p>
            <w:pPr>
              <w:jc w:val="center"/>
              <w:rPr>
                <w:rFonts w:ascii="仿宋" w:hAnsi="仿宋" w:eastAsia="仿宋" w:cs="仿宋"/>
                <w:sz w:val="24"/>
                <w:szCs w:val="24"/>
              </w:rPr>
            </w:pPr>
          </w:p>
        </w:tc>
        <w:tc>
          <w:tcPr>
            <w:tcW w:w="1517" w:type="dxa"/>
            <w:tcBorders>
              <w:tl2br w:val="nil"/>
              <w:tr2bl w:val="nil"/>
            </w:tcBorders>
            <w:vAlign w:val="center"/>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9:00-11:00</w:t>
            </w:r>
          </w:p>
        </w:tc>
        <w:tc>
          <w:tcPr>
            <w:tcW w:w="3330" w:type="dxa"/>
            <w:tcBorders>
              <w:tl2br w:val="nil"/>
              <w:tr2bl w:val="nil"/>
            </w:tcBorders>
          </w:tcPr>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模块一 上机操作</w:t>
            </w:r>
          </w:p>
          <w:p>
            <w:pPr>
              <w:pStyle w:val="14"/>
              <w:spacing w:before="57"/>
              <w:ind w:left="103"/>
              <w:jc w:val="left"/>
              <w:rPr>
                <w:rFonts w:ascii="仿宋" w:hAnsi="仿宋" w:eastAsia="仿宋" w:cs="仿宋"/>
                <w:sz w:val="24"/>
                <w:szCs w:val="24"/>
              </w:rPr>
            </w:pPr>
            <w:r>
              <w:rPr>
                <w:rFonts w:hint="eastAsia" w:ascii="仿宋" w:hAnsi="仿宋" w:eastAsia="仿宋" w:cs="仿宋"/>
                <w:spacing w:val="-21"/>
                <w:sz w:val="24"/>
                <w:szCs w:val="24"/>
                <w:shd w:val="clear" w:color="auto" w:fill="FFFFFF"/>
              </w:rPr>
              <w:t>模块二 现场实操</w:t>
            </w:r>
          </w:p>
        </w:tc>
        <w:tc>
          <w:tcPr>
            <w:tcW w:w="2190" w:type="dxa"/>
            <w:tcBorders>
              <w:tl2br w:val="nil"/>
              <w:tr2bl w:val="nil"/>
            </w:tcBorders>
            <w:vAlign w:val="center"/>
          </w:tcPr>
          <w:p>
            <w:pPr>
              <w:pStyle w:val="14"/>
              <w:spacing w:before="57"/>
              <w:jc w:val="center"/>
              <w:rPr>
                <w:rFonts w:ascii="仿宋" w:hAnsi="仿宋" w:eastAsia="仿宋" w:cs="仿宋"/>
                <w:color w:val="auto"/>
                <w:sz w:val="24"/>
                <w:szCs w:val="24"/>
              </w:rPr>
            </w:pPr>
            <w:r>
              <w:rPr>
                <w:rFonts w:hint="eastAsia" w:ascii="仿宋" w:hAnsi="仿宋" w:eastAsia="仿宋" w:cs="仿宋"/>
                <w:color w:val="auto"/>
                <w:spacing w:val="-21"/>
                <w:sz w:val="24"/>
                <w:szCs w:val="24"/>
                <w:shd w:val="clear" w:color="auto" w:fill="FFFFFF"/>
              </w:rPr>
              <w:t>运管楼311、113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exact"/>
        </w:trPr>
        <w:tc>
          <w:tcPr>
            <w:tcW w:w="1423" w:type="dxa"/>
            <w:tcBorders>
              <w:tl2br w:val="nil"/>
              <w:tr2bl w:val="nil"/>
            </w:tcBorders>
          </w:tcPr>
          <w:p>
            <w:pPr>
              <w:jc w:val="center"/>
              <w:rPr>
                <w:rFonts w:ascii="仿宋" w:hAnsi="仿宋" w:eastAsia="仿宋" w:cs="仿宋"/>
                <w:sz w:val="24"/>
                <w:szCs w:val="24"/>
              </w:rPr>
            </w:pPr>
            <w:r>
              <w:rPr>
                <w:rFonts w:hint="eastAsia" w:ascii="仿宋" w:hAnsi="仿宋" w:eastAsia="仿宋" w:cs="仿宋"/>
                <w:sz w:val="24"/>
                <w:szCs w:val="24"/>
              </w:rPr>
              <w:t>中午</w:t>
            </w:r>
          </w:p>
        </w:tc>
        <w:tc>
          <w:tcPr>
            <w:tcW w:w="1517" w:type="dxa"/>
            <w:tcBorders>
              <w:tl2br w:val="nil"/>
              <w:tr2bl w:val="nil"/>
            </w:tcBorders>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11:00-13:00</w:t>
            </w:r>
          </w:p>
        </w:tc>
        <w:tc>
          <w:tcPr>
            <w:tcW w:w="3330" w:type="dxa"/>
            <w:tcBorders>
              <w:tl2br w:val="nil"/>
              <w:tr2bl w:val="nil"/>
            </w:tcBorders>
          </w:tcPr>
          <w:p>
            <w:pPr>
              <w:pStyle w:val="14"/>
              <w:spacing w:before="57"/>
              <w:ind w:left="103"/>
              <w:jc w:val="left"/>
              <w:rPr>
                <w:rFonts w:ascii="仿宋" w:hAnsi="仿宋" w:eastAsia="仿宋" w:cs="仿宋"/>
                <w:sz w:val="24"/>
                <w:szCs w:val="24"/>
              </w:rPr>
            </w:pPr>
            <w:r>
              <w:rPr>
                <w:rFonts w:hint="eastAsia" w:ascii="仿宋" w:hAnsi="仿宋" w:eastAsia="仿宋" w:cs="仿宋"/>
                <w:sz w:val="24"/>
                <w:szCs w:val="24"/>
              </w:rPr>
              <w:t>休息</w:t>
            </w:r>
          </w:p>
        </w:tc>
        <w:tc>
          <w:tcPr>
            <w:tcW w:w="2190" w:type="dxa"/>
            <w:tcBorders>
              <w:tl2br w:val="nil"/>
              <w:tr2bl w:val="nil"/>
            </w:tcBorders>
          </w:tcPr>
          <w:p>
            <w:pPr>
              <w:pStyle w:val="14"/>
              <w:spacing w:before="57"/>
              <w:jc w:val="center"/>
              <w:rPr>
                <w:rFonts w:ascii="仿宋" w:hAnsi="仿宋" w:eastAsia="仿宋" w:cs="仿宋"/>
                <w:color w:val="auto"/>
                <w:sz w:val="24"/>
                <w:szCs w:val="24"/>
              </w:rPr>
            </w:pPr>
            <w:r>
              <w:rPr>
                <w:rFonts w:hint="eastAsia" w:ascii="仿宋" w:hAnsi="仿宋" w:eastAsia="仿宋" w:cs="仿宋"/>
                <w:color w:val="auto"/>
                <w:spacing w:val="-21"/>
                <w:sz w:val="24"/>
                <w:szCs w:val="24"/>
                <w:shd w:val="clear" w:color="auto" w:fill="FFFFFF"/>
              </w:rPr>
              <w:t>运管楼106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exact"/>
        </w:trPr>
        <w:tc>
          <w:tcPr>
            <w:tcW w:w="1423" w:type="dxa"/>
            <w:vMerge w:val="restart"/>
            <w:tcBorders>
              <w:tl2br w:val="nil"/>
              <w:tr2bl w:val="nil"/>
            </w:tcBorders>
            <w:vAlign w:val="center"/>
          </w:tcPr>
          <w:p>
            <w:pPr>
              <w:pStyle w:val="14"/>
              <w:jc w:val="center"/>
              <w:rPr>
                <w:rFonts w:ascii="仿宋" w:hAnsi="仿宋" w:eastAsia="仿宋" w:cs="仿宋"/>
                <w:sz w:val="24"/>
                <w:szCs w:val="24"/>
              </w:rPr>
            </w:pPr>
            <w:r>
              <w:rPr>
                <w:rFonts w:hint="eastAsia" w:ascii="仿宋" w:hAnsi="仿宋" w:eastAsia="仿宋" w:cs="仿宋"/>
                <w:sz w:val="24"/>
                <w:szCs w:val="24"/>
              </w:rPr>
              <w:t>下午</w:t>
            </w:r>
          </w:p>
        </w:tc>
        <w:tc>
          <w:tcPr>
            <w:tcW w:w="1517" w:type="dxa"/>
            <w:tcBorders>
              <w:tl2br w:val="nil"/>
              <w:tr2bl w:val="nil"/>
            </w:tcBorders>
          </w:tcPr>
          <w:p>
            <w:pPr>
              <w:pStyle w:val="14"/>
              <w:spacing w:before="57"/>
              <w:jc w:val="center"/>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13:00-13:10</w:t>
            </w:r>
          </w:p>
        </w:tc>
        <w:tc>
          <w:tcPr>
            <w:tcW w:w="3330" w:type="dxa"/>
            <w:tcBorders>
              <w:tl2br w:val="nil"/>
              <w:tr2bl w:val="nil"/>
            </w:tcBorders>
          </w:tcPr>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模块三 团队工位号抽签</w:t>
            </w:r>
          </w:p>
        </w:tc>
        <w:tc>
          <w:tcPr>
            <w:tcW w:w="2190" w:type="dxa"/>
            <w:tcBorders>
              <w:tl2br w:val="nil"/>
              <w:tr2bl w:val="nil"/>
            </w:tcBorders>
          </w:tcPr>
          <w:p>
            <w:pPr>
              <w:pStyle w:val="14"/>
              <w:spacing w:before="57"/>
              <w:jc w:val="center"/>
              <w:rPr>
                <w:rFonts w:ascii="仿宋" w:hAnsi="仿宋" w:eastAsia="仿宋" w:cs="仿宋"/>
                <w:color w:val="auto"/>
                <w:spacing w:val="-21"/>
                <w:sz w:val="24"/>
                <w:szCs w:val="24"/>
                <w:shd w:val="clear" w:color="auto" w:fill="FFFFFF"/>
              </w:rPr>
            </w:pPr>
            <w:r>
              <w:rPr>
                <w:rFonts w:hint="eastAsia" w:ascii="仿宋" w:hAnsi="仿宋" w:eastAsia="仿宋" w:cs="仿宋"/>
                <w:color w:val="auto"/>
                <w:spacing w:val="-21"/>
                <w:sz w:val="24"/>
                <w:szCs w:val="24"/>
                <w:shd w:val="clear" w:color="auto" w:fill="FFFFFF"/>
              </w:rPr>
              <w:t>运管楼106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exact"/>
        </w:trPr>
        <w:tc>
          <w:tcPr>
            <w:tcW w:w="1423" w:type="dxa"/>
            <w:vMerge w:val="continue"/>
            <w:tcBorders>
              <w:tl2br w:val="nil"/>
              <w:tr2bl w:val="nil"/>
            </w:tcBorders>
          </w:tcPr>
          <w:p>
            <w:pPr>
              <w:pStyle w:val="14"/>
              <w:jc w:val="center"/>
              <w:rPr>
                <w:rFonts w:ascii="仿宋" w:hAnsi="仿宋" w:eastAsia="仿宋" w:cs="仿宋"/>
                <w:sz w:val="24"/>
                <w:szCs w:val="24"/>
                <w:u w:val="single"/>
              </w:rPr>
            </w:pPr>
          </w:p>
        </w:tc>
        <w:tc>
          <w:tcPr>
            <w:tcW w:w="1517" w:type="dxa"/>
            <w:tcBorders>
              <w:tl2br w:val="nil"/>
              <w:tr2bl w:val="nil"/>
            </w:tcBorders>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13:10-15:10</w:t>
            </w:r>
          </w:p>
        </w:tc>
        <w:tc>
          <w:tcPr>
            <w:tcW w:w="3330" w:type="dxa"/>
            <w:tcBorders>
              <w:tl2br w:val="nil"/>
              <w:tr2bl w:val="nil"/>
            </w:tcBorders>
          </w:tcPr>
          <w:p>
            <w:pPr>
              <w:pStyle w:val="14"/>
              <w:spacing w:before="57"/>
              <w:ind w:left="103"/>
              <w:jc w:val="left"/>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模块三 任务实操</w:t>
            </w:r>
          </w:p>
        </w:tc>
        <w:tc>
          <w:tcPr>
            <w:tcW w:w="2190" w:type="dxa"/>
            <w:tcBorders>
              <w:tl2br w:val="nil"/>
              <w:tr2bl w:val="nil"/>
            </w:tcBorders>
          </w:tcPr>
          <w:p>
            <w:pPr>
              <w:pStyle w:val="14"/>
              <w:spacing w:before="57"/>
              <w:jc w:val="center"/>
              <w:rPr>
                <w:rFonts w:ascii="仿宋" w:hAnsi="仿宋" w:eastAsia="仿宋" w:cs="仿宋"/>
                <w:color w:val="auto"/>
                <w:sz w:val="24"/>
                <w:szCs w:val="24"/>
              </w:rPr>
            </w:pPr>
            <w:r>
              <w:rPr>
                <w:rFonts w:hint="eastAsia" w:ascii="仿宋" w:hAnsi="仿宋" w:eastAsia="仿宋" w:cs="仿宋"/>
                <w:color w:val="auto"/>
                <w:spacing w:val="-21"/>
                <w:sz w:val="24"/>
                <w:szCs w:val="24"/>
                <w:shd w:val="clear" w:color="auto" w:fill="FFFFFF"/>
              </w:rPr>
              <w:t>运管楼一楼大厅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exact"/>
        </w:trPr>
        <w:tc>
          <w:tcPr>
            <w:tcW w:w="1423" w:type="dxa"/>
            <w:vMerge w:val="continue"/>
            <w:tcBorders>
              <w:tl2br w:val="nil"/>
              <w:tr2bl w:val="nil"/>
            </w:tcBorders>
            <w:vAlign w:val="center"/>
          </w:tcPr>
          <w:p>
            <w:pPr>
              <w:pStyle w:val="14"/>
              <w:jc w:val="center"/>
              <w:rPr>
                <w:rFonts w:ascii="仿宋" w:hAnsi="仿宋" w:eastAsia="仿宋" w:cs="仿宋"/>
                <w:sz w:val="24"/>
                <w:szCs w:val="24"/>
              </w:rPr>
            </w:pPr>
          </w:p>
        </w:tc>
        <w:tc>
          <w:tcPr>
            <w:tcW w:w="1517" w:type="dxa"/>
            <w:tcBorders>
              <w:tl2br w:val="nil"/>
              <w:tr2bl w:val="nil"/>
            </w:tcBorders>
            <w:vAlign w:val="center"/>
          </w:tcPr>
          <w:p>
            <w:pPr>
              <w:pStyle w:val="14"/>
              <w:spacing w:before="57"/>
              <w:jc w:val="center"/>
              <w:rPr>
                <w:rFonts w:ascii="仿宋" w:hAnsi="仿宋" w:eastAsia="仿宋" w:cs="仿宋"/>
                <w:sz w:val="24"/>
                <w:szCs w:val="24"/>
              </w:rPr>
            </w:pPr>
            <w:r>
              <w:rPr>
                <w:rFonts w:hint="eastAsia" w:ascii="仿宋" w:hAnsi="仿宋" w:eastAsia="仿宋" w:cs="仿宋"/>
                <w:spacing w:val="-21"/>
                <w:sz w:val="24"/>
                <w:szCs w:val="24"/>
                <w:shd w:val="clear" w:color="auto" w:fill="FFFFFF"/>
              </w:rPr>
              <w:t>15:10-15:40</w:t>
            </w:r>
          </w:p>
        </w:tc>
        <w:tc>
          <w:tcPr>
            <w:tcW w:w="3330" w:type="dxa"/>
            <w:tcBorders>
              <w:tl2br w:val="nil"/>
              <w:tr2bl w:val="nil"/>
            </w:tcBorders>
          </w:tcPr>
          <w:p>
            <w:pPr>
              <w:pStyle w:val="14"/>
              <w:spacing w:before="57"/>
              <w:ind w:left="103"/>
              <w:jc w:val="left"/>
              <w:rPr>
                <w:rFonts w:ascii="仿宋" w:hAnsi="仿宋" w:eastAsia="仿宋" w:cs="仿宋"/>
                <w:sz w:val="24"/>
                <w:szCs w:val="24"/>
              </w:rPr>
            </w:pPr>
            <w:r>
              <w:rPr>
                <w:rFonts w:hint="eastAsia" w:ascii="仿宋" w:hAnsi="仿宋" w:eastAsia="仿宋" w:cs="仿宋"/>
                <w:spacing w:val="-21"/>
                <w:sz w:val="24"/>
                <w:szCs w:val="24"/>
                <w:shd w:val="clear" w:color="auto" w:fill="FFFFFF"/>
              </w:rPr>
              <w:t>申诉受理</w:t>
            </w:r>
          </w:p>
        </w:tc>
        <w:tc>
          <w:tcPr>
            <w:tcW w:w="2190" w:type="dxa"/>
            <w:vMerge w:val="restart"/>
            <w:tcBorders>
              <w:tl2br w:val="nil"/>
              <w:tr2bl w:val="nil"/>
            </w:tcBorders>
          </w:tcPr>
          <w:p>
            <w:pPr>
              <w:pStyle w:val="14"/>
              <w:jc w:val="center"/>
              <w:rPr>
                <w:rFonts w:ascii="仿宋" w:hAnsi="仿宋" w:eastAsia="仿宋" w:cs="仿宋"/>
                <w:color w:val="FF0000"/>
                <w:sz w:val="24"/>
                <w:szCs w:val="24"/>
              </w:rPr>
            </w:pPr>
          </w:p>
          <w:p>
            <w:pPr>
              <w:pStyle w:val="14"/>
              <w:jc w:val="center"/>
              <w:rPr>
                <w:rFonts w:ascii="仿宋" w:hAnsi="仿宋" w:eastAsia="仿宋" w:cs="仿宋"/>
                <w:color w:val="FF0000"/>
                <w:sz w:val="24"/>
                <w:szCs w:val="24"/>
              </w:rPr>
            </w:pPr>
          </w:p>
          <w:p>
            <w:pPr>
              <w:pStyle w:val="14"/>
              <w:jc w:val="center"/>
              <w:rPr>
                <w:rFonts w:ascii="仿宋" w:hAnsi="仿宋" w:eastAsia="仿宋" w:cs="仿宋"/>
                <w:color w:val="FF0000"/>
                <w:sz w:val="24"/>
                <w:szCs w:val="24"/>
              </w:rPr>
            </w:pPr>
          </w:p>
          <w:p>
            <w:pPr>
              <w:pStyle w:val="14"/>
              <w:spacing w:before="2"/>
              <w:jc w:val="center"/>
              <w:rPr>
                <w:rFonts w:ascii="仿宋" w:hAnsi="仿宋" w:eastAsia="仿宋" w:cs="仿宋"/>
                <w:color w:val="FF0000"/>
                <w:sz w:val="24"/>
                <w:szCs w:val="24"/>
              </w:rPr>
            </w:pPr>
          </w:p>
          <w:p>
            <w:pPr>
              <w:pStyle w:val="14"/>
              <w:ind w:left="252"/>
              <w:jc w:val="center"/>
              <w:rPr>
                <w:rFonts w:ascii="仿宋" w:hAnsi="仿宋" w:eastAsia="仿宋" w:cs="仿宋"/>
                <w:color w:val="FF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5" w:hRule="exact"/>
        </w:trPr>
        <w:tc>
          <w:tcPr>
            <w:tcW w:w="1423" w:type="dxa"/>
            <w:vMerge w:val="continue"/>
            <w:tcBorders>
              <w:tl2br w:val="nil"/>
              <w:tr2bl w:val="nil"/>
            </w:tcBorders>
          </w:tcPr>
          <w:p>
            <w:pPr>
              <w:jc w:val="center"/>
              <w:rPr>
                <w:rFonts w:ascii="仿宋" w:hAnsi="仿宋" w:eastAsia="仿宋" w:cs="仿宋"/>
                <w:sz w:val="24"/>
                <w:szCs w:val="24"/>
              </w:rPr>
            </w:pPr>
          </w:p>
        </w:tc>
        <w:tc>
          <w:tcPr>
            <w:tcW w:w="1517" w:type="dxa"/>
            <w:tcBorders>
              <w:tl2br w:val="nil"/>
              <w:tr2bl w:val="nil"/>
            </w:tcBorders>
          </w:tcPr>
          <w:p>
            <w:pPr>
              <w:pStyle w:val="14"/>
              <w:spacing w:before="57"/>
              <w:jc w:val="center"/>
              <w:rPr>
                <w:rFonts w:ascii="仿宋" w:hAnsi="仿宋" w:eastAsia="仿宋" w:cs="仿宋"/>
                <w:spacing w:val="-21"/>
                <w:sz w:val="24"/>
                <w:szCs w:val="24"/>
                <w:shd w:val="clear" w:color="auto" w:fill="FFFFFF"/>
              </w:rPr>
            </w:pPr>
            <w:r>
              <w:rPr>
                <w:rFonts w:hint="eastAsia" w:ascii="仿宋" w:hAnsi="仿宋" w:eastAsia="仿宋" w:cs="仿宋"/>
                <w:spacing w:val="-21"/>
                <w:sz w:val="24"/>
                <w:szCs w:val="24"/>
                <w:shd w:val="clear" w:color="auto" w:fill="FFFFFF"/>
              </w:rPr>
              <w:t>15:40-16:00</w:t>
            </w:r>
          </w:p>
        </w:tc>
        <w:tc>
          <w:tcPr>
            <w:tcW w:w="3330" w:type="dxa"/>
            <w:tcBorders>
              <w:tl2br w:val="nil"/>
              <w:tr2bl w:val="nil"/>
            </w:tcBorders>
          </w:tcPr>
          <w:p>
            <w:pPr>
              <w:pStyle w:val="14"/>
              <w:spacing w:before="57"/>
              <w:ind w:left="103"/>
              <w:jc w:val="left"/>
              <w:rPr>
                <w:rFonts w:ascii="仿宋" w:hAnsi="仿宋" w:eastAsia="仿宋" w:cs="仿宋"/>
                <w:sz w:val="24"/>
                <w:szCs w:val="24"/>
              </w:rPr>
            </w:pPr>
            <w:r>
              <w:rPr>
                <w:rFonts w:hint="eastAsia" w:ascii="仿宋" w:hAnsi="仿宋" w:eastAsia="仿宋" w:cs="仿宋"/>
                <w:spacing w:val="-21"/>
                <w:sz w:val="24"/>
                <w:szCs w:val="24"/>
                <w:shd w:val="clear" w:color="auto" w:fill="FFFFFF"/>
              </w:rPr>
              <w:t>公布竞赛结果、评委点评</w:t>
            </w:r>
          </w:p>
        </w:tc>
        <w:tc>
          <w:tcPr>
            <w:tcW w:w="2190" w:type="dxa"/>
            <w:vMerge w:val="continue"/>
            <w:tcBorders>
              <w:tl2br w:val="nil"/>
              <w:tr2bl w:val="nil"/>
            </w:tcBorders>
          </w:tcPr>
          <w:p>
            <w:pPr>
              <w:jc w:val="center"/>
              <w:rPr>
                <w:rFonts w:ascii="仿宋" w:hAnsi="仿宋" w:eastAsia="仿宋" w:cs="仿宋"/>
                <w:color w:val="FF0000"/>
                <w:sz w:val="24"/>
                <w:szCs w:val="24"/>
              </w:rPr>
            </w:pPr>
          </w:p>
        </w:tc>
      </w:tr>
    </w:tbl>
    <w:p>
      <w:pPr>
        <w:spacing w:line="560" w:lineRule="exact"/>
        <w:ind w:firstLine="602" w:firstLineChars="200"/>
        <w:rPr>
          <w:rFonts w:ascii="仿宋" w:hAnsi="仿宋" w:eastAsia="仿宋"/>
          <w:b/>
          <w:bCs/>
          <w:sz w:val="30"/>
          <w:szCs w:val="30"/>
        </w:rPr>
      </w:pP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六、竞赛试题</w:t>
      </w:r>
    </w:p>
    <w:p>
      <w:pPr>
        <w:pStyle w:val="4"/>
        <w:spacing w:before="38"/>
        <w:ind w:left="420" w:leftChars="200"/>
        <w:jc w:val="left"/>
      </w:pPr>
      <w:r>
        <w:rPr>
          <w:rFonts w:hint="eastAsia"/>
        </w:rPr>
        <w:t xml:space="preserve">（一）赛题内容 </w:t>
      </w:r>
    </w:p>
    <w:p>
      <w:pPr>
        <w:pStyle w:val="4"/>
        <w:spacing w:before="38"/>
        <w:ind w:left="0" w:firstLine="560" w:firstLineChars="200"/>
        <w:jc w:val="left"/>
      </w:pPr>
      <w:r>
        <w:rPr>
          <w:rFonts w:hint="eastAsia"/>
        </w:rPr>
        <w:t>本赛项仅作实践操作考核，均为实操赛题。赛项涉及3个模块22项子任务的考核内容。赛题中明确了每个子任务的要求、操作过程、考核要点及评价标准。</w:t>
      </w:r>
    </w:p>
    <w:p>
      <w:pPr>
        <w:pStyle w:val="4"/>
        <w:spacing w:before="38"/>
        <w:ind w:left="420" w:leftChars="200"/>
        <w:jc w:val="left"/>
      </w:pPr>
      <w:r>
        <w:rPr>
          <w:rFonts w:hint="eastAsia"/>
        </w:rPr>
        <w:t>（二）样题</w:t>
      </w:r>
    </w:p>
    <w:p>
      <w:pPr>
        <w:pStyle w:val="4"/>
        <w:spacing w:before="38"/>
        <w:ind w:left="420" w:leftChars="200"/>
        <w:jc w:val="left"/>
      </w:pPr>
      <w:r>
        <w:rPr>
          <w:rFonts w:hint="eastAsia"/>
        </w:rPr>
        <w:t>样题及手摇道岔评分标准，见附件。</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七、竞赛规则</w:t>
      </w:r>
    </w:p>
    <w:p>
      <w:pPr>
        <w:ind w:firstLine="560" w:firstLineChars="200"/>
        <w:rPr>
          <w:rFonts w:ascii="仿宋" w:hAnsi="仿宋" w:eastAsia="仿宋"/>
          <w:sz w:val="28"/>
          <w:szCs w:val="28"/>
        </w:rPr>
      </w:pPr>
      <w:r>
        <w:rPr>
          <w:rFonts w:hint="eastAsia" w:ascii="仿宋" w:hAnsi="仿宋" w:eastAsia="仿宋"/>
          <w:sz w:val="28"/>
          <w:szCs w:val="28"/>
        </w:rPr>
        <w:t>（一）参赛资格：参赛选手应为全日制正式学籍的中职在校学生（含技工学校）。</w:t>
      </w:r>
    </w:p>
    <w:p>
      <w:pPr>
        <w:ind w:firstLine="560" w:firstLineChars="200"/>
        <w:rPr>
          <w:rFonts w:ascii="宋体" w:hAnsi="宋体" w:cs="宋体"/>
          <w:sz w:val="28"/>
          <w:szCs w:val="28"/>
        </w:rPr>
      </w:pPr>
      <w:r>
        <w:rPr>
          <w:rFonts w:hint="eastAsia" w:ascii="仿宋" w:hAnsi="仿宋" w:eastAsia="仿宋"/>
          <w:sz w:val="28"/>
          <w:szCs w:val="28"/>
        </w:rPr>
        <w:t>（二）报名要求：参赛队员在报名获得审核确认后，原则上不再更换，如筹备过程中，队员因故不能参赛，所在学校出具书面说明并按相关规定补充人员并接受审核；竞赛开始后，参赛队不得更换参赛队员，允许队员缺席比赛。</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（三）检录：由检录工作人员依照检录表进行点名核对，并检查确定无误后向评委递交检录单。</w:t>
      </w:r>
    </w:p>
    <w:p>
      <w:pPr>
        <w:ind w:firstLine="560" w:firstLineChars="200"/>
        <w:rPr>
          <w:rFonts w:ascii="仿宋" w:hAnsi="仿宋" w:eastAsia="仿宋"/>
          <w:sz w:val="28"/>
          <w:szCs w:val="28"/>
        </w:rPr>
      </w:pPr>
      <w:r>
        <w:rPr>
          <w:rFonts w:hint="eastAsia" w:ascii="仿宋" w:hAnsi="仿宋" w:eastAsia="仿宋"/>
          <w:sz w:val="28"/>
          <w:szCs w:val="28"/>
        </w:rPr>
        <w:t>（四）引导：参赛选手凭证件进入赛场，不得携带其他显示个人身份信息的物品，不得携带与竞赛无关的电子设备、通讯设备及其他相关资料与用品。现场评委负责引导参赛队伍至赛位前等待竞赛指令。比赛开始前，在没有评委允许的情况下，严禁随意触碰竞赛设施和阅读赛卷内容。比赛中途不得离开赛场。</w:t>
      </w:r>
    </w:p>
    <w:p>
      <w:pPr>
        <w:ind w:firstLine="560" w:firstLineChars="200"/>
        <w:rPr>
          <w:rFonts w:ascii="仿宋" w:hAnsi="仿宋" w:eastAsia="仿宋"/>
          <w:sz w:val="28"/>
          <w:szCs w:val="28"/>
        </w:rPr>
      </w:pPr>
      <w:r>
        <w:rPr>
          <w:rFonts w:hint="eastAsia" w:ascii="仿宋" w:hAnsi="仿宋" w:eastAsia="仿宋"/>
          <w:sz w:val="28"/>
          <w:szCs w:val="28"/>
        </w:rPr>
        <w:t>（五）竞赛开始：由首席评委宣布比赛开始，各参赛队开始比赛。</w:t>
      </w:r>
    </w:p>
    <w:p>
      <w:pPr>
        <w:ind w:firstLine="560" w:firstLineChars="200"/>
        <w:rPr>
          <w:rFonts w:ascii="仿宋" w:hAnsi="仿宋" w:eastAsia="仿宋" w:cs="仿宋"/>
          <w:sz w:val="28"/>
          <w:szCs w:val="28"/>
        </w:rPr>
      </w:pPr>
      <w:r>
        <w:rPr>
          <w:rFonts w:hint="eastAsia" w:ascii="仿宋" w:hAnsi="仿宋" w:eastAsia="仿宋" w:cs="仿宋"/>
          <w:sz w:val="28"/>
          <w:szCs w:val="28"/>
        </w:rPr>
        <w:t>（六）竞赛过程：竞赛过程中，如遇设备或软件等故障，参赛选手应及时举手示意。现场评委、技术人员等应及时予以解决。确因计算机软件或硬件故障，致使操作无法继续的，经现场工作人员同意，予以启用备用计算机。如遇身体不适，参赛选手应及时示意，现场医务人员按应急预案救治。如有其它问题，参赛选手应举手示意评委，评委应按照有关要求及时予以答疑。</w:t>
      </w:r>
    </w:p>
    <w:p>
      <w:pPr>
        <w:ind w:firstLine="560" w:firstLineChars="200"/>
        <w:rPr>
          <w:rFonts w:ascii="仿宋" w:hAnsi="仿宋" w:eastAsia="仿宋"/>
          <w:sz w:val="28"/>
          <w:szCs w:val="28"/>
        </w:rPr>
      </w:pPr>
      <w:r>
        <w:rPr>
          <w:rFonts w:hint="eastAsia" w:ascii="仿宋" w:hAnsi="仿宋" w:eastAsia="仿宋"/>
          <w:sz w:val="28"/>
          <w:szCs w:val="28"/>
        </w:rPr>
        <w:t>（七）比赛结果：最终成绩单，经评委组各评委签字、大赛组委会审核后进行公布。公布时间为2小时。成绩公布无异议后，本赛项成绩正式生效。</w:t>
      </w:r>
    </w:p>
    <w:p>
      <w:pPr>
        <w:ind w:firstLine="560" w:firstLineChars="200"/>
        <w:rPr>
          <w:rFonts w:ascii="仿宋" w:hAnsi="仿宋" w:eastAsia="仿宋"/>
          <w:sz w:val="28"/>
          <w:szCs w:val="28"/>
        </w:rPr>
      </w:pPr>
      <w:r>
        <w:rPr>
          <w:rFonts w:hint="eastAsia" w:ascii="仿宋" w:hAnsi="仿宋" w:eastAsia="仿宋"/>
          <w:sz w:val="28"/>
          <w:szCs w:val="28"/>
        </w:rPr>
        <w:t>（八）申诉与仲裁：本赛项在比赛过程中若出现有失公正或有关人员违规等现象，参赛队领队可在该轮比赛结束后 30分钟内向大赛组委会提出书面申诉。口头报告或其他人员要求解释处理，组委会不予受理。</w:t>
      </w:r>
    </w:p>
    <w:p>
      <w:pPr>
        <w:ind w:firstLine="560" w:firstLineChars="200"/>
        <w:rPr>
          <w:rFonts w:ascii="仿宋" w:hAnsi="仿宋" w:eastAsia="仿宋"/>
          <w:sz w:val="28"/>
          <w:szCs w:val="28"/>
        </w:rPr>
      </w:pPr>
      <w:r>
        <w:rPr>
          <w:rFonts w:hint="eastAsia" w:ascii="仿宋" w:hAnsi="仿宋" w:eastAsia="仿宋"/>
          <w:sz w:val="28"/>
          <w:szCs w:val="28"/>
        </w:rPr>
        <w:t>书面申诉应对申诉事件的现象、发生时间、涉及人员、申诉依据等进行充分、实事求是的叙述，并由领队亲笔签名。非书面申诉不予受理。</w:t>
      </w:r>
    </w:p>
    <w:p>
      <w:pPr>
        <w:ind w:firstLine="560" w:firstLineChars="200"/>
        <w:rPr>
          <w:rFonts w:ascii="仿宋" w:hAnsi="仿宋" w:eastAsia="仿宋"/>
          <w:sz w:val="28"/>
          <w:szCs w:val="28"/>
        </w:rPr>
      </w:pPr>
      <w:r>
        <w:rPr>
          <w:rFonts w:hint="eastAsia" w:ascii="仿宋" w:hAnsi="仿宋" w:eastAsia="仿宋"/>
          <w:sz w:val="28"/>
          <w:szCs w:val="28"/>
        </w:rPr>
        <w:t>大赛组委会在接到申诉报告后的 2 小时内组织评委团队复议，并及时将复议结果告知申诉方。申诉方可随时提出放弃申诉。</w:t>
      </w:r>
    </w:p>
    <w:p>
      <w:pPr>
        <w:numPr>
          <w:ilvl w:val="0"/>
          <w:numId w:val="1"/>
        </w:numPr>
        <w:ind w:firstLine="602" w:firstLineChars="200"/>
        <w:rPr>
          <w:rFonts w:ascii="仿宋" w:hAnsi="仿宋" w:eastAsia="仿宋"/>
          <w:b/>
          <w:bCs/>
          <w:sz w:val="30"/>
          <w:szCs w:val="30"/>
        </w:rPr>
      </w:pPr>
      <w:r>
        <w:rPr>
          <w:rFonts w:hint="eastAsia" w:ascii="仿宋" w:hAnsi="仿宋" w:eastAsia="仿宋"/>
          <w:b/>
          <w:bCs/>
          <w:sz w:val="30"/>
          <w:szCs w:val="30"/>
        </w:rPr>
        <w:t>竞赛环境</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（一）竞赛场地。竞赛现场设置竞赛区、裁判区、服务区、技术支持区。现场保证良好的采光、照明和通风；提供稳定的水、电和供电应急设备。同时提供所有指导教师休息室1间。</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（二）竞赛设备。所有竞赛设备由赛项执委会负责提供和保障，竞赛区按照参赛队数量准备比赛所需的软硬件平台，为参赛队提供标准竞赛设备。</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（三）竞赛工位。竞赛现场各个工作区配备单相220V/2A以上交流电源。每个比赛工位上标明编号。每个比赛间配有工作台，用于摆放计算机和其它调试设备工具等。配备4把工作椅（凳）。</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（四）服务区提供医疗等服务保障。</w:t>
      </w:r>
    </w:p>
    <w:p>
      <w:pPr>
        <w:spacing w:line="560" w:lineRule="exact"/>
        <w:ind w:firstLine="570"/>
        <w:rPr>
          <w:rFonts w:ascii="仿宋" w:hAnsi="仿宋" w:eastAsia="仿宋" w:cs="仿宋"/>
          <w:b/>
          <w:bCs/>
          <w:sz w:val="28"/>
          <w:szCs w:val="28"/>
        </w:rPr>
      </w:pPr>
      <w:r>
        <w:rPr>
          <w:rFonts w:hint="eastAsia" w:ascii="仿宋" w:hAnsi="仿宋" w:eastAsia="仿宋" w:cs="仿宋"/>
          <w:sz w:val="28"/>
          <w:szCs w:val="28"/>
        </w:rPr>
        <w:t>（五）赛场开放。竞赛环境依据竞赛需求设计，在竞赛不被干扰的前提下赛场面向媒体、行业专家开放。允许媒体、行业专家在规定的时段内沿指定路线进行现场参观。</w:t>
      </w:r>
    </w:p>
    <w:p>
      <w:pPr>
        <w:spacing w:line="560" w:lineRule="exact"/>
        <w:ind w:firstLine="602" w:firstLineChars="200"/>
        <w:rPr>
          <w:rFonts w:ascii="仿宋" w:hAnsi="仿宋" w:eastAsia="仿宋"/>
          <w:b/>
          <w:bCs/>
          <w:sz w:val="30"/>
          <w:szCs w:val="30"/>
        </w:rPr>
      </w:pPr>
      <w:r>
        <w:rPr>
          <w:rFonts w:hint="eastAsia" w:ascii="仿宋" w:hAnsi="仿宋" w:eastAsia="仿宋"/>
          <w:b/>
          <w:bCs/>
          <w:sz w:val="30"/>
          <w:szCs w:val="30"/>
        </w:rPr>
        <w:t>九、技术平台</w:t>
      </w:r>
    </w:p>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每个竞赛工位设备明细见表4。</w:t>
      </w: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560" w:firstLineChars="200"/>
        <w:rPr>
          <w:rFonts w:ascii="仿宋" w:hAnsi="仿宋" w:eastAsia="仿宋" w:cs="仿宋"/>
          <w:sz w:val="28"/>
          <w:szCs w:val="28"/>
        </w:rPr>
      </w:pPr>
    </w:p>
    <w:p>
      <w:pPr>
        <w:pBdr>
          <w:top w:val="none" w:color="000000" w:sz="0" w:space="0"/>
          <w:left w:val="none" w:color="000000" w:sz="0" w:space="0"/>
          <w:bottom w:val="none" w:color="000000" w:sz="0" w:space="0"/>
          <w:right w:val="none" w:color="000000" w:sz="0" w:space="0"/>
        </w:pBdr>
        <w:autoSpaceDN w:val="0"/>
        <w:adjustRightInd w:val="0"/>
        <w:snapToGrid w:val="0"/>
        <w:spacing w:line="560" w:lineRule="exact"/>
        <w:ind w:firstLine="562" w:firstLineChars="200"/>
        <w:jc w:val="center"/>
        <w:rPr>
          <w:rFonts w:ascii="仿宋" w:hAnsi="仿宋" w:eastAsia="仿宋" w:cs="仿宋"/>
          <w:b/>
          <w:sz w:val="28"/>
          <w:szCs w:val="28"/>
        </w:rPr>
      </w:pPr>
      <w:r>
        <w:rPr>
          <w:rFonts w:hint="eastAsia" w:ascii="仿宋" w:hAnsi="仿宋" w:eastAsia="仿宋" w:cs="仿宋"/>
          <w:b/>
          <w:sz w:val="28"/>
          <w:szCs w:val="28"/>
        </w:rPr>
        <w:t>表4  竞赛工位设备</w:t>
      </w:r>
    </w:p>
    <w:tbl>
      <w:tblPr>
        <w:tblStyle w:val="11"/>
        <w:tblW w:w="68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774"/>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blHeader/>
          <w:jc w:val="center"/>
        </w:trPr>
        <w:tc>
          <w:tcPr>
            <w:tcW w:w="1057"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2774" w:type="dxa"/>
          </w:tcPr>
          <w:p>
            <w:pPr>
              <w:jc w:val="center"/>
              <w:rPr>
                <w:rFonts w:ascii="仿宋" w:hAnsi="仿宋" w:eastAsia="仿宋" w:cs="仿宋"/>
                <w:b/>
                <w:bCs/>
                <w:sz w:val="24"/>
                <w:szCs w:val="24"/>
              </w:rPr>
            </w:pPr>
            <w:r>
              <w:rPr>
                <w:rFonts w:hint="eastAsia" w:ascii="仿宋" w:hAnsi="仿宋" w:eastAsia="仿宋" w:cs="仿宋"/>
                <w:b/>
                <w:bCs/>
                <w:sz w:val="24"/>
                <w:szCs w:val="24"/>
              </w:rPr>
              <w:t>品名</w:t>
            </w:r>
          </w:p>
        </w:tc>
        <w:tc>
          <w:tcPr>
            <w:tcW w:w="3013"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设备数量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57" w:type="dxa"/>
            <w:vAlign w:val="center"/>
          </w:tcPr>
          <w:p>
            <w:pPr>
              <w:jc w:val="center"/>
              <w:rPr>
                <w:rFonts w:ascii="仿宋" w:hAnsi="仿宋" w:eastAsia="仿宋" w:cs="仿宋"/>
                <w:sz w:val="24"/>
                <w:szCs w:val="24"/>
              </w:rPr>
            </w:pPr>
            <w:r>
              <w:rPr>
                <w:rFonts w:hint="eastAsia" w:ascii="仿宋" w:hAnsi="仿宋" w:eastAsia="仿宋" w:cs="仿宋"/>
                <w:sz w:val="24"/>
                <w:szCs w:val="24"/>
              </w:rPr>
              <w:t>1</w:t>
            </w:r>
          </w:p>
        </w:tc>
        <w:tc>
          <w:tcPr>
            <w:tcW w:w="2774" w:type="dxa"/>
            <w:vAlign w:val="center"/>
          </w:tcPr>
          <w:p>
            <w:pPr>
              <w:snapToGrid w:val="0"/>
              <w:jc w:val="center"/>
              <w:rPr>
                <w:rFonts w:ascii="仿宋" w:hAnsi="仿宋" w:eastAsia="仿宋" w:cs="仿宋"/>
                <w:sz w:val="24"/>
                <w:szCs w:val="24"/>
              </w:rPr>
            </w:pPr>
            <w:r>
              <w:rPr>
                <w:rFonts w:hint="eastAsia" w:ascii="仿宋" w:hAnsi="仿宋" w:eastAsia="仿宋" w:cs="仿宋"/>
                <w:sz w:val="24"/>
                <w:szCs w:val="24"/>
              </w:rPr>
              <w:t>城市轨道交通运营服务</w:t>
            </w:r>
          </w:p>
        </w:tc>
        <w:tc>
          <w:tcPr>
            <w:tcW w:w="3013" w:type="dxa"/>
            <w:vAlign w:val="center"/>
          </w:tcPr>
          <w:p>
            <w:pPr>
              <w:jc w:val="center"/>
              <w:rPr>
                <w:rFonts w:ascii="仿宋" w:hAnsi="仿宋" w:eastAsia="仿宋" w:cs="仿宋"/>
                <w:sz w:val="24"/>
                <w:szCs w:val="24"/>
              </w:rPr>
            </w:pPr>
            <w:r>
              <w:rPr>
                <w:rFonts w:hint="eastAsia" w:ascii="仿宋" w:hAnsi="仿宋" w:eastAsia="仿宋" w:cs="仿宋"/>
                <w:sz w:val="24"/>
                <w:szCs w:val="24"/>
              </w:rPr>
              <w:t>计算机3台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057" w:type="dxa"/>
            <w:vAlign w:val="center"/>
          </w:tcPr>
          <w:p>
            <w:pPr>
              <w:jc w:val="center"/>
              <w:rPr>
                <w:rFonts w:ascii="仿宋" w:hAnsi="仿宋" w:eastAsia="仿宋" w:cs="仿宋"/>
                <w:sz w:val="24"/>
                <w:szCs w:val="24"/>
              </w:rPr>
            </w:pPr>
            <w:r>
              <w:rPr>
                <w:rFonts w:hint="eastAsia" w:ascii="仿宋" w:hAnsi="仿宋" w:eastAsia="仿宋" w:cs="仿宋"/>
                <w:sz w:val="24"/>
                <w:szCs w:val="24"/>
              </w:rPr>
              <w:t>2</w:t>
            </w:r>
          </w:p>
        </w:tc>
        <w:tc>
          <w:tcPr>
            <w:tcW w:w="2774" w:type="dxa"/>
            <w:vAlign w:val="center"/>
          </w:tcPr>
          <w:p>
            <w:pPr>
              <w:jc w:val="center"/>
              <w:rPr>
                <w:rFonts w:ascii="仿宋" w:hAnsi="仿宋" w:eastAsia="仿宋" w:cs="仿宋"/>
                <w:sz w:val="24"/>
                <w:szCs w:val="24"/>
              </w:rPr>
            </w:pPr>
            <w:r>
              <w:rPr>
                <w:rFonts w:hint="eastAsia" w:ascii="仿宋" w:hAnsi="仿宋" w:eastAsia="仿宋" w:cs="仿宋"/>
                <w:sz w:val="24"/>
                <w:szCs w:val="24"/>
              </w:rPr>
              <w:t>道岔、转辙机、手摇道岔工具</w:t>
            </w:r>
          </w:p>
        </w:tc>
        <w:tc>
          <w:tcPr>
            <w:tcW w:w="3013" w:type="dxa"/>
            <w:vAlign w:val="center"/>
          </w:tcPr>
          <w:p>
            <w:pPr>
              <w:jc w:val="center"/>
              <w:rPr>
                <w:rFonts w:ascii="仿宋" w:hAnsi="仿宋" w:eastAsia="仿宋" w:cs="仿宋"/>
                <w:sz w:val="24"/>
                <w:szCs w:val="24"/>
              </w:rPr>
            </w:pPr>
            <w:r>
              <w:rPr>
                <w:rFonts w:hint="eastAsia" w:ascii="仿宋" w:hAnsi="仿宋" w:eastAsia="仿宋" w:cs="仿宋"/>
                <w:sz w:val="24"/>
                <w:szCs w:val="24"/>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057" w:type="dxa"/>
            <w:vAlign w:val="center"/>
          </w:tcPr>
          <w:p>
            <w:pPr>
              <w:jc w:val="center"/>
              <w:rPr>
                <w:rFonts w:ascii="仿宋" w:hAnsi="仿宋" w:eastAsia="仿宋" w:cs="仿宋"/>
                <w:sz w:val="24"/>
                <w:szCs w:val="24"/>
              </w:rPr>
            </w:pPr>
            <w:r>
              <w:rPr>
                <w:rFonts w:hint="eastAsia" w:ascii="仿宋" w:hAnsi="仿宋" w:eastAsia="仿宋" w:cs="仿宋"/>
                <w:sz w:val="24"/>
                <w:szCs w:val="24"/>
              </w:rPr>
              <w:t>3</w:t>
            </w:r>
          </w:p>
        </w:tc>
        <w:tc>
          <w:tcPr>
            <w:tcW w:w="2774" w:type="dxa"/>
            <w:vAlign w:val="center"/>
          </w:tcPr>
          <w:p>
            <w:pPr>
              <w:jc w:val="center"/>
              <w:rPr>
                <w:rFonts w:ascii="仿宋" w:hAnsi="仿宋" w:eastAsia="仿宋" w:cs="仿宋"/>
                <w:sz w:val="24"/>
                <w:szCs w:val="24"/>
              </w:rPr>
            </w:pPr>
            <w:r>
              <w:rPr>
                <w:rFonts w:hint="eastAsia" w:ascii="仿宋" w:hAnsi="仿宋" w:eastAsia="仿宋" w:cs="仿宋"/>
                <w:sz w:val="24"/>
                <w:szCs w:val="24"/>
              </w:rPr>
              <w:t>轨道交通运营管理模拟实训演练平台</w:t>
            </w:r>
          </w:p>
        </w:tc>
        <w:tc>
          <w:tcPr>
            <w:tcW w:w="3013" w:type="dxa"/>
            <w:vAlign w:val="center"/>
          </w:tcPr>
          <w:p>
            <w:pPr>
              <w:jc w:val="center"/>
              <w:rPr>
                <w:rFonts w:ascii="仿宋" w:hAnsi="仿宋" w:eastAsia="仿宋" w:cs="仿宋"/>
                <w:sz w:val="24"/>
                <w:szCs w:val="24"/>
              </w:rPr>
            </w:pPr>
            <w:r>
              <w:rPr>
                <w:rFonts w:hint="eastAsia" w:ascii="仿宋" w:hAnsi="仿宋" w:eastAsia="仿宋" w:cs="仿宋"/>
                <w:sz w:val="24"/>
                <w:szCs w:val="24"/>
              </w:rPr>
              <w:t>平台1台，椅子4把</w:t>
            </w:r>
          </w:p>
        </w:tc>
      </w:tr>
    </w:tbl>
    <w:p>
      <w:pPr>
        <w:pBdr>
          <w:top w:val="none" w:color="000000" w:sz="0" w:space="0"/>
          <w:left w:val="none" w:color="000000" w:sz="0" w:space="0"/>
          <w:bottom w:val="none" w:color="000000" w:sz="0" w:space="0"/>
          <w:right w:val="none" w:color="000000" w:sz="0" w:space="0"/>
        </w:pBdr>
        <w:autoSpaceDN w:val="0"/>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模块一设备：城市轨道交通运营服务虚拟仿真平台，平台能支持客运服务多岗位站内漫游功能，并且支撑正常和非正常情况下的行车组织，票务设备现场处置，站台门故障等突发事件应急处置等任务的标准化操作考核功能，且必须要包含十五个以上站客运服务岗位典型场景。</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drawing>
          <wp:anchor distT="0" distB="0" distL="114300" distR="114300" simplePos="0" relativeHeight="251660288" behindDoc="0" locked="0" layoutInCell="1" allowOverlap="1">
            <wp:simplePos x="0" y="0"/>
            <wp:positionH relativeFrom="column">
              <wp:posOffset>235585</wp:posOffset>
            </wp:positionH>
            <wp:positionV relativeFrom="paragraph">
              <wp:posOffset>76835</wp:posOffset>
            </wp:positionV>
            <wp:extent cx="5273040" cy="2931160"/>
            <wp:effectExtent l="0" t="0" r="3810" b="2540"/>
            <wp:wrapSquare wrapText="bothSides"/>
            <wp:docPr id="2" name="图片 2" descr="1698735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8735186(1)"/>
                    <pic:cNvPicPr>
                      <a:picLocks noChangeAspect="1"/>
                    </pic:cNvPicPr>
                  </pic:nvPicPr>
                  <pic:blipFill>
                    <a:blip r:embed="rId6"/>
                    <a:stretch>
                      <a:fillRect/>
                    </a:stretch>
                  </pic:blipFill>
                  <pic:spPr>
                    <a:xfrm>
                      <a:off x="0" y="0"/>
                      <a:ext cx="5273040" cy="2931160"/>
                    </a:xfrm>
                    <a:prstGeom prst="rect">
                      <a:avLst/>
                    </a:prstGeom>
                  </pic:spPr>
                </pic:pic>
              </a:graphicData>
            </a:graphic>
          </wp:anchor>
        </w:drawing>
      </w:r>
    </w:p>
    <w:p>
      <w:pPr>
        <w:spacing w:line="560" w:lineRule="exact"/>
        <w:ind w:firstLine="600"/>
        <w:rPr>
          <w:rFonts w:ascii="仿宋" w:hAnsi="仿宋" w:eastAsia="仿宋" w:cs="仿宋"/>
          <w:sz w:val="28"/>
          <w:szCs w:val="28"/>
        </w:rPr>
      </w:pPr>
      <w:r>
        <w:rPr>
          <w:rFonts w:hint="eastAsia" w:ascii="仿宋" w:hAnsi="仿宋" w:eastAsia="仿宋" w:cs="仿宋"/>
          <w:sz w:val="28"/>
          <w:szCs w:val="28"/>
        </w:rPr>
        <w:t>模块二设备：应包含道岔、转辙机、手摇道岔工具，如</w:t>
      </w:r>
      <w:r>
        <w:rPr>
          <w:rFonts w:ascii="仿宋" w:hAnsi="仿宋" w:eastAsia="仿宋" w:cs="仿宋"/>
          <w:sz w:val="28"/>
          <w:szCs w:val="28"/>
        </w:rPr>
        <w:t>对讲机、信号灯、钩锁器及扳手、钩锁器锁及钥匙、手摇柄、反光背心、转辙机钥匙</w:t>
      </w:r>
      <w:r>
        <w:rPr>
          <w:rFonts w:hint="eastAsia" w:ascii="仿宋" w:hAnsi="仿宋" w:eastAsia="仿宋" w:cs="仿宋"/>
          <w:sz w:val="28"/>
          <w:szCs w:val="28"/>
        </w:rPr>
        <w:t>等。</w:t>
      </w:r>
    </w:p>
    <w:p>
      <w:pPr>
        <w:spacing w:line="560" w:lineRule="exact"/>
        <w:ind w:firstLine="600"/>
        <w:rPr>
          <w:rFonts w:ascii="仿宋_GB2312" w:hAnsi="仿宋_GB2312" w:eastAsia="仿宋_GB2312" w:cs="仿宋_GB2312"/>
          <w:sz w:val="30"/>
          <w:szCs w:val="30"/>
        </w:rPr>
      </w:pPr>
      <w:r>
        <w:rPr>
          <w:rFonts w:hint="eastAsia" w:ascii="仿宋_GB2312" w:hAnsi="仿宋_GB2312" w:eastAsia="仿宋_GB2312" w:cs="仿宋_GB2312"/>
          <w:sz w:val="30"/>
          <w:szCs w:val="30"/>
        </w:rPr>
        <w:drawing>
          <wp:anchor distT="0" distB="0" distL="114300" distR="114300" simplePos="0" relativeHeight="251661312" behindDoc="0" locked="0" layoutInCell="1" allowOverlap="1">
            <wp:simplePos x="0" y="0"/>
            <wp:positionH relativeFrom="column">
              <wp:posOffset>123825</wp:posOffset>
            </wp:positionH>
            <wp:positionV relativeFrom="paragraph">
              <wp:posOffset>228600</wp:posOffset>
            </wp:positionV>
            <wp:extent cx="5268595" cy="3950335"/>
            <wp:effectExtent l="0" t="0" r="8255" b="12065"/>
            <wp:wrapSquare wrapText="bothSides"/>
            <wp:docPr id="4" name="图片 4" descr="0a189e7b42e1650be651c5a6122f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189e7b42e1650be651c5a6122f747"/>
                    <pic:cNvPicPr>
                      <a:picLocks noChangeAspect="1"/>
                    </pic:cNvPicPr>
                  </pic:nvPicPr>
                  <pic:blipFill>
                    <a:blip r:embed="rId7"/>
                    <a:stretch>
                      <a:fillRect/>
                    </a:stretch>
                  </pic:blipFill>
                  <pic:spPr>
                    <a:xfrm>
                      <a:off x="0" y="0"/>
                      <a:ext cx="5268595" cy="3950335"/>
                    </a:xfrm>
                    <a:prstGeom prst="rect">
                      <a:avLst/>
                    </a:prstGeom>
                  </pic:spPr>
                </pic:pic>
              </a:graphicData>
            </a:graphic>
          </wp:anchor>
        </w:drawing>
      </w:r>
    </w:p>
    <w:p>
      <w:pPr>
        <w:spacing w:line="560" w:lineRule="exact"/>
        <w:ind w:firstLine="600"/>
        <w:rPr>
          <w:rFonts w:ascii="仿宋" w:hAnsi="仿宋" w:eastAsia="仿宋" w:cs="仿宋"/>
          <w:sz w:val="28"/>
          <w:szCs w:val="28"/>
        </w:rPr>
      </w:pPr>
      <w:r>
        <w:rPr>
          <w:rFonts w:hint="eastAsia" w:ascii="仿宋" w:hAnsi="仿宋" w:eastAsia="仿宋" w:cs="仿宋"/>
          <w:sz w:val="28"/>
          <w:szCs w:val="28"/>
        </w:rPr>
        <w:t>模块3设备：轨道交通运营管理模拟实训演练平台，平台主要由值班站长操作台、综控员操作台、票务员操作台、安全员操作台及对应中央电子沙盘组成。当进行客运组织工作时，电子沙盘显示车站内环境及发生的突发事件，运营管理每个岗位对应岗位操作台进行各项操作来模拟实现应急预案处置，系统给予简洁明了的表示和语音提示。搭建轨道交通运营管理综合实训演练平台，实现城市轨道交通运营管理中各岗位协调配合对突发事件的运行处置等客运组织工作，让学生通过实践来掌握运营管理客运组织各岗位协作能力，更深入了解整个轨道交通运营系统。实训平台针对每一项功能都配备了详细的实验指导，并将先进的教学设计融入产品配套资料，帮助学生更好的掌握相关技术。</w:t>
      </w:r>
    </w:p>
    <w:p>
      <w:pPr>
        <w:ind w:firstLine="600" w:firstLineChars="200"/>
        <w:jc w:val="center"/>
        <w:rPr>
          <w:rFonts w:ascii="仿宋" w:hAnsi="仿宋" w:eastAsia="仿宋"/>
          <w:sz w:val="30"/>
          <w:szCs w:val="30"/>
        </w:rPr>
      </w:pPr>
    </w:p>
    <w:p>
      <w:pPr>
        <w:ind w:firstLine="420" w:firstLineChars="200"/>
        <w:jc w:val="center"/>
        <w:rPr>
          <w:rFonts w:ascii="仿宋" w:hAnsi="仿宋" w:eastAsia="仿宋"/>
          <w:sz w:val="30"/>
          <w:szCs w:val="30"/>
        </w:rPr>
      </w:pPr>
      <w:r>
        <w:drawing>
          <wp:inline distT="0" distB="0" distL="0" distR="0">
            <wp:extent cx="4438650" cy="3333750"/>
            <wp:effectExtent l="0" t="0" r="0" b="0"/>
            <wp:docPr id="3" name="图片 3" descr="C:\Users\geng\Desktop\运营管理平台.png运营管理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geng\Desktop\运营管理平台.png运营管理平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438650" cy="3333750"/>
                    </a:xfrm>
                    <a:prstGeom prst="rect">
                      <a:avLst/>
                    </a:prstGeom>
                    <a:noFill/>
                    <a:ln>
                      <a:noFill/>
                    </a:ln>
                  </pic:spPr>
                </pic:pic>
              </a:graphicData>
            </a:graphic>
          </wp:inline>
        </w:drawing>
      </w:r>
    </w:p>
    <w:p>
      <w:pPr>
        <w:ind w:firstLine="600" w:firstLineChars="200"/>
        <w:jc w:val="center"/>
        <w:rPr>
          <w:rFonts w:ascii="仿宋" w:hAnsi="仿宋" w:eastAsia="仿宋"/>
          <w:sz w:val="30"/>
          <w:szCs w:val="30"/>
        </w:rPr>
      </w:pPr>
      <w:r>
        <w:rPr>
          <w:rFonts w:hint="eastAsia" w:ascii="仿宋" w:hAnsi="仿宋" w:eastAsia="仿宋"/>
          <w:sz w:val="30"/>
          <w:szCs w:val="30"/>
        </w:rPr>
        <w:t>技术平台</w:t>
      </w:r>
    </w:p>
    <w:p>
      <w:pPr>
        <w:pStyle w:val="4"/>
        <w:spacing w:before="38" w:line="357" w:lineRule="auto"/>
        <w:ind w:right="110" w:firstLine="560" w:firstLineChars="200"/>
        <w:jc w:val="left"/>
        <w:rPr>
          <w:rFonts w:cs="仿宋"/>
        </w:rPr>
      </w:pPr>
      <w:bookmarkStart w:id="0" w:name="_GoBack"/>
      <w:bookmarkEnd w:id="0"/>
    </w:p>
    <w:sectPr>
      <w:footerReference r:id="rId3" w:type="default"/>
      <w:pgSz w:w="11906" w:h="16838"/>
      <w:pgMar w:top="1440" w:right="1800" w:bottom="1440" w:left="1800" w:header="851" w:footer="992" w:gutter="0"/>
      <w:pgBorders w:offsetFrom="page">
        <w:bottom w:val="single" w:color="auto" w:sz="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r>
      <w:pict>
        <v:shape id="_x0000_s2049" o:spid="_x0000_s2049" o:spt="202" type="#_x0000_t202" style="position:absolute;left:0pt;margin-left:294.65pt;margin-top:779.55pt;height:11pt;width:13.15pt;mso-position-horizontal-relative:page;mso-position-vertical-relative:page;z-index:-251657216;mso-width-relative:page;mso-height-relative:page;" filled="f" stroked="f" coordsize="21600,21600" o:gfxdata="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ynFF2gAAAA0BAAAPAAAAAAAAAAEAIAAAACIAAABkcnMvZG93bnJldi54bWxQSwEC&#10;FAAUAAAACACHTuJArmBuYLkBAABzAwAADgAAAAAAAAABACAAAAApAQAAZHJzL2Uyb0RvYy54bWxQ&#10;SwUGAAAAAAYABgBZAQAAVAUAAAAA&#10;">
          <v:path/>
          <v:fill on="f" focussize="0,0"/>
          <v:stroke on="f" joinstyle="miter"/>
          <v:imagedata o:title=""/>
          <o:lock v:ext="edit"/>
          <v:textbox inset="0mm,0mm,0mm,0mm">
            <w:txbxContent>
              <w:p>
                <w:pPr>
                  <w:spacing w:line="203" w:lineRule="exact"/>
                  <w:ind w:left="40"/>
                  <w:jc w:val="left"/>
                  <w:rPr>
                    <w:rFonts w:ascii="Calibri" w:hAnsi="Calibri" w:eastAsia="Calibri" w:cs="Calibri"/>
                    <w:sz w:val="18"/>
                    <w:szCs w:val="18"/>
                  </w:rPr>
                </w:pPr>
                <w:r>
                  <w:fldChar w:fldCharType="begin"/>
                </w:r>
                <w:r>
                  <w:rPr>
                    <w:rFonts w:ascii="Calibri"/>
                    <w:sz w:val="18"/>
                  </w:rPr>
                  <w:instrText xml:space="preserve"> PAGE </w:instrText>
                </w:r>
                <w:r>
                  <w:fldChar w:fldCharType="separate"/>
                </w:r>
                <w:r>
                  <w:rPr>
                    <w:rFonts w:ascii="Calibri"/>
                    <w:sz w:val="18"/>
                  </w:rPr>
                  <w:t>3</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E6D815"/>
    <w:multiLevelType w:val="singleLevel"/>
    <w:tmpl w:val="D9E6D815"/>
    <w:lvl w:ilvl="0" w:tentative="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WJmMjk2OGU2YTVlMjA2ODI1NWU1YjZmMTZjZDhhNzIifQ=="/>
  </w:docVars>
  <w:rsids>
    <w:rsidRoot w:val="005839DE"/>
    <w:rsid w:val="00015D87"/>
    <w:rsid w:val="00020931"/>
    <w:rsid w:val="00046810"/>
    <w:rsid w:val="000707BF"/>
    <w:rsid w:val="00084621"/>
    <w:rsid w:val="00104A5E"/>
    <w:rsid w:val="00110D57"/>
    <w:rsid w:val="001F6AAF"/>
    <w:rsid w:val="002C455F"/>
    <w:rsid w:val="002D0344"/>
    <w:rsid w:val="003376B2"/>
    <w:rsid w:val="00361C4A"/>
    <w:rsid w:val="004D59BD"/>
    <w:rsid w:val="005839DE"/>
    <w:rsid w:val="005B27BF"/>
    <w:rsid w:val="00625328"/>
    <w:rsid w:val="0062574A"/>
    <w:rsid w:val="00650F6B"/>
    <w:rsid w:val="00703643"/>
    <w:rsid w:val="00707E57"/>
    <w:rsid w:val="00731006"/>
    <w:rsid w:val="00731D25"/>
    <w:rsid w:val="00752596"/>
    <w:rsid w:val="007A4DE2"/>
    <w:rsid w:val="007A64B2"/>
    <w:rsid w:val="007E77F1"/>
    <w:rsid w:val="0085276D"/>
    <w:rsid w:val="009343E8"/>
    <w:rsid w:val="009902F5"/>
    <w:rsid w:val="009E5E74"/>
    <w:rsid w:val="00A47AD7"/>
    <w:rsid w:val="00A54E1E"/>
    <w:rsid w:val="00A61587"/>
    <w:rsid w:val="00B06109"/>
    <w:rsid w:val="00B5307E"/>
    <w:rsid w:val="00BD30D4"/>
    <w:rsid w:val="00BD7D86"/>
    <w:rsid w:val="00C6144D"/>
    <w:rsid w:val="00C749B8"/>
    <w:rsid w:val="00C848B7"/>
    <w:rsid w:val="00C92AAD"/>
    <w:rsid w:val="00CC54D6"/>
    <w:rsid w:val="00E10350"/>
    <w:rsid w:val="00F02F6D"/>
    <w:rsid w:val="00F37570"/>
    <w:rsid w:val="00FD0B70"/>
    <w:rsid w:val="013D35F0"/>
    <w:rsid w:val="01B70CC2"/>
    <w:rsid w:val="01EE7D69"/>
    <w:rsid w:val="02126C59"/>
    <w:rsid w:val="02E420C2"/>
    <w:rsid w:val="03B31109"/>
    <w:rsid w:val="03C84489"/>
    <w:rsid w:val="040354C1"/>
    <w:rsid w:val="041A5316"/>
    <w:rsid w:val="04981C31"/>
    <w:rsid w:val="05280493"/>
    <w:rsid w:val="05425018"/>
    <w:rsid w:val="076E6FB9"/>
    <w:rsid w:val="09B3564B"/>
    <w:rsid w:val="0C542D5E"/>
    <w:rsid w:val="0C6A7427"/>
    <w:rsid w:val="0CB3217A"/>
    <w:rsid w:val="0CCA7585"/>
    <w:rsid w:val="0D5448F5"/>
    <w:rsid w:val="0DE1618E"/>
    <w:rsid w:val="0E994836"/>
    <w:rsid w:val="0F17628D"/>
    <w:rsid w:val="0F1F7603"/>
    <w:rsid w:val="0F4C41C0"/>
    <w:rsid w:val="11916802"/>
    <w:rsid w:val="122049AD"/>
    <w:rsid w:val="1276171B"/>
    <w:rsid w:val="133E5C19"/>
    <w:rsid w:val="1376180B"/>
    <w:rsid w:val="13B62550"/>
    <w:rsid w:val="13BD743A"/>
    <w:rsid w:val="13CC673D"/>
    <w:rsid w:val="14AB7BDB"/>
    <w:rsid w:val="14F6342B"/>
    <w:rsid w:val="16E90A32"/>
    <w:rsid w:val="17123C78"/>
    <w:rsid w:val="17B21D21"/>
    <w:rsid w:val="17F66064"/>
    <w:rsid w:val="18F0734A"/>
    <w:rsid w:val="1936112E"/>
    <w:rsid w:val="1ACD4D09"/>
    <w:rsid w:val="1B446693"/>
    <w:rsid w:val="1C7D1E5D"/>
    <w:rsid w:val="1CDF78F8"/>
    <w:rsid w:val="1D306ECF"/>
    <w:rsid w:val="1D61177E"/>
    <w:rsid w:val="1E087505"/>
    <w:rsid w:val="1F263077"/>
    <w:rsid w:val="1F684E15"/>
    <w:rsid w:val="22405DEE"/>
    <w:rsid w:val="23152312"/>
    <w:rsid w:val="23B4763A"/>
    <w:rsid w:val="23FC5D5D"/>
    <w:rsid w:val="24782AD4"/>
    <w:rsid w:val="24ED38F7"/>
    <w:rsid w:val="26C3146C"/>
    <w:rsid w:val="27901611"/>
    <w:rsid w:val="28253052"/>
    <w:rsid w:val="28676A4F"/>
    <w:rsid w:val="28F2772E"/>
    <w:rsid w:val="29627060"/>
    <w:rsid w:val="29F11FBD"/>
    <w:rsid w:val="2AC46EA9"/>
    <w:rsid w:val="2B7A1BD5"/>
    <w:rsid w:val="2BE62F18"/>
    <w:rsid w:val="2F0E4046"/>
    <w:rsid w:val="2F4048C2"/>
    <w:rsid w:val="2FE808CB"/>
    <w:rsid w:val="307C040D"/>
    <w:rsid w:val="30BB51B2"/>
    <w:rsid w:val="30CF2F03"/>
    <w:rsid w:val="310808A2"/>
    <w:rsid w:val="31991CD6"/>
    <w:rsid w:val="328540FB"/>
    <w:rsid w:val="33490C06"/>
    <w:rsid w:val="33873B20"/>
    <w:rsid w:val="362F3D70"/>
    <w:rsid w:val="36445538"/>
    <w:rsid w:val="36CA5847"/>
    <w:rsid w:val="376D3247"/>
    <w:rsid w:val="37EB6F48"/>
    <w:rsid w:val="380219ED"/>
    <w:rsid w:val="383D6C98"/>
    <w:rsid w:val="392E56E8"/>
    <w:rsid w:val="39A24859"/>
    <w:rsid w:val="3AB05274"/>
    <w:rsid w:val="3B005CDB"/>
    <w:rsid w:val="3B556027"/>
    <w:rsid w:val="3BB7597A"/>
    <w:rsid w:val="3BF11FA7"/>
    <w:rsid w:val="3C92402B"/>
    <w:rsid w:val="3CA824D4"/>
    <w:rsid w:val="3D581DFE"/>
    <w:rsid w:val="3E11623B"/>
    <w:rsid w:val="3EEF5257"/>
    <w:rsid w:val="41352649"/>
    <w:rsid w:val="4182744A"/>
    <w:rsid w:val="41983493"/>
    <w:rsid w:val="42E67AA7"/>
    <w:rsid w:val="44130181"/>
    <w:rsid w:val="462C02CC"/>
    <w:rsid w:val="469F45FA"/>
    <w:rsid w:val="46A61E2C"/>
    <w:rsid w:val="46E14C12"/>
    <w:rsid w:val="485F1117"/>
    <w:rsid w:val="486C36F3"/>
    <w:rsid w:val="49940EDE"/>
    <w:rsid w:val="4A482C19"/>
    <w:rsid w:val="4B226BBF"/>
    <w:rsid w:val="4B6E6C91"/>
    <w:rsid w:val="4C567E51"/>
    <w:rsid w:val="4C5834D2"/>
    <w:rsid w:val="4D5C34C2"/>
    <w:rsid w:val="4D6D5452"/>
    <w:rsid w:val="4E216AAC"/>
    <w:rsid w:val="4E4D3ECE"/>
    <w:rsid w:val="4F0C663F"/>
    <w:rsid w:val="4F5A17EF"/>
    <w:rsid w:val="4FB64B8F"/>
    <w:rsid w:val="50B42925"/>
    <w:rsid w:val="513E1E52"/>
    <w:rsid w:val="5144680B"/>
    <w:rsid w:val="51DC608C"/>
    <w:rsid w:val="52AA2CA4"/>
    <w:rsid w:val="52B96A43"/>
    <w:rsid w:val="52BF3858"/>
    <w:rsid w:val="555E1841"/>
    <w:rsid w:val="55674F5D"/>
    <w:rsid w:val="56C02851"/>
    <w:rsid w:val="57A53612"/>
    <w:rsid w:val="597C6E97"/>
    <w:rsid w:val="598740E7"/>
    <w:rsid w:val="59C61A47"/>
    <w:rsid w:val="59FE22A1"/>
    <w:rsid w:val="5A9A7E6C"/>
    <w:rsid w:val="5AA825AD"/>
    <w:rsid w:val="5ABE1FDA"/>
    <w:rsid w:val="5B174492"/>
    <w:rsid w:val="5B944276"/>
    <w:rsid w:val="5BB36E75"/>
    <w:rsid w:val="5BD930EE"/>
    <w:rsid w:val="5C950836"/>
    <w:rsid w:val="5CE645BB"/>
    <w:rsid w:val="5E6A137D"/>
    <w:rsid w:val="5F1F0C4B"/>
    <w:rsid w:val="5FCE4878"/>
    <w:rsid w:val="61B825BC"/>
    <w:rsid w:val="620253A1"/>
    <w:rsid w:val="624B60EB"/>
    <w:rsid w:val="62884A99"/>
    <w:rsid w:val="62A750BA"/>
    <w:rsid w:val="638766EA"/>
    <w:rsid w:val="63E61422"/>
    <w:rsid w:val="65B05E62"/>
    <w:rsid w:val="65EE7C46"/>
    <w:rsid w:val="663422D2"/>
    <w:rsid w:val="66593C0B"/>
    <w:rsid w:val="667E2026"/>
    <w:rsid w:val="684D7130"/>
    <w:rsid w:val="684E59A6"/>
    <w:rsid w:val="6A611A43"/>
    <w:rsid w:val="6B453112"/>
    <w:rsid w:val="6B4D74FD"/>
    <w:rsid w:val="6C4038DA"/>
    <w:rsid w:val="6CC2734D"/>
    <w:rsid w:val="6DD67814"/>
    <w:rsid w:val="6E3A408D"/>
    <w:rsid w:val="6EAA27ED"/>
    <w:rsid w:val="6FB97C2B"/>
    <w:rsid w:val="70113A6A"/>
    <w:rsid w:val="70716758"/>
    <w:rsid w:val="70AE3508"/>
    <w:rsid w:val="71A87053"/>
    <w:rsid w:val="722F2E1B"/>
    <w:rsid w:val="742A1FB6"/>
    <w:rsid w:val="74753C51"/>
    <w:rsid w:val="747E6B86"/>
    <w:rsid w:val="7493587C"/>
    <w:rsid w:val="749E3893"/>
    <w:rsid w:val="74E90FB2"/>
    <w:rsid w:val="74F33BDF"/>
    <w:rsid w:val="75215851"/>
    <w:rsid w:val="760E61E4"/>
    <w:rsid w:val="76391AC6"/>
    <w:rsid w:val="77DA0571"/>
    <w:rsid w:val="78AE2DCF"/>
    <w:rsid w:val="79536ACE"/>
    <w:rsid w:val="7A00776F"/>
    <w:rsid w:val="7A515E8B"/>
    <w:rsid w:val="7AC202DC"/>
    <w:rsid w:val="7BD816D2"/>
    <w:rsid w:val="7BF36B62"/>
    <w:rsid w:val="7C111B3F"/>
    <w:rsid w:val="7CB77BE8"/>
    <w:rsid w:val="7CE1288C"/>
    <w:rsid w:val="7D8C4BD1"/>
    <w:rsid w:val="7E1F5511"/>
    <w:rsid w:val="7EE048E8"/>
    <w:rsid w:val="7F990A0F"/>
    <w:rsid w:val="7FE1231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qFormat/>
    <w:uiPriority w:val="1"/>
    <w:pPr>
      <w:spacing w:before="37"/>
      <w:ind w:left="318"/>
      <w:outlineLvl w:val="3"/>
    </w:pPr>
    <w:rPr>
      <w:rFonts w:ascii="仿宋" w:hAnsi="仿宋" w:eastAsia="仿宋"/>
      <w:b/>
      <w:bCs/>
      <w:sz w:val="30"/>
      <w:szCs w:val="30"/>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qFormat/>
    <w:uiPriority w:val="1"/>
    <w:pPr>
      <w:spacing w:before="41"/>
      <w:ind w:left="118"/>
    </w:pPr>
    <w:rPr>
      <w:rFonts w:ascii="仿宋" w:hAnsi="仿宋" w:eastAsia="仿宋"/>
      <w:sz w:val="28"/>
      <w:szCs w:val="28"/>
    </w:rPr>
  </w:style>
  <w:style w:type="paragraph" w:styleId="5">
    <w:name w:val="Body Text Indent"/>
    <w:basedOn w:val="1"/>
    <w:link w:val="18"/>
    <w:qFormat/>
    <w:uiPriority w:val="0"/>
    <w:pPr>
      <w:spacing w:after="120"/>
      <w:ind w:left="420" w:leftChars="200"/>
    </w:pPr>
  </w:style>
  <w:style w:type="paragraph" w:styleId="6">
    <w:name w:val="Balloon Text"/>
    <w:basedOn w:val="1"/>
    <w:link w:val="17"/>
    <w:qFormat/>
    <w:uiPriority w:val="0"/>
    <w:rPr>
      <w:sz w:val="18"/>
      <w:szCs w:val="18"/>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5"/>
    <w:link w:val="19"/>
    <w:unhideWhenUsed/>
    <w:qFormat/>
    <w:uiPriority w:val="99"/>
    <w:pPr>
      <w:ind w:firstLine="420" w:firstLineChars="200"/>
    </w:pPr>
    <w:rPr>
      <w:rFonts w:ascii="Calibri" w:hAnsi="Calibri" w:eastAsia="宋体" w:cs="Times New Roman"/>
      <w:szCs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Table Paragraph"/>
    <w:basedOn w:val="1"/>
    <w:qFormat/>
    <w:uiPriority w:val="1"/>
  </w:style>
  <w:style w:type="character" w:customStyle="1" w:styleId="15">
    <w:name w:val="页眉 Char"/>
    <w:basedOn w:val="13"/>
    <w:link w:val="8"/>
    <w:qFormat/>
    <w:uiPriority w:val="0"/>
    <w:rPr>
      <w:rFonts w:asciiTheme="minorHAnsi" w:hAnsiTheme="minorHAnsi" w:eastAsiaTheme="minorEastAsia" w:cstheme="minorBidi"/>
      <w:kern w:val="2"/>
      <w:sz w:val="18"/>
      <w:szCs w:val="18"/>
    </w:rPr>
  </w:style>
  <w:style w:type="character" w:customStyle="1" w:styleId="16">
    <w:name w:val="页脚 Char"/>
    <w:basedOn w:val="13"/>
    <w:link w:val="7"/>
    <w:qFormat/>
    <w:uiPriority w:val="0"/>
    <w:rPr>
      <w:rFonts w:asciiTheme="minorHAnsi" w:hAnsiTheme="minorHAnsi" w:eastAsiaTheme="minorEastAsia" w:cstheme="minorBidi"/>
      <w:kern w:val="2"/>
      <w:sz w:val="18"/>
      <w:szCs w:val="18"/>
    </w:rPr>
  </w:style>
  <w:style w:type="character" w:customStyle="1" w:styleId="17">
    <w:name w:val="批注框文本 Char"/>
    <w:basedOn w:val="13"/>
    <w:link w:val="6"/>
    <w:qFormat/>
    <w:uiPriority w:val="0"/>
    <w:rPr>
      <w:rFonts w:asciiTheme="minorHAnsi" w:hAnsiTheme="minorHAnsi" w:eastAsiaTheme="minorEastAsia" w:cstheme="minorBidi"/>
      <w:kern w:val="2"/>
      <w:sz w:val="18"/>
      <w:szCs w:val="18"/>
    </w:rPr>
  </w:style>
  <w:style w:type="character" w:customStyle="1" w:styleId="18">
    <w:name w:val="正文文本缩进 Char"/>
    <w:basedOn w:val="13"/>
    <w:link w:val="5"/>
    <w:qFormat/>
    <w:uiPriority w:val="0"/>
    <w:rPr>
      <w:rFonts w:asciiTheme="minorHAnsi" w:hAnsiTheme="minorHAnsi" w:eastAsiaTheme="minorEastAsia" w:cstheme="minorBidi"/>
      <w:kern w:val="2"/>
      <w:sz w:val="21"/>
      <w:szCs w:val="22"/>
    </w:rPr>
  </w:style>
  <w:style w:type="character" w:customStyle="1" w:styleId="19">
    <w:name w:val="正文首行缩进 2 Char"/>
    <w:basedOn w:val="18"/>
    <w:link w:val="10"/>
    <w:qFormat/>
    <w:uiPriority w:val="99"/>
    <w:rPr>
      <w:rFonts w:ascii="Calibri" w:hAnsi="Calibri"/>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3046</Words>
  <Characters>3150</Characters>
  <Lines>23</Lines>
  <Paragraphs>6</Paragraphs>
  <TotalTime>4</TotalTime>
  <ScaleCrop>false</ScaleCrop>
  <LinksUpToDate>false</LinksUpToDate>
  <CharactersWithSpaces>3165</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2022-10-08T02:07:00Z</dcterms:created>
  <dc:creator>win</dc:creator>
  <cp:lastModifiedBy>Administrator</cp:lastModifiedBy>
  <dcterms:modified xsi:type="dcterms:W3CDTF">2024-11-25T03:30:10Z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ICV">
    <vt:lpwstr>87BCD8435CAC4538B0405A3430C4D81F_13</vt:lpwstr>
  </property>
</Properties>
</file>