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95E523">
      <w:pPr>
        <w:jc w:val="center"/>
        <w:rPr>
          <w:rFonts w:ascii="方正小标宋简体" w:hAnsi="方正小标宋简体" w:eastAsia="方正小标宋简体" w:cs="方正小标宋简体"/>
          <w:sz w:val="72"/>
          <w:szCs w:val="72"/>
        </w:rPr>
      </w:pPr>
    </w:p>
    <w:p w14:paraId="0D4D8D78">
      <w:pPr>
        <w:pStyle w:val="6"/>
      </w:pPr>
    </w:p>
    <w:p w14:paraId="0B18F0A6"/>
    <w:p w14:paraId="21FAF265">
      <w:pPr>
        <w:jc w:val="center"/>
        <w:rPr>
          <w:rFonts w:hint="eastAsia" w:ascii="方正小标宋简体" w:hAnsi="黑体" w:eastAsia="方正小标宋简体" w:cs="黑体"/>
          <w:sz w:val="56"/>
          <w:szCs w:val="56"/>
        </w:rPr>
      </w:pPr>
      <w:r>
        <w:rPr>
          <w:rFonts w:hint="eastAsia" w:ascii="方正小标宋简体" w:hAnsi="黑体" w:eastAsia="方正小标宋简体" w:cs="黑体"/>
          <w:sz w:val="56"/>
          <w:szCs w:val="56"/>
        </w:rPr>
        <w:t>202</w:t>
      </w:r>
      <w:r>
        <w:rPr>
          <w:rFonts w:hint="eastAsia" w:ascii="方正小标宋简体" w:hAnsi="黑体" w:eastAsia="方正小标宋简体" w:cs="黑体"/>
          <w:sz w:val="56"/>
          <w:szCs w:val="56"/>
          <w:lang w:val="en-US" w:eastAsia="zh-CN"/>
        </w:rPr>
        <w:t>5</w:t>
      </w:r>
      <w:r>
        <w:rPr>
          <w:rFonts w:hint="eastAsia" w:ascii="方正小标宋简体" w:hAnsi="黑体" w:eastAsia="方正小标宋简体" w:cs="黑体"/>
          <w:sz w:val="56"/>
          <w:szCs w:val="56"/>
        </w:rPr>
        <w:t>年河北省职业院校技能大赛</w:t>
      </w:r>
    </w:p>
    <w:p w14:paraId="4E8262BA">
      <w:pPr>
        <w:jc w:val="center"/>
        <w:rPr>
          <w:rFonts w:hint="eastAsia" w:ascii="方正小标宋简体" w:hAnsi="方正小标宋简体" w:eastAsia="方正小标宋简体" w:cs="方正小标宋简体"/>
          <w:sz w:val="56"/>
          <w:szCs w:val="56"/>
        </w:rPr>
      </w:pPr>
      <w:r>
        <w:rPr>
          <w:rFonts w:hint="eastAsia" w:ascii="方正小标宋简体" w:hAnsi="黑体" w:eastAsia="方正小标宋简体" w:cs="黑体"/>
          <w:sz w:val="56"/>
          <w:szCs w:val="56"/>
        </w:rPr>
        <w:t>中职组互联网营销赛项规程</w:t>
      </w:r>
    </w:p>
    <w:p w14:paraId="34D07D75">
      <w:pPr>
        <w:snapToGrid w:val="0"/>
        <w:spacing w:line="532" w:lineRule="atLeast"/>
        <w:jc w:val="center"/>
        <w:rPr>
          <w:rFonts w:ascii="Times New Roman" w:hAnsi="Times New Roman"/>
        </w:rPr>
      </w:pPr>
    </w:p>
    <w:p w14:paraId="748E0EDC">
      <w:pPr>
        <w:pStyle w:val="6"/>
      </w:pPr>
    </w:p>
    <w:p w14:paraId="21FC550A">
      <w:pPr>
        <w:snapToGrid w:val="0"/>
        <w:spacing w:line="243" w:lineRule="atLeast"/>
        <w:jc w:val="center"/>
        <w:rPr>
          <w:rFonts w:ascii="Times New Roman" w:hAnsi="Times New Roman"/>
        </w:rPr>
      </w:pPr>
    </w:p>
    <w:p w14:paraId="3D71CE42">
      <w:pPr>
        <w:snapToGrid w:val="0"/>
        <w:spacing w:line="243" w:lineRule="atLeast"/>
        <w:jc w:val="center"/>
        <w:rPr>
          <w:rFonts w:ascii="Times New Roman" w:hAnsi="Times New Roman"/>
        </w:rPr>
      </w:pPr>
    </w:p>
    <w:p w14:paraId="0ABCFC67">
      <w:pPr>
        <w:snapToGrid w:val="0"/>
        <w:spacing w:line="243" w:lineRule="atLeast"/>
        <w:jc w:val="center"/>
        <w:rPr>
          <w:rFonts w:ascii="Times New Roman" w:hAnsi="Times New Roman"/>
        </w:rPr>
      </w:pPr>
    </w:p>
    <w:p w14:paraId="440F518E">
      <w:pPr>
        <w:snapToGrid w:val="0"/>
        <w:spacing w:line="243" w:lineRule="atLeast"/>
        <w:jc w:val="center"/>
        <w:rPr>
          <w:rFonts w:ascii="Times New Roman" w:hAnsi="Times New Roman"/>
        </w:rPr>
      </w:pPr>
    </w:p>
    <w:p w14:paraId="6AB90D70">
      <w:pPr>
        <w:snapToGrid w:val="0"/>
        <w:spacing w:line="243" w:lineRule="atLeast"/>
        <w:jc w:val="center"/>
        <w:rPr>
          <w:rFonts w:ascii="Times New Roman" w:hAnsi="Times New Roman"/>
        </w:rPr>
      </w:pPr>
    </w:p>
    <w:p w14:paraId="05CAE9CF">
      <w:pPr>
        <w:snapToGrid w:val="0"/>
        <w:spacing w:line="243" w:lineRule="atLeast"/>
        <w:jc w:val="center"/>
        <w:rPr>
          <w:rFonts w:ascii="Times New Roman" w:hAnsi="Times New Roman"/>
        </w:rPr>
      </w:pPr>
    </w:p>
    <w:p w14:paraId="4685516F">
      <w:pPr>
        <w:snapToGrid w:val="0"/>
        <w:spacing w:line="243" w:lineRule="atLeast"/>
        <w:jc w:val="center"/>
        <w:rPr>
          <w:rFonts w:ascii="Times New Roman" w:hAnsi="Times New Roman"/>
        </w:rPr>
      </w:pPr>
    </w:p>
    <w:p w14:paraId="5AC8C6A9">
      <w:pPr>
        <w:snapToGrid w:val="0"/>
        <w:spacing w:line="243" w:lineRule="atLeast"/>
        <w:jc w:val="center"/>
        <w:rPr>
          <w:rFonts w:ascii="Times New Roman" w:hAnsi="Times New Roman"/>
        </w:rPr>
      </w:pPr>
    </w:p>
    <w:p w14:paraId="55046CF0">
      <w:pPr>
        <w:spacing w:line="800" w:lineRule="exact"/>
        <w:ind w:left="839"/>
        <w:rPr>
          <w:rFonts w:ascii="黑体" w:hAnsi="黑体" w:eastAsia="黑体" w:cs="黑体"/>
          <w:sz w:val="32"/>
          <w:u w:val="single"/>
        </w:rPr>
      </w:pPr>
      <w:r>
        <w:rPr>
          <w:rFonts w:hint="eastAsia" w:ascii="黑体" w:hAnsi="黑体" w:eastAsia="黑体" w:cs="黑体"/>
          <w:sz w:val="32"/>
        </w:rPr>
        <w:t>赛项名称：</w:t>
      </w:r>
      <w:r>
        <w:rPr>
          <w:rFonts w:hint="eastAsia" w:ascii="黑体" w:hAnsi="黑体" w:eastAsia="黑体" w:cs="黑体"/>
          <w:sz w:val="32"/>
          <w:u w:val="single"/>
        </w:rPr>
        <w:t xml:space="preserve">     互联网营销         </w:t>
      </w:r>
    </w:p>
    <w:p w14:paraId="38066371">
      <w:pPr>
        <w:spacing w:line="800" w:lineRule="exact"/>
        <w:ind w:left="839"/>
        <w:rPr>
          <w:rFonts w:ascii="黑体" w:hAnsi="黑体" w:eastAsia="黑体" w:cs="黑体"/>
          <w:sz w:val="32"/>
        </w:rPr>
      </w:pPr>
      <w:r>
        <w:rPr>
          <w:rFonts w:hint="eastAsia" w:ascii="黑体" w:hAnsi="黑体" w:eastAsia="黑体" w:cs="黑体"/>
          <w:sz w:val="32"/>
        </w:rPr>
        <w:t>英文名称：</w:t>
      </w:r>
      <w:r>
        <w:rPr>
          <w:rFonts w:hint="eastAsia" w:ascii="黑体" w:hAnsi="黑体" w:eastAsia="黑体" w:cs="黑体"/>
          <w:sz w:val="32"/>
          <w:u w:val="single"/>
        </w:rPr>
        <w:t xml:space="preserve">    Internet Marketing  </w:t>
      </w:r>
    </w:p>
    <w:p w14:paraId="7F6C9C82">
      <w:pPr>
        <w:spacing w:line="800" w:lineRule="exact"/>
        <w:ind w:left="839"/>
        <w:rPr>
          <w:rFonts w:ascii="黑体" w:hAnsi="黑体" w:eastAsia="黑体" w:cs="黑体"/>
          <w:sz w:val="32"/>
        </w:rPr>
      </w:pPr>
      <w:r>
        <w:rPr>
          <w:rFonts w:hint="eastAsia" w:ascii="黑体" w:hAnsi="黑体" w:eastAsia="黑体" w:cs="黑体"/>
          <w:sz w:val="32"/>
        </w:rPr>
        <w:t>赛项组别：</w:t>
      </w:r>
      <w:r>
        <w:rPr>
          <w:rFonts w:hint="eastAsia" w:ascii="黑体" w:hAnsi="黑体" w:eastAsia="黑体" w:cs="黑体"/>
          <w:sz w:val="32"/>
          <w:u w:val="single"/>
        </w:rPr>
        <w:t xml:space="preserve">        中职组          </w:t>
      </w:r>
    </w:p>
    <w:p w14:paraId="608B9871">
      <w:pPr>
        <w:jc w:val="center"/>
        <w:rPr>
          <w:rFonts w:ascii="Times New Roman" w:hAnsi="Times New Roman"/>
          <w:sz w:val="30"/>
        </w:rPr>
      </w:pPr>
    </w:p>
    <w:p w14:paraId="0C89BB91">
      <w:pPr>
        <w:jc w:val="center"/>
        <w:rPr>
          <w:rFonts w:ascii="Times New Roman" w:hAnsi="Times New Roman"/>
          <w:sz w:val="30"/>
        </w:rPr>
      </w:pPr>
    </w:p>
    <w:p w14:paraId="3A802659">
      <w:pPr>
        <w:widowControl/>
        <w:jc w:val="left"/>
        <w:rPr>
          <w:rFonts w:ascii="黑体" w:eastAsia="黑体"/>
          <w:sz w:val="32"/>
        </w:rPr>
        <w:sectPr>
          <w:footerReference r:id="rId3" w:type="default"/>
          <w:pgSz w:w="11906" w:h="16838"/>
          <w:pgMar w:top="1240" w:right="1800" w:bottom="1318" w:left="1800" w:header="851" w:footer="992" w:gutter="0"/>
          <w:cols w:space="720" w:num="1"/>
          <w:docGrid w:type="lines" w:linePitch="312" w:charSpace="0"/>
        </w:sectPr>
      </w:pPr>
    </w:p>
    <w:p w14:paraId="49EE6894">
      <w:pPr>
        <w:pStyle w:val="2"/>
        <w:rPr>
          <w:b w:val="0"/>
          <w:bCs/>
        </w:rPr>
      </w:pPr>
      <w:r>
        <w:rPr>
          <w:rFonts w:hint="eastAsia"/>
          <w:b w:val="0"/>
          <w:bCs/>
        </w:rPr>
        <w:t>一、竞赛目标</w:t>
      </w:r>
    </w:p>
    <w:p w14:paraId="16B22DD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坚持“以高水平赛事推动职业教育高质量发展”为主线，融入新思想、新理念，对接产业前沿技术和行业标准，以职业需求为导向，以实践能力培养为重点，深化产教融合、校企合作，推进“三教”改革，坚持以赛促教、以赛促学、以赛促改，引领中等职业院校专业建设与教学改革。赛项聚焦互联网营销中的数字营销推广、直播营销、新媒体营销，检验参赛选手的职业道德、职业素养和技术技能水平，充分发挥技能大赛对职业教育“树旗、导航、定标、催化”的作用，推动“岗课赛证”综合育人，展示职业教育改革成果与人才培养质量。</w:t>
      </w:r>
    </w:p>
    <w:p w14:paraId="5AB1C07B">
      <w:pPr>
        <w:pStyle w:val="2"/>
        <w:rPr>
          <w:b w:val="0"/>
          <w:bCs/>
        </w:rPr>
      </w:pPr>
      <w:r>
        <w:rPr>
          <w:rFonts w:hint="eastAsia"/>
          <w:b w:val="0"/>
          <w:bCs/>
        </w:rPr>
        <w:t>二、竞赛内容</w:t>
      </w:r>
    </w:p>
    <w:p w14:paraId="34AB20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（一）赛项整体内容介绍</w:t>
      </w:r>
    </w:p>
    <w:p w14:paraId="2148424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互联网营销是指在数字化信息平台上，运用网络的交互性与传播公信力，对企业产品进行多平台营销推广。比赛中对选手的技能要求主要包括：图文推广、视频推广、市场信息分析、直播规划、脚本策划、创建直播、直播装修、直播推广、直播售卖、直播互动、直播复盘、新媒体营销等。</w:t>
      </w:r>
    </w:p>
    <w:p w14:paraId="7B2530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（二）赛项模块详细内容介绍</w:t>
      </w:r>
    </w:p>
    <w:p w14:paraId="6FD95A8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本赛项主要包括数字营销推广、直播营销、新媒体营销三个模块，模块主要内容、比赛时长及分值如下表所示：</w:t>
      </w:r>
    </w:p>
    <w:p w14:paraId="6EC400C6">
      <w:pPr>
        <w:spacing w:line="360" w:lineRule="auto"/>
        <w:jc w:val="center"/>
        <w:rPr>
          <w:rFonts w:ascii="黑体" w:hAnsi="黑体" w:eastAsia="黑体" w:cs="黑体"/>
          <w:sz w:val="24"/>
        </w:rPr>
      </w:pPr>
      <w:r>
        <w:rPr>
          <w:rFonts w:hint="eastAsia" w:ascii="黑体" w:hAnsi="黑体" w:eastAsia="黑体" w:cs="黑体"/>
          <w:sz w:val="24"/>
        </w:rPr>
        <w:t>赛项模块主要内容、比赛时长及分值</w:t>
      </w:r>
    </w:p>
    <w:tbl>
      <w:tblPr>
        <w:tblStyle w:val="14"/>
        <w:tblW w:w="886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95"/>
        <w:gridCol w:w="1370"/>
        <w:gridCol w:w="3704"/>
        <w:gridCol w:w="1410"/>
        <w:gridCol w:w="990"/>
      </w:tblGrid>
      <w:tr w14:paraId="38E1E8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5" w:hRule="atLeast"/>
          <w:jc w:val="center"/>
        </w:trPr>
        <w:tc>
          <w:tcPr>
            <w:tcW w:w="2765" w:type="dxa"/>
            <w:gridSpan w:val="2"/>
            <w:vAlign w:val="bottom"/>
          </w:tcPr>
          <w:p w14:paraId="7A7BBA02">
            <w:pPr>
              <w:spacing w:line="360" w:lineRule="auto"/>
              <w:ind w:firstLine="482" w:firstLineChars="200"/>
              <w:jc w:val="center"/>
              <w:rPr>
                <w:rFonts w:ascii="仿宋_GB2312" w:hAnsi="仿宋_GB2312" w:eastAsia="仿宋_GB2312" w:cs="仿宋_GB2312"/>
                <w:b/>
                <w:bCs/>
                <w:sz w:val="24"/>
              </w:rPr>
            </w:pPr>
            <w:r>
              <w:rPr>
                <w:rFonts w:hint="eastAsia" w:ascii="仿宋_GB2312" w:hAnsi="仿宋_GB2312" w:eastAsia="仿宋_GB2312" w:cs="仿宋_GB2312"/>
                <w:b/>
                <w:bCs/>
                <w:sz w:val="24"/>
              </w:rPr>
              <w:t>模块</w:t>
            </w:r>
          </w:p>
        </w:tc>
        <w:tc>
          <w:tcPr>
            <w:tcW w:w="3704" w:type="dxa"/>
            <w:vAlign w:val="bottom"/>
          </w:tcPr>
          <w:p w14:paraId="57CBEC06">
            <w:pPr>
              <w:spacing w:line="360" w:lineRule="auto"/>
              <w:ind w:firstLine="482" w:firstLineChars="200"/>
              <w:jc w:val="center"/>
              <w:rPr>
                <w:rFonts w:ascii="仿宋_GB2312" w:hAnsi="仿宋_GB2312" w:eastAsia="仿宋_GB2312" w:cs="仿宋_GB2312"/>
                <w:b/>
                <w:bCs/>
                <w:sz w:val="24"/>
              </w:rPr>
            </w:pPr>
            <w:r>
              <w:rPr>
                <w:rFonts w:hint="eastAsia" w:ascii="仿宋_GB2312" w:hAnsi="仿宋_GB2312" w:eastAsia="仿宋_GB2312" w:cs="仿宋_GB2312"/>
                <w:b/>
                <w:bCs/>
                <w:sz w:val="24"/>
              </w:rPr>
              <w:t>主要内容</w:t>
            </w:r>
          </w:p>
        </w:tc>
        <w:tc>
          <w:tcPr>
            <w:tcW w:w="1410" w:type="dxa"/>
            <w:vAlign w:val="bottom"/>
          </w:tcPr>
          <w:p w14:paraId="47FF5E19">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比赛时长</w:t>
            </w:r>
          </w:p>
        </w:tc>
        <w:tc>
          <w:tcPr>
            <w:tcW w:w="990" w:type="dxa"/>
            <w:vAlign w:val="bottom"/>
          </w:tcPr>
          <w:p w14:paraId="30388DD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w:t>
            </w:r>
          </w:p>
        </w:tc>
      </w:tr>
      <w:tr w14:paraId="70A2B6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68" w:hRule="atLeast"/>
          <w:jc w:val="center"/>
        </w:trPr>
        <w:tc>
          <w:tcPr>
            <w:tcW w:w="1395" w:type="dxa"/>
            <w:vAlign w:val="center"/>
          </w:tcPr>
          <w:p w14:paraId="50218C6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模块一</w:t>
            </w:r>
          </w:p>
        </w:tc>
        <w:tc>
          <w:tcPr>
            <w:tcW w:w="1370" w:type="dxa"/>
            <w:vAlign w:val="center"/>
          </w:tcPr>
          <w:p w14:paraId="141FDF3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数字营销推广</w:t>
            </w:r>
          </w:p>
        </w:tc>
        <w:tc>
          <w:tcPr>
            <w:tcW w:w="3704" w:type="dxa"/>
            <w:vAlign w:val="center"/>
          </w:tcPr>
          <w:p w14:paraId="4720418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给定的背景资料，分析图文内容和视频内容，确定目标受众群体，通过人群标签圈定目标受众，以付费推广方式获得图文、视频在不同广告位置的强势展现机会，增加展现量和点击量，将信息传递给目标受众，促进商业价值变现。</w:t>
            </w:r>
          </w:p>
        </w:tc>
        <w:tc>
          <w:tcPr>
            <w:tcW w:w="1410" w:type="dxa"/>
            <w:vAlign w:val="center"/>
          </w:tcPr>
          <w:p w14:paraId="545A2B0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120分钟</w:t>
            </w:r>
          </w:p>
        </w:tc>
        <w:tc>
          <w:tcPr>
            <w:tcW w:w="990" w:type="dxa"/>
            <w:vAlign w:val="center"/>
          </w:tcPr>
          <w:p w14:paraId="1C36074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30分</w:t>
            </w:r>
          </w:p>
        </w:tc>
      </w:tr>
      <w:tr w14:paraId="18216A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9" w:hRule="atLeast"/>
          <w:jc w:val="center"/>
        </w:trPr>
        <w:tc>
          <w:tcPr>
            <w:tcW w:w="1395" w:type="dxa"/>
            <w:vAlign w:val="center"/>
          </w:tcPr>
          <w:p w14:paraId="658C42C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模块二</w:t>
            </w:r>
          </w:p>
        </w:tc>
        <w:tc>
          <w:tcPr>
            <w:tcW w:w="1370" w:type="dxa"/>
            <w:vAlign w:val="center"/>
          </w:tcPr>
          <w:p w14:paraId="670D0E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直播营销</w:t>
            </w:r>
          </w:p>
        </w:tc>
        <w:tc>
          <w:tcPr>
            <w:tcW w:w="3704" w:type="dxa"/>
            <w:vAlign w:val="center"/>
          </w:tcPr>
          <w:p w14:paraId="1F05534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市场流量大盘和历史销售数据、商品资料等内容，在给定的资金范围内，策划并执行一场直播，完成市场信息分析、直播规划、脚本策划、创建直播、直播装修、直播推广、直播复盘等过程，并根据背景介绍以及商品资料，策划一场10分钟的直播，通过直播APP完成两款商品的直播演示。</w:t>
            </w:r>
          </w:p>
        </w:tc>
        <w:tc>
          <w:tcPr>
            <w:tcW w:w="1410" w:type="dxa"/>
            <w:vAlign w:val="center"/>
          </w:tcPr>
          <w:p w14:paraId="41B7E47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180分钟</w:t>
            </w:r>
          </w:p>
        </w:tc>
        <w:tc>
          <w:tcPr>
            <w:tcW w:w="990" w:type="dxa"/>
            <w:vAlign w:val="center"/>
          </w:tcPr>
          <w:p w14:paraId="4397602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40分</w:t>
            </w:r>
          </w:p>
        </w:tc>
      </w:tr>
      <w:tr w14:paraId="35007C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2" w:hRule="atLeast"/>
          <w:jc w:val="center"/>
        </w:trPr>
        <w:tc>
          <w:tcPr>
            <w:tcW w:w="1395" w:type="dxa"/>
            <w:vAlign w:val="center"/>
          </w:tcPr>
          <w:p w14:paraId="4C2B7E7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模块三</w:t>
            </w:r>
          </w:p>
        </w:tc>
        <w:tc>
          <w:tcPr>
            <w:tcW w:w="1370" w:type="dxa"/>
            <w:vAlign w:val="center"/>
          </w:tcPr>
          <w:p w14:paraId="59523A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新媒体营销</w:t>
            </w:r>
          </w:p>
        </w:tc>
        <w:tc>
          <w:tcPr>
            <w:tcW w:w="3704" w:type="dxa"/>
            <w:vAlign w:val="center"/>
          </w:tcPr>
          <w:p w14:paraId="5C76C46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企业背景，结合特定的营销节点氛围，遵循营销活动策划实施原则与方法，面向目标受众，借助新媒体文案编辑工具，制作一篇图文并茂的宣传文案，需包含标题、正文、封面等内容，能够实现品牌宣传、产品推广的目的。</w:t>
            </w:r>
          </w:p>
        </w:tc>
        <w:tc>
          <w:tcPr>
            <w:tcW w:w="1410" w:type="dxa"/>
            <w:vAlign w:val="center"/>
          </w:tcPr>
          <w:p w14:paraId="460CC02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90分钟</w:t>
            </w:r>
          </w:p>
        </w:tc>
        <w:tc>
          <w:tcPr>
            <w:tcW w:w="990" w:type="dxa"/>
            <w:vAlign w:val="center"/>
          </w:tcPr>
          <w:p w14:paraId="7B68B40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30分</w:t>
            </w:r>
          </w:p>
        </w:tc>
      </w:tr>
    </w:tbl>
    <w:p w14:paraId="180EF817">
      <w:pPr>
        <w:pStyle w:val="2"/>
        <w:rPr>
          <w:b w:val="0"/>
          <w:bCs/>
        </w:rPr>
      </w:pPr>
      <w:r>
        <w:rPr>
          <w:rFonts w:hint="eastAsia"/>
          <w:b w:val="0"/>
          <w:bCs/>
        </w:rPr>
        <w:t>三、</w:t>
      </w:r>
      <w:r>
        <w:rPr>
          <w:b w:val="0"/>
          <w:bCs/>
        </w:rPr>
        <w:t>竞赛方式</w:t>
      </w:r>
    </w:p>
    <w:p w14:paraId="0E068D4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（一）竞赛形式</w:t>
      </w:r>
    </w:p>
    <w:p w14:paraId="00CB353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本赛项竞赛形式为线下比赛。</w:t>
      </w:r>
    </w:p>
    <w:p w14:paraId="6AAC510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（二）组队方式</w:t>
      </w:r>
    </w:p>
    <w:p w14:paraId="3085D988">
      <w:pPr>
        <w:spacing w:line="360" w:lineRule="auto"/>
        <w:ind w:firstLine="560" w:firstLineChars="200"/>
      </w:pPr>
      <w:r>
        <w:rPr>
          <w:rFonts w:hint="eastAsia" w:ascii="仿宋_GB2312" w:hAnsi="仿宋_GB2312" w:eastAsia="仿宋_GB2312" w:cs="仿宋_GB2312"/>
          <w:sz w:val="28"/>
          <w:szCs w:val="28"/>
        </w:rPr>
        <w:t>本赛项为师生同赛。以院校为单位组队参赛，不得跨校组队，同一学校报名参赛队不超过1支，每队4名选手，其中2名教师选手、2名学生选手。教师选手须为本校专职教师，学生选手须为中等职业学校全日制在籍学生（以报名时学籍信息为准）或五年制高职学生一至三年级（含三年级）学生。</w:t>
      </w:r>
    </w:p>
    <w:p w14:paraId="11B397D3">
      <w:pPr>
        <w:pStyle w:val="2"/>
        <w:rPr>
          <w:b w:val="0"/>
          <w:bCs/>
        </w:rPr>
      </w:pPr>
      <w:r>
        <w:rPr>
          <w:rFonts w:hint="eastAsia"/>
          <w:b w:val="0"/>
          <w:bCs/>
        </w:rPr>
        <w:t>四、竞赛流程</w:t>
      </w:r>
    </w:p>
    <w:p w14:paraId="373346A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表 竞赛日程、比赛场次、竞技过程安排</w:t>
      </w:r>
    </w:p>
    <w:tbl>
      <w:tblPr>
        <w:tblStyle w:val="13"/>
        <w:tblpPr w:leftFromText="180" w:rightFromText="180" w:vertAnchor="text" w:horzAnchor="page" w:tblpXSpec="center" w:tblpY="218"/>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711"/>
        <w:gridCol w:w="2923"/>
        <w:gridCol w:w="2708"/>
      </w:tblGrid>
      <w:tr w14:paraId="2F19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Align w:val="center"/>
          </w:tcPr>
          <w:p w14:paraId="439910F3">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日期</w:t>
            </w:r>
          </w:p>
        </w:tc>
        <w:tc>
          <w:tcPr>
            <w:tcW w:w="1004" w:type="pct"/>
            <w:vAlign w:val="center"/>
          </w:tcPr>
          <w:p w14:paraId="64D15FC1">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时间</w:t>
            </w:r>
          </w:p>
        </w:tc>
        <w:tc>
          <w:tcPr>
            <w:tcW w:w="1715" w:type="pct"/>
            <w:vAlign w:val="center"/>
          </w:tcPr>
          <w:p w14:paraId="5C07C2BD">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事项</w:t>
            </w:r>
          </w:p>
        </w:tc>
        <w:tc>
          <w:tcPr>
            <w:tcW w:w="1589" w:type="pct"/>
            <w:vAlign w:val="center"/>
          </w:tcPr>
          <w:p w14:paraId="6CE6B7BA">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参加人员</w:t>
            </w:r>
          </w:p>
        </w:tc>
      </w:tr>
      <w:tr w14:paraId="62B8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restart"/>
            <w:vAlign w:val="center"/>
          </w:tcPr>
          <w:p w14:paraId="70A6CF62">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报到日</w:t>
            </w:r>
          </w:p>
        </w:tc>
        <w:tc>
          <w:tcPr>
            <w:tcW w:w="1004" w:type="pct"/>
            <w:vAlign w:val="center"/>
          </w:tcPr>
          <w:p w14:paraId="668FC939">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08:00～14:30</w:t>
            </w:r>
          </w:p>
        </w:tc>
        <w:tc>
          <w:tcPr>
            <w:tcW w:w="1715" w:type="pct"/>
            <w:vAlign w:val="center"/>
          </w:tcPr>
          <w:p w14:paraId="24B62151">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参赛队报到、领取资料</w:t>
            </w:r>
          </w:p>
        </w:tc>
        <w:tc>
          <w:tcPr>
            <w:tcW w:w="1589" w:type="pct"/>
            <w:vAlign w:val="center"/>
          </w:tcPr>
          <w:p w14:paraId="1A199C3F">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各参赛队</w:t>
            </w:r>
          </w:p>
        </w:tc>
      </w:tr>
      <w:tr w14:paraId="16AD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41DFA261">
            <w:pPr>
              <w:snapToGrid w:val="0"/>
              <w:jc w:val="center"/>
              <w:rPr>
                <w:rFonts w:ascii="仿宋_GB2312" w:hAnsi="仿宋_GB2312" w:eastAsia="仿宋_GB2312" w:cs="仿宋_GB2312"/>
                <w:snapToGrid w:val="0"/>
                <w:color w:val="000000"/>
                <w:kern w:val="0"/>
                <w:sz w:val="24"/>
              </w:rPr>
            </w:pPr>
          </w:p>
        </w:tc>
        <w:tc>
          <w:tcPr>
            <w:tcW w:w="1004" w:type="pct"/>
            <w:vAlign w:val="center"/>
          </w:tcPr>
          <w:p w14:paraId="094B5383">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15:00～16:00</w:t>
            </w:r>
          </w:p>
        </w:tc>
        <w:tc>
          <w:tcPr>
            <w:tcW w:w="1715" w:type="pct"/>
            <w:vAlign w:val="center"/>
          </w:tcPr>
          <w:p w14:paraId="3BBD579A">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领队会议</w:t>
            </w:r>
          </w:p>
        </w:tc>
        <w:tc>
          <w:tcPr>
            <w:tcW w:w="1589" w:type="pct"/>
            <w:vAlign w:val="center"/>
          </w:tcPr>
          <w:p w14:paraId="77C2C51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各参赛队领队</w:t>
            </w:r>
          </w:p>
        </w:tc>
      </w:tr>
      <w:tr w14:paraId="77CB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3292D640">
            <w:pPr>
              <w:snapToGrid w:val="0"/>
              <w:jc w:val="center"/>
              <w:rPr>
                <w:rFonts w:ascii="仿宋_GB2312" w:hAnsi="仿宋_GB2312" w:eastAsia="仿宋_GB2312" w:cs="仿宋_GB2312"/>
                <w:snapToGrid w:val="0"/>
                <w:color w:val="000000"/>
                <w:kern w:val="0"/>
                <w:sz w:val="24"/>
              </w:rPr>
            </w:pPr>
          </w:p>
        </w:tc>
        <w:tc>
          <w:tcPr>
            <w:tcW w:w="1004" w:type="pct"/>
            <w:vAlign w:val="center"/>
          </w:tcPr>
          <w:p w14:paraId="1EC0DEC9">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16:00～16:30</w:t>
            </w:r>
          </w:p>
        </w:tc>
        <w:tc>
          <w:tcPr>
            <w:tcW w:w="1715" w:type="pct"/>
            <w:vAlign w:val="center"/>
          </w:tcPr>
          <w:p w14:paraId="42519CD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熟悉赛场</w:t>
            </w:r>
          </w:p>
        </w:tc>
        <w:tc>
          <w:tcPr>
            <w:tcW w:w="1589" w:type="pct"/>
            <w:vAlign w:val="center"/>
          </w:tcPr>
          <w:p w14:paraId="5F591E06">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技术人员、各参赛队</w:t>
            </w:r>
          </w:p>
        </w:tc>
      </w:tr>
      <w:tr w14:paraId="5E2A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restart"/>
            <w:vAlign w:val="center"/>
          </w:tcPr>
          <w:p w14:paraId="3A680381">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竞赛日</w:t>
            </w:r>
          </w:p>
        </w:tc>
        <w:tc>
          <w:tcPr>
            <w:tcW w:w="1004" w:type="pct"/>
            <w:vAlign w:val="center"/>
          </w:tcPr>
          <w:p w14:paraId="51F897CF">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8:00～8:20</w:t>
            </w:r>
          </w:p>
        </w:tc>
        <w:tc>
          <w:tcPr>
            <w:tcW w:w="1715" w:type="pct"/>
            <w:vAlign w:val="center"/>
          </w:tcPr>
          <w:p w14:paraId="0F35B036">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大赛检录进场</w:t>
            </w:r>
          </w:p>
          <w:p w14:paraId="213524DC">
            <w:pPr>
              <w:snapToGrid w:val="0"/>
              <w:jc w:val="center"/>
              <w:rPr>
                <w:rFonts w:ascii="仿宋_GB2312" w:hAnsi="仿宋_GB2312" w:eastAsia="仿宋_GB2312" w:cs="仿宋_GB2312"/>
                <w:snapToGrid w:val="0"/>
                <w:color w:val="000000"/>
                <w:spacing w:val="-20"/>
                <w:kern w:val="0"/>
                <w:sz w:val="24"/>
              </w:rPr>
            </w:pPr>
            <w:r>
              <w:rPr>
                <w:rFonts w:hint="eastAsia" w:ascii="仿宋_GB2312" w:hAnsi="仿宋_GB2312" w:eastAsia="仿宋_GB2312" w:cs="仿宋_GB2312"/>
                <w:snapToGrid w:val="0"/>
                <w:color w:val="000000"/>
                <w:spacing w:val="-20"/>
                <w:kern w:val="0"/>
                <w:sz w:val="24"/>
              </w:rPr>
              <w:t>第一次抽签加密</w:t>
            </w:r>
          </w:p>
        </w:tc>
        <w:tc>
          <w:tcPr>
            <w:tcW w:w="1589" w:type="pct"/>
            <w:vAlign w:val="center"/>
          </w:tcPr>
          <w:p w14:paraId="4919AB7C">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参赛选手、加密裁判</w:t>
            </w:r>
          </w:p>
        </w:tc>
      </w:tr>
      <w:tr w14:paraId="636A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23FE0933">
            <w:pPr>
              <w:snapToGrid w:val="0"/>
              <w:jc w:val="center"/>
              <w:rPr>
                <w:rFonts w:ascii="仿宋_GB2312" w:hAnsi="仿宋_GB2312" w:eastAsia="仿宋_GB2312" w:cs="仿宋_GB2312"/>
                <w:snapToGrid w:val="0"/>
                <w:color w:val="000000"/>
                <w:kern w:val="0"/>
                <w:sz w:val="24"/>
              </w:rPr>
            </w:pPr>
          </w:p>
        </w:tc>
        <w:tc>
          <w:tcPr>
            <w:tcW w:w="1004" w:type="pct"/>
            <w:vAlign w:val="center"/>
          </w:tcPr>
          <w:p w14:paraId="224C3E4B">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8:20～8:20</w:t>
            </w:r>
          </w:p>
        </w:tc>
        <w:tc>
          <w:tcPr>
            <w:tcW w:w="1715" w:type="pct"/>
            <w:vAlign w:val="center"/>
          </w:tcPr>
          <w:p w14:paraId="7AC46481">
            <w:pPr>
              <w:snapToGrid w:val="0"/>
              <w:jc w:val="center"/>
              <w:rPr>
                <w:rFonts w:ascii="仿宋_GB2312" w:hAnsi="仿宋_GB2312" w:eastAsia="仿宋_GB2312" w:cs="仿宋_GB2312"/>
                <w:snapToGrid w:val="0"/>
                <w:color w:val="000000"/>
                <w:spacing w:val="-23"/>
                <w:kern w:val="0"/>
                <w:sz w:val="24"/>
              </w:rPr>
            </w:pPr>
            <w:r>
              <w:rPr>
                <w:rFonts w:hint="eastAsia" w:ascii="仿宋_GB2312" w:hAnsi="仿宋_GB2312" w:eastAsia="仿宋_GB2312" w:cs="仿宋_GB2312"/>
                <w:snapToGrid w:val="0"/>
                <w:color w:val="000000"/>
                <w:spacing w:val="-23"/>
                <w:kern w:val="0"/>
                <w:sz w:val="24"/>
              </w:rPr>
              <w:t>第二次抽签加密</w:t>
            </w:r>
          </w:p>
        </w:tc>
        <w:tc>
          <w:tcPr>
            <w:tcW w:w="1589" w:type="pct"/>
            <w:vAlign w:val="center"/>
          </w:tcPr>
          <w:p w14:paraId="2F86E3AD">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参赛选手、加密裁判</w:t>
            </w:r>
          </w:p>
        </w:tc>
      </w:tr>
      <w:tr w14:paraId="7864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2216C401">
            <w:pPr>
              <w:snapToGrid w:val="0"/>
              <w:jc w:val="center"/>
              <w:rPr>
                <w:rFonts w:ascii="仿宋_GB2312" w:hAnsi="仿宋_GB2312" w:eastAsia="仿宋_GB2312" w:cs="仿宋_GB2312"/>
                <w:snapToGrid w:val="0"/>
                <w:color w:val="000000"/>
                <w:kern w:val="0"/>
                <w:sz w:val="24"/>
              </w:rPr>
            </w:pPr>
          </w:p>
        </w:tc>
        <w:tc>
          <w:tcPr>
            <w:tcW w:w="1004" w:type="pct"/>
            <w:vAlign w:val="center"/>
          </w:tcPr>
          <w:p w14:paraId="39ED9E0B">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9:00～12:00</w:t>
            </w:r>
          </w:p>
        </w:tc>
        <w:tc>
          <w:tcPr>
            <w:tcW w:w="1715" w:type="pct"/>
            <w:vAlign w:val="center"/>
          </w:tcPr>
          <w:p w14:paraId="4A3A4FB5">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直播营销</w:t>
            </w:r>
          </w:p>
        </w:tc>
        <w:tc>
          <w:tcPr>
            <w:tcW w:w="1589" w:type="pct"/>
            <w:vAlign w:val="center"/>
          </w:tcPr>
          <w:p w14:paraId="2E285DEB">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w:t>
            </w:r>
          </w:p>
        </w:tc>
      </w:tr>
      <w:tr w14:paraId="3195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475F3F14">
            <w:pPr>
              <w:snapToGrid w:val="0"/>
              <w:jc w:val="center"/>
              <w:rPr>
                <w:rFonts w:ascii="仿宋_GB2312" w:hAnsi="仿宋_GB2312" w:eastAsia="仿宋_GB2312" w:cs="仿宋_GB2312"/>
                <w:snapToGrid w:val="0"/>
                <w:color w:val="000000"/>
                <w:kern w:val="0"/>
                <w:sz w:val="24"/>
              </w:rPr>
            </w:pPr>
          </w:p>
        </w:tc>
        <w:tc>
          <w:tcPr>
            <w:tcW w:w="1004" w:type="pct"/>
            <w:vAlign w:val="center"/>
          </w:tcPr>
          <w:p w14:paraId="6802D1C5">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12:00～13:00</w:t>
            </w:r>
          </w:p>
        </w:tc>
        <w:tc>
          <w:tcPr>
            <w:tcW w:w="1715" w:type="pct"/>
            <w:vAlign w:val="center"/>
          </w:tcPr>
          <w:p w14:paraId="6D7A6711">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午餐</w:t>
            </w:r>
          </w:p>
        </w:tc>
        <w:tc>
          <w:tcPr>
            <w:tcW w:w="1589" w:type="pct"/>
            <w:vAlign w:val="center"/>
          </w:tcPr>
          <w:p w14:paraId="01F7DD33">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参赛选手、裁判、工作人员</w:t>
            </w:r>
          </w:p>
        </w:tc>
      </w:tr>
      <w:tr w14:paraId="0609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29F52BF5">
            <w:pPr>
              <w:snapToGrid w:val="0"/>
              <w:jc w:val="center"/>
              <w:rPr>
                <w:rFonts w:ascii="仿宋_GB2312" w:hAnsi="仿宋_GB2312" w:eastAsia="仿宋_GB2312" w:cs="仿宋_GB2312"/>
                <w:snapToGrid w:val="0"/>
                <w:color w:val="000000"/>
                <w:kern w:val="0"/>
                <w:sz w:val="24"/>
              </w:rPr>
            </w:pPr>
          </w:p>
        </w:tc>
        <w:tc>
          <w:tcPr>
            <w:tcW w:w="1004" w:type="pct"/>
            <w:vAlign w:val="center"/>
          </w:tcPr>
          <w:p w14:paraId="496AB0E8">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13:00～14:30</w:t>
            </w:r>
          </w:p>
        </w:tc>
        <w:tc>
          <w:tcPr>
            <w:tcW w:w="1715" w:type="pct"/>
            <w:vAlign w:val="center"/>
          </w:tcPr>
          <w:p w14:paraId="6A187A52">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新媒体营销</w:t>
            </w:r>
          </w:p>
        </w:tc>
        <w:tc>
          <w:tcPr>
            <w:tcW w:w="1589" w:type="pct"/>
            <w:vAlign w:val="center"/>
          </w:tcPr>
          <w:p w14:paraId="49B465A8">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w:t>
            </w:r>
          </w:p>
        </w:tc>
      </w:tr>
      <w:tr w14:paraId="1303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51AA5B9B">
            <w:pPr>
              <w:snapToGrid w:val="0"/>
              <w:jc w:val="center"/>
              <w:rPr>
                <w:rFonts w:ascii="仿宋_GB2312" w:hAnsi="仿宋_GB2312" w:eastAsia="仿宋_GB2312" w:cs="仿宋_GB2312"/>
                <w:snapToGrid w:val="0"/>
                <w:color w:val="000000"/>
                <w:kern w:val="0"/>
                <w:sz w:val="24"/>
              </w:rPr>
            </w:pPr>
          </w:p>
        </w:tc>
        <w:tc>
          <w:tcPr>
            <w:tcW w:w="1004" w:type="pct"/>
            <w:vAlign w:val="center"/>
          </w:tcPr>
          <w:p w14:paraId="3B51C76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14:30～16:30</w:t>
            </w:r>
          </w:p>
        </w:tc>
        <w:tc>
          <w:tcPr>
            <w:tcW w:w="1715" w:type="pct"/>
            <w:vAlign w:val="center"/>
          </w:tcPr>
          <w:p w14:paraId="3304BE6C">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数字营销推广</w:t>
            </w:r>
          </w:p>
        </w:tc>
        <w:tc>
          <w:tcPr>
            <w:tcW w:w="1589" w:type="pct"/>
            <w:vAlign w:val="center"/>
          </w:tcPr>
          <w:p w14:paraId="5D1A987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w:t>
            </w:r>
          </w:p>
        </w:tc>
      </w:tr>
    </w:tbl>
    <w:p w14:paraId="0D1CA96A">
      <w:pPr>
        <w:spacing w:line="360" w:lineRule="auto"/>
        <w:jc w:val="center"/>
        <w:rPr>
          <w:rFonts w:ascii="仿宋_GB2312" w:hAnsi="仿宋_GB2312" w:eastAsia="仿宋_GB2312" w:cs="仿宋_GB2312"/>
          <w:sz w:val="28"/>
          <w:szCs w:val="28"/>
        </w:rPr>
      </w:pPr>
    </w:p>
    <w:p w14:paraId="02E27DBC">
      <w:pPr>
        <w:pStyle w:val="2"/>
      </w:pPr>
      <w:r>
        <w:rPr>
          <w:rFonts w:hint="eastAsia"/>
        </w:rPr>
        <w:t>五、竞赛规则</w:t>
      </w:r>
    </w:p>
    <w:p w14:paraId="79224D98">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选手报名：参赛选手（含学生选手、教师选手）报名获得确认后不得随意更换。如比赛前参赛选手因故无法参赛，须由参赛院校于开赛10个工作日之前出具书面说明，经大赛执委会办公室核实后予以更换；团体赛选手因特殊原因不能参加比赛时，由大赛执委会办公室根据赛项的特点决定是否可进行缺员比赛，并上报大赛执委会备案。如发现未经报备，实际参赛选手与报名信息不符的情况，均不得入场。</w:t>
      </w:r>
    </w:p>
    <w:p w14:paraId="2CBBE92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（二）熟悉场地：比赛日前一天下午开放赛场，熟悉场地。</w:t>
      </w:r>
    </w:p>
    <w:p w14:paraId="453B9EB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（三）入场规则：选手入场时，逐个核查竞赛选手参赛号，对于选手携带的个人身份证件统一保管，对于违规物品立即收缴；实际参赛选手与报名信息不符的情况，不得入场。</w:t>
      </w:r>
    </w:p>
    <w:p w14:paraId="51A66B0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（四）赛场规则：</w:t>
      </w:r>
    </w:p>
    <w:p w14:paraId="0A2B7FB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1.检录：由检录工作人员依照检录表进行点名核对。</w:t>
      </w:r>
    </w:p>
    <w:p w14:paraId="333BC19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2.加密：竞赛当日进行两次加密，分别由两组加密裁判组织实施加密工作，管理加密结果。监督仲裁员全程监督加密过程。</w:t>
      </w:r>
    </w:p>
    <w:p w14:paraId="0265C23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3.引导：参赛选手凭赛位号进入赛场，现场裁判负责引导参赛选手至赛位前等待竞赛指令。</w:t>
      </w:r>
    </w:p>
    <w:p w14:paraId="2952322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4.由裁判长宣布比赛开始，各参赛队开始竞赛。</w:t>
      </w:r>
    </w:p>
    <w:p w14:paraId="3D4D0FF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竞赛过程中，如遇设备故障，参赛选手应举手示意。裁判、技术人员等应及时予以解决。确因计算机软件或硬件故障，致使操作无法继续的，经裁判长同意，予以启用备用计算机。如遇身体不适，参赛选手应举手示意，现场医务人员按应急预案救治。如有其他问题，参赛选手应举手示意，裁判应按照有关要求及时予以答疑。</w:t>
      </w:r>
    </w:p>
    <w:p w14:paraId="135C434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6.离场规则：参赛选手比赛中途不得擅自离开赛场；竞赛内容完成后经裁判长同意可离开赛场。</w:t>
      </w:r>
    </w:p>
    <w:p w14:paraId="1114039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7.成绩评定与结果公布：</w:t>
      </w:r>
    </w:p>
    <w:p w14:paraId="709EE96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本赛项评分方法分为机考评分和结果评分，成绩评定过程中的所有评分材料须由相应评分裁判签字确认，更正成绩需经裁判本人、裁判长及监督仲裁组长在更正处签字。</w:t>
      </w:r>
    </w:p>
    <w:p w14:paraId="3287DD15">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记分员将解密后的各参赛队伍（选手）成绩汇总成比赛成绩，经裁判长、监督仲裁组签字，公布比赛结果。</w:t>
      </w:r>
    </w:p>
    <w:p w14:paraId="28A8DBEF">
      <w:pPr>
        <w:pStyle w:val="2"/>
        <w:rPr>
          <w:b w:val="0"/>
          <w:bCs/>
        </w:rPr>
      </w:pPr>
      <w:r>
        <w:rPr>
          <w:rFonts w:hint="eastAsia"/>
          <w:b w:val="0"/>
          <w:bCs/>
        </w:rPr>
        <w:t>六、技术规范</w:t>
      </w:r>
    </w:p>
    <w:p w14:paraId="5946EB9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参赛团队遵循以下规范：</w:t>
      </w:r>
    </w:p>
    <w:p w14:paraId="590240C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专业教学要求：根据教育部发布的职业教育专业简介（2022年修订）中职电子商务、移动商务、网络营销、直播电商服务主要专业能力要求与《网络推广实务》、《直播销售》、《直播客户服务》、《新媒体营销》、《直播运营实务》、《新媒体文案编辑与发布》、《直播推广实务》、《新媒体运营》等核心课程的主要知识点、技能点设置竞赛内容。</w:t>
      </w:r>
    </w:p>
    <w:p w14:paraId="1184D11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（二）国家标准和行业标准：</w:t>
      </w:r>
    </w:p>
    <w:p w14:paraId="5234AD3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《互联网营销师国家职业技能标准》（2021年版）</w:t>
      </w:r>
    </w:p>
    <w:p w14:paraId="2B9C7AB1">
      <w:pPr>
        <w:spacing w:line="360" w:lineRule="auto"/>
        <w:ind w:firstLine="840" w:firstLineChars="300"/>
        <w:rPr>
          <w:rFonts w:ascii="仿宋_GB2312" w:hAnsi="仿宋_GB2312" w:eastAsia="仿宋_GB2312" w:cs="仿宋_GB2312"/>
          <w:sz w:val="28"/>
          <w:szCs w:val="28"/>
        </w:rPr>
      </w:pPr>
      <w:r>
        <w:rPr>
          <w:rFonts w:hint="eastAsia" w:ascii="仿宋_GB2312" w:hAnsi="仿宋_GB2312" w:eastAsia="仿宋_GB2312" w:cs="仿宋_GB2312"/>
          <w:sz w:val="28"/>
          <w:szCs w:val="28"/>
        </w:rPr>
        <w:t>职业编码：4-01-02-07</w:t>
      </w:r>
    </w:p>
    <w:p w14:paraId="6AE6DBDA">
      <w:pPr>
        <w:pStyle w:val="2"/>
        <w:rPr>
          <w:b w:val="0"/>
          <w:bCs/>
        </w:rPr>
      </w:pPr>
      <w:r>
        <w:rPr>
          <w:rFonts w:hint="eastAsia"/>
          <w:b w:val="0"/>
          <w:bCs/>
        </w:rPr>
        <w:t>七、技术环境</w:t>
      </w:r>
    </w:p>
    <w:p w14:paraId="3423DC1C">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（一）竞赛场地内设置满足所有参赛队伍同时竞赛的竞赛环境。</w:t>
      </w:r>
    </w:p>
    <w:p w14:paraId="4C387C1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（二）赛场各赛位统一使用清晰的工位标识，一个参赛队一个机位，</w:t>
      </w:r>
      <w:bookmarkStart w:id="4" w:name="_GoBack"/>
      <w:r>
        <w:rPr>
          <w:rFonts w:hint="eastAsia" w:ascii="仿宋_GB2312" w:hAnsi="仿宋_GB2312" w:eastAsia="仿宋_GB2312" w:cs="仿宋_GB2312"/>
          <w:sz w:val="28"/>
          <w:szCs w:val="28"/>
          <w:highlight w:val="none"/>
        </w:rPr>
        <w:t>每个机位三台电脑，其中一台备用，</w:t>
      </w:r>
      <w:bookmarkEnd w:id="4"/>
      <w:r>
        <w:rPr>
          <w:rFonts w:hint="eastAsia" w:ascii="仿宋_GB2312" w:hAnsi="仿宋_GB2312" w:eastAsia="仿宋_GB2312" w:cs="仿宋_GB2312"/>
          <w:sz w:val="28"/>
          <w:szCs w:val="28"/>
        </w:rPr>
        <w:t>两张桌子，四把椅子。</w:t>
      </w:r>
    </w:p>
    <w:p w14:paraId="1A658D9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（三）竞赛场地内设置背景板、宣传横幅及壁挂图，营造竞赛氛围。</w:t>
      </w:r>
    </w:p>
    <w:p w14:paraId="532D34F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（四）局域网络。采用星形网络拓扑结构，安装千兆交换机，网线与电源线隐蔽铺设。</w:t>
      </w:r>
    </w:p>
    <w:p w14:paraId="518D4DE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（五）利用UPS防止现场因突然断电导致的系统数据丢失，额定功率：3KVA，后备时间：2小时，电池类型：输出电压：230V±5%V。</w:t>
      </w:r>
    </w:p>
    <w:p w14:paraId="4A7BDB18">
      <w:pPr>
        <w:spacing w:line="360" w:lineRule="auto"/>
        <w:ind w:firstLine="560" w:firstLineChars="200"/>
      </w:pPr>
      <w:r>
        <w:rPr>
          <w:rFonts w:hint="eastAsia" w:ascii="仿宋_GB2312" w:hAnsi="仿宋_GB2312" w:eastAsia="仿宋_GB2312" w:cs="仿宋_GB2312"/>
          <w:sz w:val="28"/>
          <w:szCs w:val="28"/>
        </w:rPr>
        <w:t>（六）技术平台</w:t>
      </w:r>
    </w:p>
    <w:p w14:paraId="6A5F3478">
      <w:pPr>
        <w:pStyle w:val="6"/>
        <w:ind w:left="0"/>
        <w:rPr>
          <w:rFonts w:ascii="黑体" w:hAnsi="黑体" w:eastAsia="黑体" w:cs="黑体"/>
          <w:kern w:val="2"/>
          <w:sz w:val="24"/>
          <w:szCs w:val="24"/>
        </w:rPr>
      </w:pPr>
      <w:r>
        <w:rPr>
          <w:rFonts w:hint="eastAsia" w:ascii="黑体" w:hAnsi="黑体" w:eastAsia="黑体" w:cs="黑体"/>
          <w:kern w:val="2"/>
          <w:sz w:val="24"/>
          <w:szCs w:val="24"/>
        </w:rPr>
        <w:t>1.技术平台规格要求</w:t>
      </w:r>
    </w:p>
    <w:tbl>
      <w:tblPr>
        <w:tblStyle w:val="13"/>
        <w:tblW w:w="90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49"/>
        <w:gridCol w:w="6286"/>
      </w:tblGrid>
      <w:tr w14:paraId="2E99D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2749" w:type="dxa"/>
            <w:vAlign w:val="center"/>
          </w:tcPr>
          <w:p w14:paraId="674F9CC1">
            <w:pPr>
              <w:spacing w:line="360" w:lineRule="auto"/>
              <w:ind w:right="210" w:rightChars="100" w:firstLine="723" w:firstLineChars="300"/>
              <w:jc w:val="left"/>
              <w:rPr>
                <w:rFonts w:ascii="仿宋_GB2312" w:hAnsi="仿宋_GB2312" w:eastAsia="仿宋_GB2312" w:cs="仿宋_GB2312"/>
                <w:b/>
                <w:bCs/>
                <w:sz w:val="24"/>
              </w:rPr>
            </w:pPr>
            <w:r>
              <w:rPr>
                <w:rFonts w:hint="eastAsia" w:ascii="仿宋_GB2312" w:hAnsi="仿宋_GB2312" w:eastAsia="仿宋_GB2312" w:cs="仿宋_GB2312"/>
                <w:b/>
                <w:bCs/>
                <w:sz w:val="24"/>
              </w:rPr>
              <w:t>品名</w:t>
            </w:r>
          </w:p>
        </w:tc>
        <w:tc>
          <w:tcPr>
            <w:tcW w:w="6286" w:type="dxa"/>
            <w:vAlign w:val="center"/>
          </w:tcPr>
          <w:p w14:paraId="06882F66">
            <w:pPr>
              <w:spacing w:line="360" w:lineRule="auto"/>
              <w:ind w:right="210" w:rightChars="100" w:firstLine="1928" w:firstLineChars="800"/>
              <w:jc w:val="left"/>
              <w:rPr>
                <w:rFonts w:ascii="仿宋_GB2312" w:hAnsi="仿宋_GB2312" w:eastAsia="仿宋_GB2312" w:cs="仿宋_GB2312"/>
                <w:b/>
                <w:bCs/>
                <w:sz w:val="24"/>
              </w:rPr>
            </w:pPr>
            <w:r>
              <w:rPr>
                <w:rFonts w:hint="eastAsia" w:ascii="仿宋_GB2312" w:hAnsi="仿宋_GB2312" w:eastAsia="仿宋_GB2312" w:cs="仿宋_GB2312"/>
                <w:b/>
                <w:bCs/>
                <w:sz w:val="24"/>
              </w:rPr>
              <w:t>规格要求说明</w:t>
            </w:r>
          </w:p>
        </w:tc>
      </w:tr>
      <w:tr w14:paraId="13C06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23BA4BE9">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参赛选手计算机</w:t>
            </w:r>
          </w:p>
        </w:tc>
        <w:tc>
          <w:tcPr>
            <w:tcW w:w="6286" w:type="dxa"/>
          </w:tcPr>
          <w:p w14:paraId="3706BB18">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配置要求：酷睿I5双核3.0以上CPU；8G以上内存；100G以上硬盘；2G显存以上独立显卡，千兆网卡。预装Windows7及以上操作系统；预装火狐、谷歌浏览器；预装录屏软件；预装全拼、简拼、微软拼音等中文输入法和英文输入法；</w:t>
            </w:r>
          </w:p>
        </w:tc>
      </w:tr>
      <w:tr w14:paraId="668A3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7BDF8D69">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参赛选手直播设备</w:t>
            </w:r>
          </w:p>
        </w:tc>
        <w:tc>
          <w:tcPr>
            <w:tcW w:w="6286" w:type="dxa"/>
            <w:vAlign w:val="center"/>
          </w:tcPr>
          <w:p w14:paraId="5E6D432F">
            <w:pPr>
              <w:spacing w:line="360" w:lineRule="auto"/>
              <w:ind w:right="210" w:rightChars="100"/>
              <w:rPr>
                <w:rFonts w:ascii="仿宋_GB2312" w:hAnsi="仿宋_GB2312" w:eastAsia="仿宋_GB2312" w:cs="仿宋_GB2312"/>
                <w:sz w:val="24"/>
              </w:rPr>
            </w:pPr>
            <w:r>
              <w:rPr>
                <w:rFonts w:hint="eastAsia" w:ascii="仿宋_GB2312" w:hAnsi="仿宋_GB2312" w:eastAsia="仿宋_GB2312" w:cs="仿宋_GB2312"/>
                <w:sz w:val="24"/>
              </w:rPr>
              <w:t>由承办方提供三脚架、补光灯、直播商品，并提供充足的备用设备。</w:t>
            </w:r>
          </w:p>
        </w:tc>
      </w:tr>
      <w:tr w14:paraId="61995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7FB41A92">
            <w:pPr>
              <w:spacing w:line="360" w:lineRule="auto"/>
              <w:ind w:right="210" w:rightChars="100"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现场布置</w:t>
            </w:r>
          </w:p>
        </w:tc>
        <w:tc>
          <w:tcPr>
            <w:tcW w:w="6286" w:type="dxa"/>
            <w:vAlign w:val="center"/>
          </w:tcPr>
          <w:p w14:paraId="1A8DF917">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工位隔断、环境布置、桌椅等</w:t>
            </w:r>
          </w:p>
        </w:tc>
      </w:tr>
      <w:tr w14:paraId="289F4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61077F66">
            <w:pPr>
              <w:spacing w:line="360" w:lineRule="auto"/>
              <w:ind w:right="210" w:rightChars="100" w:firstLine="240" w:firstLineChars="100"/>
              <w:jc w:val="left"/>
              <w:rPr>
                <w:rFonts w:ascii="仿宋_GB2312" w:hAnsi="仿宋_GB2312" w:eastAsia="仿宋_GB2312" w:cs="仿宋_GB2312"/>
                <w:sz w:val="24"/>
              </w:rPr>
            </w:pPr>
            <w:r>
              <w:rPr>
                <w:rFonts w:hint="eastAsia" w:ascii="仿宋_GB2312" w:hAnsi="仿宋_GB2312" w:eastAsia="仿宋_GB2312" w:cs="仿宋_GB2312"/>
                <w:sz w:val="24"/>
              </w:rPr>
              <w:t>网络连接设备</w:t>
            </w:r>
          </w:p>
        </w:tc>
        <w:tc>
          <w:tcPr>
            <w:tcW w:w="6286" w:type="dxa"/>
            <w:vAlign w:val="center"/>
          </w:tcPr>
          <w:p w14:paraId="38445604">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提供网络布线、千兆交换机、无线路由器</w:t>
            </w:r>
          </w:p>
        </w:tc>
      </w:tr>
      <w:tr w14:paraId="30FFBE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2749" w:type="dxa"/>
            <w:vAlign w:val="center"/>
          </w:tcPr>
          <w:p w14:paraId="190610D4">
            <w:pPr>
              <w:spacing w:line="360" w:lineRule="auto"/>
              <w:ind w:right="210" w:rightChars="100"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竞赛服务器</w:t>
            </w:r>
          </w:p>
        </w:tc>
        <w:tc>
          <w:tcPr>
            <w:tcW w:w="6286" w:type="dxa"/>
            <w:vAlign w:val="center"/>
          </w:tcPr>
          <w:p w14:paraId="2C6C44B0">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配置要求：英特尔至强E5系列E5-2683 v4十六核以上CPU；16GB以上内存；硬盘：500G以上；转速：10000 RPM或固态P4510；千兆网卡。</w:t>
            </w:r>
          </w:p>
          <w:p w14:paraId="05FF52D8">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预装Windows Server 2008 R2操作系统及IIS 7.5；预装Microsoft SQL Server 2008数据库。</w:t>
            </w:r>
          </w:p>
        </w:tc>
      </w:tr>
    </w:tbl>
    <w:p w14:paraId="3FA4956B">
      <w:pPr>
        <w:pStyle w:val="6"/>
        <w:ind w:left="0"/>
        <w:rPr>
          <w:rFonts w:ascii="黑体" w:hAnsi="黑体" w:eastAsia="黑体" w:cs="黑体"/>
          <w:kern w:val="2"/>
          <w:sz w:val="24"/>
          <w:szCs w:val="24"/>
        </w:rPr>
      </w:pPr>
      <w:r>
        <w:rPr>
          <w:rFonts w:hint="eastAsia" w:ascii="黑体" w:hAnsi="黑体" w:eastAsia="黑体" w:cs="黑体"/>
          <w:kern w:val="2"/>
          <w:sz w:val="24"/>
          <w:szCs w:val="24"/>
        </w:rPr>
        <w:t>2.参赛选手自带设备</w:t>
      </w:r>
    </w:p>
    <w:tbl>
      <w:tblPr>
        <w:tblStyle w:val="14"/>
        <w:tblW w:w="9020" w:type="dxa"/>
        <w:tblInd w:w="-2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1524"/>
        <w:gridCol w:w="6305"/>
      </w:tblGrid>
      <w:tr w14:paraId="0626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6A01D18B">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1524" w:type="dxa"/>
            <w:vAlign w:val="center"/>
          </w:tcPr>
          <w:p w14:paraId="7276938D">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6305" w:type="dxa"/>
            <w:vAlign w:val="center"/>
          </w:tcPr>
          <w:p w14:paraId="086E3F53">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技术规格</w:t>
            </w:r>
          </w:p>
        </w:tc>
      </w:tr>
      <w:tr w14:paraId="4339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3A0EAAF6">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24" w:type="dxa"/>
            <w:vAlign w:val="center"/>
          </w:tcPr>
          <w:p w14:paraId="75ADA906">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直播耳机</w:t>
            </w:r>
          </w:p>
        </w:tc>
        <w:tc>
          <w:tcPr>
            <w:tcW w:w="6305" w:type="dxa"/>
            <w:vAlign w:val="center"/>
          </w:tcPr>
          <w:p w14:paraId="4C8D4028">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直插型、入耳式有线耳机，线长不低于1.5m。</w:t>
            </w:r>
          </w:p>
        </w:tc>
      </w:tr>
      <w:tr w14:paraId="6BEE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38692C8F">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24" w:type="dxa"/>
            <w:vAlign w:val="center"/>
          </w:tcPr>
          <w:p w14:paraId="49664CA2">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直播手机</w:t>
            </w:r>
          </w:p>
        </w:tc>
        <w:tc>
          <w:tcPr>
            <w:tcW w:w="6305" w:type="dxa"/>
            <w:vAlign w:val="center"/>
          </w:tcPr>
          <w:p w14:paraId="5964B463">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安卓（Android），满足前摄主摄均达500万像素或以上，3GB+32GB或以上。</w:t>
            </w:r>
          </w:p>
        </w:tc>
      </w:tr>
    </w:tbl>
    <w:p w14:paraId="39087F27">
      <w:pPr>
        <w:pStyle w:val="2"/>
        <w:rPr>
          <w:b w:val="0"/>
          <w:bCs/>
        </w:rPr>
      </w:pPr>
      <w:r>
        <w:rPr>
          <w:rFonts w:hint="eastAsia"/>
          <w:b w:val="0"/>
          <w:bCs/>
        </w:rPr>
        <w:t>八、竞赛样题</w:t>
      </w:r>
    </w:p>
    <w:p w14:paraId="5E451E07">
      <w:pPr>
        <w:pStyle w:val="12"/>
        <w:spacing w:line="360" w:lineRule="auto"/>
        <w:ind w:left="0" w:leftChars="0" w:firstLine="560"/>
      </w:pPr>
      <w:r>
        <w:rPr>
          <w:rFonts w:hint="eastAsia" w:ascii="仿宋_GB2312" w:hAnsi="仿宋_GB2312" w:eastAsia="仿宋_GB2312" w:cs="仿宋_GB2312"/>
          <w:sz w:val="28"/>
          <w:szCs w:val="28"/>
        </w:rPr>
        <w:t>本赛项共包含三个比赛模块，具体内容如下表所示：</w:t>
      </w:r>
    </w:p>
    <w:p w14:paraId="687D8E77">
      <w:pPr>
        <w:pStyle w:val="12"/>
        <w:spacing w:line="360" w:lineRule="auto"/>
        <w:ind w:left="0" w:leftChars="0" w:firstLine="480"/>
        <w:jc w:val="center"/>
        <w:rPr>
          <w:rFonts w:ascii="黑体" w:hAnsi="黑体" w:eastAsia="黑体" w:cs="黑体"/>
          <w:sz w:val="24"/>
        </w:rPr>
      </w:pPr>
      <w:r>
        <w:rPr>
          <w:rFonts w:hint="eastAsia" w:ascii="黑体" w:hAnsi="黑体" w:eastAsia="黑体" w:cs="黑体"/>
          <w:sz w:val="24"/>
        </w:rPr>
        <w:t>表 各模块权重占比及竞赛时间</w:t>
      </w:r>
    </w:p>
    <w:tbl>
      <w:tblPr>
        <w:tblStyle w:val="13"/>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069"/>
        <w:gridCol w:w="1915"/>
        <w:gridCol w:w="1915"/>
      </w:tblGrid>
      <w:tr w14:paraId="7778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904" w:type="pct"/>
            <w:vAlign w:val="center"/>
          </w:tcPr>
          <w:p w14:paraId="58704B53">
            <w:pPr>
              <w:keepLines/>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1821" w:type="pct"/>
            <w:vAlign w:val="center"/>
          </w:tcPr>
          <w:p w14:paraId="30CBA0A3">
            <w:pPr>
              <w:keepLines/>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模块名称</w:t>
            </w:r>
          </w:p>
        </w:tc>
        <w:tc>
          <w:tcPr>
            <w:tcW w:w="1136" w:type="pct"/>
            <w:vAlign w:val="center"/>
          </w:tcPr>
          <w:p w14:paraId="2E15CE5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权重占比（%）</w:t>
            </w:r>
          </w:p>
        </w:tc>
        <w:tc>
          <w:tcPr>
            <w:tcW w:w="1136" w:type="pct"/>
            <w:vAlign w:val="center"/>
          </w:tcPr>
          <w:p w14:paraId="2FA88D0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竞赛时间（分）</w:t>
            </w:r>
          </w:p>
        </w:tc>
      </w:tr>
      <w:tr w14:paraId="4764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904" w:type="pct"/>
            <w:vAlign w:val="center"/>
          </w:tcPr>
          <w:p w14:paraId="628141A6">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821" w:type="pct"/>
            <w:vAlign w:val="center"/>
          </w:tcPr>
          <w:p w14:paraId="5A24D5D6">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数字营销推广</w:t>
            </w:r>
          </w:p>
        </w:tc>
        <w:tc>
          <w:tcPr>
            <w:tcW w:w="1136" w:type="pct"/>
            <w:vAlign w:val="center"/>
          </w:tcPr>
          <w:p w14:paraId="49B487CB">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w:t>
            </w:r>
          </w:p>
        </w:tc>
        <w:tc>
          <w:tcPr>
            <w:tcW w:w="1136" w:type="pct"/>
            <w:vAlign w:val="center"/>
          </w:tcPr>
          <w:p w14:paraId="1F0962C0">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120</w:t>
            </w:r>
          </w:p>
        </w:tc>
      </w:tr>
      <w:tr w14:paraId="617F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904" w:type="pct"/>
            <w:vAlign w:val="center"/>
          </w:tcPr>
          <w:p w14:paraId="3BCAACAA">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821" w:type="pct"/>
            <w:vAlign w:val="center"/>
          </w:tcPr>
          <w:p w14:paraId="4C5B6AF5">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直播营销</w:t>
            </w:r>
          </w:p>
        </w:tc>
        <w:tc>
          <w:tcPr>
            <w:tcW w:w="1136" w:type="pct"/>
            <w:vAlign w:val="center"/>
          </w:tcPr>
          <w:p w14:paraId="6825A4C5">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40</w:t>
            </w:r>
          </w:p>
        </w:tc>
        <w:tc>
          <w:tcPr>
            <w:tcW w:w="1136" w:type="pct"/>
            <w:vAlign w:val="center"/>
          </w:tcPr>
          <w:p w14:paraId="017446F2">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180</w:t>
            </w:r>
          </w:p>
        </w:tc>
      </w:tr>
      <w:tr w14:paraId="5DEF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04" w:type="pct"/>
            <w:vAlign w:val="center"/>
          </w:tcPr>
          <w:p w14:paraId="2A2F8992">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821" w:type="pct"/>
            <w:vAlign w:val="center"/>
          </w:tcPr>
          <w:p w14:paraId="456F4A9B">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新媒体营销</w:t>
            </w:r>
          </w:p>
        </w:tc>
        <w:tc>
          <w:tcPr>
            <w:tcW w:w="1136" w:type="pct"/>
            <w:vAlign w:val="center"/>
          </w:tcPr>
          <w:p w14:paraId="79201B57">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w:t>
            </w:r>
          </w:p>
        </w:tc>
        <w:tc>
          <w:tcPr>
            <w:tcW w:w="1136" w:type="pct"/>
            <w:vAlign w:val="center"/>
          </w:tcPr>
          <w:p w14:paraId="4263D949">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90</w:t>
            </w:r>
          </w:p>
        </w:tc>
      </w:tr>
    </w:tbl>
    <w:p w14:paraId="4C860960">
      <w:pPr>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模块一：数字营销推广</w:t>
      </w:r>
    </w:p>
    <w:p w14:paraId="0EE7D21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（1）背景资料</w:t>
      </w:r>
    </w:p>
    <w:p w14:paraId="02132DD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请在给定的推广资金范围内，在相同的竞争环境下，为同一家企业通过媒体平台进行图文预告等图文内容的推广和商品介绍等视频内容的推广。选手需要结合推广资金及投放对象，根据给定的背景资料，分析图文内容和视频内容，确定目标受众群体，通过人群标签圈定目标受众，以付费推广方式获得图文、视频在不同广告位置的强势展现机会，增加展现量和点击量，将信息传递给目标受众，促进商业价值变现。</w:t>
      </w:r>
    </w:p>
    <w:p w14:paraId="5D77B26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1）企业介绍</w:t>
      </w:r>
    </w:p>
    <w:p w14:paraId="4EA5E5BA">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玫莱雅集团是我国时尚消费品牌，主要经营女装、男装、男女鞋履、香水、化妆品等消费品，具体可以分为服装、鞋履和化妆品三条产业线，是一家集研发、设计、生产、销售、品牌于一体的全产业链集团，自主拥有多处综合性设计生产制造工厂，任意一家都能独立完成相应产品的生产及售后保障服务，通过多年的钻研与累积，拥有自主创新产品的实力，致力于打造更优质的用户体验，品牌战略也在不断完善与明确。</w:t>
      </w:r>
    </w:p>
    <w:p w14:paraId="7CF9BB43">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双十一大促临近，为了进行品牌宣传与产品销售，集团市场部策划了多场直播活动，并策划制作了图文预告、品牌故事图文、产品介绍视频、品牌介绍视频等多种形式和营销目的的内容素材，交予数字营销推广人员进行推广预热。</w:t>
      </w:r>
    </w:p>
    <w:p w14:paraId="119930E9">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2）企业产品介绍</w:t>
      </w:r>
    </w:p>
    <w:p w14:paraId="0BA132E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集团拥有服装、鞋履和化妆品三条产业线，不同产业线下又有不同类型的产品。</w:t>
      </w:r>
    </w:p>
    <w:p w14:paraId="4590D68B">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①服装产业线</w:t>
      </w:r>
    </w:p>
    <w:p w14:paraId="25706E2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服装业线产品类型丰富，为了进行秋冬季新品服装产品的销售，</w:t>
      </w:r>
      <w:bookmarkStart w:id="0" w:name="_Hlk84764602"/>
      <w:r>
        <w:rPr>
          <w:rFonts w:hint="eastAsia" w:ascii="仿宋_GB2312" w:hAnsi="仿宋_GB2312" w:eastAsia="仿宋_GB2312" w:cs="仿宋_GB2312"/>
          <w:sz w:val="28"/>
          <w:szCs w:val="28"/>
        </w:rPr>
        <w:t>此次营销活动重点选取了衬衫、毛衣、皮衣、连衣裙四款产品，配合市场活动。</w:t>
      </w:r>
    </w:p>
    <w:bookmarkEnd w:id="0"/>
    <w:p w14:paraId="2288CE0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衬衫是一种穿在内外上衣之间、也可单独穿用的上衣，男衬衫通常胸前有口袋，袖口有袖头。基本参数包含产品名称、品牌、尺码、产品颜色、风格、季节、领型、面料、类型、适用对象、袖长、袖型、装饰、图案、服装工艺、厚薄、纽扣、版型等。</w:t>
      </w:r>
    </w:p>
    <w:p w14:paraId="7D19F20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毛衣是以机器或手工编织的毛线上衣。现在人类不仅充分利用各类动、植物等天然纤维编织毛衣，更研发出多种化学纤维、矿物纤维。基本参数包含产品名称、品牌、产品尺码、产品颜色、版型、面料、类型、适用人群、适用季节、舒适度、厚薄、纽扣、领口、袖型、衣长、袖长、装饰、图案等。</w:t>
      </w:r>
    </w:p>
    <w:p w14:paraId="2E28B27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皮衣是采用动物皮经过特定工艺加工成的皮革做成的衣服，主要作用是防寒，皮衣皮质柔软，没有残疵点，色彩均匀，没有明显色差，有光泽，颜色协调。基本参数包括产品名称、品牌、产品尺码、产品颜色、产品光泽度、版型、面料、适用年龄、适用人群、适用季节、图案、里衬、领型、厚薄、拉链、袖型、袖长、衣长等。</w:t>
      </w:r>
    </w:p>
    <w:p w14:paraId="6639411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连衣裙是指上衣和裙子连成一体式的连裙装，款式变化莫测、种类繁多，是女性喜欢的服装首选之一。基本参数包含产品名称、品牌、适用年龄、尺码、图案、颜色、腰型、衣门襟、袖型、袖长、裙长、裙型、廓形、材质、季节、组合形式等。</w:t>
      </w:r>
    </w:p>
    <w:p w14:paraId="591F2BE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②鞋履产业线</w:t>
      </w:r>
    </w:p>
    <w:p w14:paraId="77EE3A5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此次市场活动重点选取了鞋履产业线的运动鞋、高跟鞋、棉拖鞋三款产品。</w:t>
      </w:r>
    </w:p>
    <w:p w14:paraId="4645ABA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运动鞋，是根据人们参加运动或旅游的特点设计制造的鞋子，鞋底一般柔软而富有弹性，能起一定的缓冲作用，运动时能增强弹性，有的还能防止脚踝受伤，所以，在进行体育运动时，大都要穿运动鞋，尤其是高烈度体能运动。基本参数包括产品名称、品牌、使用年龄、适用场景、适合路面、闭合方式、适用性别、鞋底功能、鞋面功能等。</w:t>
      </w:r>
    </w:p>
    <w:p w14:paraId="60103C2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高跟鞋有修长，体现气质的作用，不同场合有不同类型的高跟鞋，是女性日常鞋履类型之一，基本参数包括产品名称、品牌、闭合方式、图案、颜色、风格、鞋跟款式、鞋跟高度、鞋头款式、适用场合、适用对象等。</w:t>
      </w:r>
    </w:p>
    <w:p w14:paraId="2D16C84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棉拖鞋是拖鞋的一种，其特点是质地绵软护脚，穿着舒适，其功能和款式也在每年不断更新升级。在今天，棉拖鞋已经由过去的季节性产品变成了四季适宜的足底之物。基本参数包括产品名称、品牌、功能、款式、图案、颜色、风格、适用场合、适用对象等。</w:t>
      </w:r>
    </w:p>
    <w:p w14:paraId="632F33EB">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③</w:t>
      </w:r>
      <w:bookmarkStart w:id="1" w:name="_Hlk84764614"/>
      <w:r>
        <w:rPr>
          <w:rFonts w:hint="eastAsia" w:ascii="仿宋_GB2312" w:hAnsi="仿宋_GB2312" w:eastAsia="仿宋_GB2312" w:cs="仿宋_GB2312"/>
          <w:sz w:val="28"/>
          <w:szCs w:val="28"/>
        </w:rPr>
        <w:t>化妆品产业线</w:t>
      </w:r>
    </w:p>
    <w:bookmarkEnd w:id="1"/>
    <w:p w14:paraId="01140E2D">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此次市场活动重点选取了化妆品产业线的眼霜、精华、洗面奶三款产品。</w:t>
      </w:r>
    </w:p>
    <w:p w14:paraId="5D1C0C9E">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眼霜是指可以缓解由于紫外线照射，长时间电脑辐射，不良生活习惯等导致黑眼圈、眼袋、鱼尾纹和脂肪粒等问题的化妆品。基本参数包含产品名称、品牌、产品类型、适用人群、产地、净含量、功效、主要成分、产品颜色、产品气味、包装设计、适用部位、限制使用日期、批准文号、规格类型、是否为特殊用途化妆品等。</w:t>
      </w:r>
    </w:p>
    <w:p w14:paraId="72E87D5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精华是含有功效成分多、功效齐全、使用效果明显，可以改善稳定皮肤状况的化妆品。基本参数包含产品名称、品牌、净含量、功效、主要成分、产品质地、产品气味、包装设计、保质期、上市时间、产地、适合肤质、批准文号、规格类型、是否为特殊用途化妆品等。</w:t>
      </w:r>
    </w:p>
    <w:p w14:paraId="039E1A59">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洗面奶属于洁肤化妆品，其目的是清除皮肤上的污垢，使皮肤清爽，有助于保持皮肤正常生理状态。基本参数包括产品名称、品牌、净含量、适合肤质、适用部位、适用对象、功效、起泡程度、产品质地、主要成分、包装设计、保质期、上市时间、产地、批准文号、规格类型、是否为特殊用途化妆品等。</w:t>
      </w:r>
    </w:p>
    <w:p w14:paraId="73F2CD2A">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3）图文介绍</w:t>
      </w:r>
    </w:p>
    <w:p w14:paraId="1BDE027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数字图文内容是最常见的形式，包括纯文字型、纯图片型、图文型等多种类型，可以出现在企业官网、媒体平台等诸多渠道中。为了达到更好的营销效果，企业规划系列图文提高影响力，以图文为形式，以内容为载体，涉及直播预告、品牌宣传等多种营销目的。</w:t>
      </w:r>
    </w:p>
    <w:p w14:paraId="2529155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4）视频介绍</w:t>
      </w:r>
    </w:p>
    <w:p w14:paraId="7C436579">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视频可以出现在电视、电影、视频平台、直播平台、自媒体等诸多渠道中，是近年来成长最快的内容类型，为了达到更好的营销效果，企业规划系列视频提高影响力，以视频为形式，以内容为载体，涉及产品介绍、品牌宣传等多种营销目的。</w:t>
      </w:r>
    </w:p>
    <w:p w14:paraId="6C6BCF4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（2）具体考核要求</w:t>
      </w:r>
    </w:p>
    <w:p w14:paraId="722A1DF5">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参赛选手根据企业介绍、企业产品和图文内容、视频内容，结合推广资金，制定并实施数字营销推广策略。通过人群标签圈定目标受众，以付费方式获得不同广告位置网页信息的强势展现机会，并带来更多的展现量和点击量，将信息传递给目标受众，促进商业价值变现。包括设置广告组、设置广告计划、设置创意、推广效果数据分析与优化等操作。</w:t>
      </w:r>
    </w:p>
    <w:p w14:paraId="0E565F6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1）设置广告组</w:t>
      </w:r>
    </w:p>
    <w:p w14:paraId="70F49DDB">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组主要包括选择推广目的、设置账户日预算、设置广告组名称。推广目的包括图文推广和视频推广，需要根据推广对象选择；设置账户预算包括不限和指定预算两种，不限是指不限制广告组的最高预算，消耗最高额度为给定的推广资金，指定预算是指限制广告组的最高预算，消耗最高额度为设置金额，最高不超过给定的推广资金，广告组达到设置的账户预算则停止投放；设置广告组名称是指为广告组命名，方便识记即可，不影响推广效果。</w:t>
      </w:r>
    </w:p>
    <w:p w14:paraId="767B0EE8">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2）设置广告计划</w:t>
      </w:r>
    </w:p>
    <w:p w14:paraId="07F7F2EE">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设置广告计划包括选择投放的视频或图文、设置广告受众、设置广告预算和出价、设置广告计划名称。</w:t>
      </w:r>
    </w:p>
    <w:p w14:paraId="773A8F1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①选择投放的视频或图文</w:t>
      </w:r>
    </w:p>
    <w:p w14:paraId="7F61E20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选择投放的视频或图文主要是图文、视频投放对象的选择。为了进行营销活动，企业制作了多个不同营销目的的图文、视频内容，选手需要根据营销目的选择图文、视频进行推广，图文、视频内容不同，营销目的不同，对应的目标受众不同。</w:t>
      </w:r>
    </w:p>
    <w:p w14:paraId="1BFE195E">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②设置广告受众</w:t>
      </w:r>
    </w:p>
    <w:p w14:paraId="71CE80D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受众是指从地域、性别、年龄、兴趣分类、兴趣关键词、平台、APP行为定向、手机品牌、网络、运营商等不同维度定位目标受众，当使用多种定向时，视频或图文内容会获得在同时满足所有定向条件的目标受众面前展现的机会，具体是否展现还要看目标人群是否相关、预算、出价、投放时段等其他方面的设置。</w:t>
      </w:r>
    </w:p>
    <w:p w14:paraId="52DC390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不同推广地域下浏览信息的目标受众数量不同，点击图文或视频广告的目标受众数量也会有所不同，通过设置推广地域可以</w:t>
      </w:r>
      <w:bookmarkStart w:id="2" w:name="_Hlk84758161"/>
      <w:r>
        <w:rPr>
          <w:rFonts w:hint="eastAsia" w:ascii="仿宋_GB2312" w:hAnsi="仿宋_GB2312" w:eastAsia="仿宋_GB2312" w:cs="仿宋_GB2312"/>
          <w:sz w:val="28"/>
          <w:szCs w:val="28"/>
        </w:rPr>
        <w:t>限定视频或图文只在选定的地域展现</w:t>
      </w:r>
      <w:bookmarkEnd w:id="2"/>
      <w:r>
        <w:rPr>
          <w:rFonts w:hint="eastAsia" w:ascii="仿宋_GB2312" w:hAnsi="仿宋_GB2312" w:eastAsia="仿宋_GB2312" w:cs="仿宋_GB2312"/>
          <w:sz w:val="28"/>
          <w:szCs w:val="28"/>
        </w:rPr>
        <w:t>。</w:t>
      </w:r>
    </w:p>
    <w:p w14:paraId="29F03ED8">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多数产品在用途上有不同的性别、年龄特征，不同年龄、性别的目标受众对消费品的需求往往存在很大的差异，在购买行为和购买动机方面也有很大的差异，数量也不相同，通过性别、年龄设置广告目标受众，可以限定视频或图文只向性别和年龄符合设置条件的目标受众展现。</w:t>
      </w:r>
    </w:p>
    <w:p w14:paraId="0687866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兴趣定向分为兴趣分类定向和兴趣关键词定向，不同兴趣分类和兴趣关键词对应目标受众的兴趣偏好不同，数量也不相同。要结合产品的特点，通过兴趣分类，找到对与自身产品相关内容感兴趣的受众实现精准投放。可选择符合目标受众特征的多个标签，在使用兴趣分类定向时，多个分类取并集。兴趣关键词定向粒度比兴趣分类更细，通过采用关键词标签技术，精准定位目标受众，有效避免投放资源浪费。如果兴趣分类与兴趣关键词定向同时设置，则定向的目标受众取交集，即覆盖人群必须有某些兴趣点，且对兴趣关键词感兴趣。通过兴趣定向目标受众，可以限定视频或图文只向具有限定兴趣偏好的目标受众展现。</w:t>
      </w:r>
    </w:p>
    <w:p w14:paraId="15A3A81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平台定向是指通过目标受众使用设备的系统类型定向目标受众，分为IOS、Android、PC三种，全面覆盖移动端和PC端流量，通过不同平台定向的目标受众数量不同。</w:t>
      </w:r>
    </w:p>
    <w:p w14:paraId="518C5C3A">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APP行为定向是通过目标受众手机中APP的安装与使用情况，判断目标受众对的兴趣与需求，给予精细的受众定向，APP行为不同反映的目标受众的兴趣偏好不同，对应的目标受众的数量也不相同。</w:t>
      </w:r>
    </w:p>
    <w:p w14:paraId="21BB8B13">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手机品牌定向可以在一定程度上区分目标受众的消费能力，网络类型定向一般适用于对网络要求较高的广告或产品时使用，运营商是区分设备使用网络的移动、联通、电信等运营商，在广告和产品对操作环境和运营商有要求时可进行细分定向，手机品牌不同、网络类型不同、运营商不同，对应的目标受众数量也不相同。</w:t>
      </w:r>
    </w:p>
    <w:p w14:paraId="1E082EB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③设置广告预算和出价</w:t>
      </w:r>
    </w:p>
    <w:p w14:paraId="46BA1438">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设置广告预算和出价包括设置广告预算、投放时段、投放目标、付费方式和出价。</w:t>
      </w:r>
    </w:p>
    <w:p w14:paraId="1218FE0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广告预算设置是指设置当前广告计划的预算，当广告组预算和广告计划预算同时存在时，以两者中最低的为最终预算设置额；投放时段设置是指设置当前广告计划的投放时段，不同时段浏览信息的目标受众数量不同，点击广告信息查看具体介绍的目标受众数量也不同，影响数字营销推广的效果；投放目标分为点击和展示，点击目标下的付费方式CPC，出价时是按照点击出价，展示目标下的付费方式是CPM，出价时是按照展示出价。</w:t>
      </w:r>
    </w:p>
    <w:p w14:paraId="071BA5FD">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出价影响广告排名，在不考虑其他因素时，出价越高，广告排名越靠前，能够带来的广告展示和点击的机会也会越大。排名是指同一目标受众下的广告排名，目标受众不相关，广告不参与排名，也就没有机会展现。除出价外，企业以往发布内容的展现量、点击量、点赞量、点击率等基础数据也会影响广告排名，同一家企业不同选手、不同推广对象的基础数据相同。</w:t>
      </w:r>
    </w:p>
    <w:p w14:paraId="536F99C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根据选择的付费方式不同，广告扣费分为按照点击（CPC）和按照展示（CPM）扣费。</w:t>
      </w:r>
    </w:p>
    <w:p w14:paraId="44CA1E23">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④设置广告计划名称</w:t>
      </w:r>
    </w:p>
    <w:p w14:paraId="5E8421E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设置广告计划名称是指为当前广告计划命名，方便识记即可，不影响推广效果。</w:t>
      </w:r>
    </w:p>
    <w:p w14:paraId="7E921E7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3）设置创意</w:t>
      </w:r>
    </w:p>
    <w:p w14:paraId="25C8429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设置创意包括投放位置设置、制作创意、设置创意分类和标签等，投放位置设置是选择广告展示的位置；制作创意主要是创意标题的设置等；设置创意分类和标签是指为当前创意选择分类及编辑创意标签。</w:t>
      </w:r>
    </w:p>
    <w:p w14:paraId="0567897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4）推广效果数据分析与优化</w:t>
      </w:r>
    </w:p>
    <w:p w14:paraId="75282275">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完成所有广告组、广告计划、创意的设置后，可以完成一个周期的推广活动，不同广告组、广告计划、创意的设置带来不同的展示数和点击数，为了获得更好的推广效果，可以对广告效果数据进行分析，并利用预算余额再次进行推广，当预算余额为“0”或不满足最低余额设置限额时，不可再次进行推广，具体推广活动与上相同，包括新建广告组、广告计划、创意等，并完成推广活动，获得一定的展示数和点击数，最终获得的展示数和点击数是两个周期获得展示数之和和点击数之和。</w:t>
      </w:r>
    </w:p>
    <w:p w14:paraId="2946DA71">
      <w:pPr>
        <w:spacing w:line="360" w:lineRule="auto"/>
        <w:ind w:right="210" w:rightChars="100"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模块二：直播营销</w:t>
      </w:r>
    </w:p>
    <w:p w14:paraId="432C176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（1）背景资料</w:t>
      </w:r>
    </w:p>
    <w:p w14:paraId="1614CC5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欢乐多零食专营店是一家网上平台店铺，主营业务是休闲零食的网上销售。店铺计划将在11月份举办一场秋冬季休闲食品主题的专场直播。直播营销人员需要根据市场流量大盘和历史销售数据、商品资料等内容，在给定的资金范围内，策划并执行一场直播，完成市场信息分析、直播规划、脚本策划、创建直播、直播装修、直播推广、直播复盘等过程，并根据背景介绍以及商品资料，策划一场10分钟的直播，通过直播APP完成两款商品的直播演示。</w:t>
      </w:r>
    </w:p>
    <w:p w14:paraId="5BBB4E6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两款商品的介绍如下：</w:t>
      </w:r>
    </w:p>
    <w:p w14:paraId="7CF5522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蛋黄酥：蛋黄酥是由小麦、黄油、蛋黄等做成的传统中式糕点。随着用料的不断升级，蛋黄酥逐渐成为一款网红商品，配料有白砂糖、水、黄豆、豆沙、咸鸭蛋、糯米皮等。</w:t>
      </w:r>
    </w:p>
    <w:p w14:paraId="1D86311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巧克力：巧克力是以巧克力豆作为主料的一种混合型食品,其主要原料是可可豆，可以直接食用，也可被用来制作蛋糕、冰激凌等，在浪漫的情人节，它更是表达爱情少不了的主角。</w:t>
      </w:r>
    </w:p>
    <w:p w14:paraId="767E7FE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（2）考核要求</w:t>
      </w:r>
    </w:p>
    <w:p w14:paraId="548F381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根据背景资料要求，进行数据分析，选出直播所需商品，并进行采购与定价。</w:t>
      </w:r>
    </w:p>
    <w:p w14:paraId="4325632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根据背景资料要求，对直播主题、时间等进行规划，并据此策划直播脚本。</w:t>
      </w:r>
    </w:p>
    <w:p w14:paraId="7CE4E56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根据背景资料要求，创建直播，确定直播的封面、栏目、简介等信息。</w:t>
      </w:r>
    </w:p>
    <w:p w14:paraId="134E3DA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根据背景资料要求，对直播间进行装修，设置相关直播信息。</w:t>
      </w:r>
    </w:p>
    <w:p w14:paraId="70CE27BC">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根据背景资料要求，为直播做推广，提高直播间的流量。</w:t>
      </w:r>
    </w:p>
    <w:p w14:paraId="0DC76E8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根据背景资料要求，对直播间观众的行为数据、商品数据等进行分析。</w:t>
      </w:r>
    </w:p>
    <w:p w14:paraId="389C498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直播时长要达到10分钟。</w:t>
      </w:r>
    </w:p>
    <w:p w14:paraId="02EE7BA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讲解的商品正确关联商品链接。</w:t>
      </w:r>
    </w:p>
    <w:p w14:paraId="47616ED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直播画面始终围绕主播或竞赛商品，画面清晰明亮；直播过程中没有10秒以上的卡顿、冷场。</w:t>
      </w:r>
    </w:p>
    <w:p w14:paraId="0F2E2B0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直播开场包含问好、自我介绍、本次直播计划、促销活动四项内容。</w:t>
      </w:r>
    </w:p>
    <w:p w14:paraId="2EAAE35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有商品属性、特色、卖点的介绍，有商品日常价格、直播促销价的说明，有商品的特写展示。同时，要回答弹幕中出现的相关问题。</w:t>
      </w:r>
    </w:p>
    <w:p w14:paraId="08BCFF8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结尾需要包含引导关注、感谢语等内容。</w:t>
      </w:r>
    </w:p>
    <w:p w14:paraId="4C9EC46D">
      <w:pPr>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模块三：新媒体营销</w:t>
      </w:r>
    </w:p>
    <w:p w14:paraId="606ADFD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（1）背景资料</w:t>
      </w:r>
    </w:p>
    <w:p w14:paraId="3B4F674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上海百雀羚日用化学有限公司（英文缩写∶SPDC）是一家集研究、开发、生产、销售服务为一体的具有八十多年历史的化妆品专业生产企业。公司拥有先进的日化生产设备和检测仪器、仪表，有专门从事日化产品开发和研究的科研人员队伍；公司拥有知名品牌如：百雀羚、凤凰、小百羚、Disney，主要生产的产品大类有∶护肤用品、洗护发用品、个人清洁用品、花露水和美容化妆用品等优质的产品。</w:t>
      </w:r>
    </w:p>
    <w:p w14:paraId="2B2DAEE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百雀羚创立于1931年，拥有八十年专业护肤历史，是中国化妆品行业屈指可数的经典国货厂商。悠久的历史，承载着辉煌的业绩，成就了百雀羚品质如金的美誉。品牌曾多次被评为“上海著名商标”。公司致力于为消费者创造天然温和的精致护肤品。传承经典，勇于创新，百雀羚将传统中医理念与现代科技相结合，先后推出了多款“草本护肤”系列产品，引领国货护肤新概念。 </w:t>
      </w:r>
    </w:p>
    <w:p w14:paraId="06C4717E">
      <w:pPr>
        <w:spacing w:line="360" w:lineRule="auto"/>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362075" cy="1536700"/>
            <wp:effectExtent l="0" t="0" r="9525" b="2540"/>
            <wp:docPr id="25" name="图片 2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ogo-1"/>
                    <pic:cNvPicPr>
                      <a:picLocks noChangeAspect="1"/>
                    </pic:cNvPicPr>
                  </pic:nvPicPr>
                  <pic:blipFill>
                    <a:blip r:embed="rId6"/>
                    <a:stretch>
                      <a:fillRect/>
                    </a:stretch>
                  </pic:blipFill>
                  <pic:spPr>
                    <a:xfrm>
                      <a:off x="0" y="0"/>
                      <a:ext cx="1362075" cy="1536700"/>
                    </a:xfrm>
                    <a:prstGeom prst="rect">
                      <a:avLst/>
                    </a:prstGeom>
                  </pic:spPr>
                </pic:pic>
              </a:graphicData>
            </a:graphic>
          </wp:inline>
        </w:drawing>
      </w:r>
    </w:p>
    <w:p w14:paraId="49A4915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作为东方护肤智慧的传承创新者，匠心营造世界级产品品质；顺应高效、安全的护肤趋势，于2020年以“科技新草本”的全新品牌定位，开启战略升级。与国际生物科技巨头德国默克公司正式签署战略合作，将突破性高科技原初因®ProVTA®应用到百雀羚帧颜淡纹修护系列中，并携手探索“高效科技+东方草本”的完美融合，以现代科技赋能东方草本，成就东方大美的品牌典范。</w:t>
      </w:r>
    </w:p>
    <w:p w14:paraId="28E13C1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历经80载，百雀羚由“天然不刺激”升级为“科技新草本”的全新品牌定位，以科技赋能草本，草本为核、科技加持，最大化激发草本的护肤潜能。</w:t>
      </w:r>
    </w:p>
    <w:p w14:paraId="526C71A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✱企业荣誉</w:t>
      </w:r>
    </w:p>
    <w:p w14:paraId="0720429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百雀羚一直提倡自我创新，在肌肤科研领域不断深耕，这让品牌在国际舞台上都获得了很高荣誉。</w:t>
      </w:r>
    </w:p>
    <w:p w14:paraId="6B4D75A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2017年，百雀羚成为国际化妆品化学家联合会（IFSCC）在中国的首个金牌会员，并多次在IFSCC上屡获奖项。在Brand Finance“全球最有价值的50个化妆品和个护品牌”排行榜中，百雀羚连续3年入选，并于2021年成为唯一跻身全球top15的中国美妆品牌。  </w:t>
      </w:r>
    </w:p>
    <w:p w14:paraId="461E0F60">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87040" cy="194246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987040" cy="1942465"/>
                    </a:xfrm>
                    <a:prstGeom prst="rect">
                      <a:avLst/>
                    </a:prstGeom>
                    <a:noFill/>
                    <a:ln>
                      <a:noFill/>
                    </a:ln>
                  </pic:spPr>
                </pic:pic>
              </a:graphicData>
            </a:graphic>
          </wp:inline>
        </w:drawing>
      </w:r>
      <w:r>
        <w:rPr>
          <w:rFonts w:hint="eastAsia" w:ascii="仿宋_GB2312" w:hAnsi="仿宋_GB2312" w:eastAsia="仿宋_GB2312" w:cs="仿宋_GB2312"/>
          <w:sz w:val="28"/>
          <w:szCs w:val="28"/>
        </w:rPr>
        <w:drawing>
          <wp:inline distT="0" distB="0" distL="114300" distR="114300">
            <wp:extent cx="3011170" cy="2518410"/>
            <wp:effectExtent l="0" t="0" r="6350" b="11430"/>
            <wp:docPr id="4" name="图片 4" descr="企业荣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荣誉-3"/>
                    <pic:cNvPicPr>
                      <a:picLocks noChangeAspect="1"/>
                    </pic:cNvPicPr>
                  </pic:nvPicPr>
                  <pic:blipFill>
                    <a:blip r:embed="rId8"/>
                    <a:stretch>
                      <a:fillRect/>
                    </a:stretch>
                  </pic:blipFill>
                  <pic:spPr>
                    <a:xfrm>
                      <a:off x="0" y="0"/>
                      <a:ext cx="3011170" cy="2518410"/>
                    </a:xfrm>
                    <a:prstGeom prst="rect">
                      <a:avLst/>
                    </a:prstGeom>
                  </pic:spPr>
                </pic:pic>
              </a:graphicData>
            </a:graphic>
          </wp:inline>
        </w:drawing>
      </w:r>
    </w:p>
    <w:p w14:paraId="34F3C33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✱企业文化</w:t>
      </w:r>
    </w:p>
    <w:p w14:paraId="0A5C0D8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我们生产和销售具有优越性价比的超值产品，让所有中国人用上超值和安全可靠的产品；</w:t>
      </w:r>
    </w:p>
    <w:p w14:paraId="062C1C3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为此，我们将获得不断增长的市场份额和利润，并实现员工，股东，客户三赢。</w:t>
      </w:r>
    </w:p>
    <w:p w14:paraId="1253B39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客户为上：不以牺牲客户的利益为代价去追求短期利益的最大化；</w:t>
      </w:r>
    </w:p>
    <w:p w14:paraId="6198310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主人翁的精神：像对待自己的事情一样，对待每天的工作和每一个决定；</w:t>
      </w:r>
    </w:p>
    <w:p w14:paraId="61C77E9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积极求胜：“我能行”的态度，注重执行；</w:t>
      </w:r>
    </w:p>
    <w:p w14:paraId="1803C68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坦诚互信：诚实正直，互相信任，就事论事，相互关爱，团结合作；</w:t>
      </w:r>
    </w:p>
    <w:p w14:paraId="66065A6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心怀感恩：怀着一颗感恩的心，不要忘记说“谢谢你”；</w:t>
      </w:r>
    </w:p>
    <w:p w14:paraId="3620074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我们乐意倾听，我们设法满足并超越客户的期望；</w:t>
      </w:r>
    </w:p>
    <w:p w14:paraId="3E2CB98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有策略地着眼于每天的工作；</w:t>
      </w:r>
    </w:p>
    <w:p w14:paraId="00D3B8E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学习和创新是我们成功的基石。</w:t>
      </w:r>
    </w:p>
    <w:p w14:paraId="3A92B46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✱品牌故事</w:t>
      </w:r>
    </w:p>
    <w:p w14:paraId="157F9F9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1917年，上海嘉定县黄渡乡一个名叫顾植民的年轻人，年仅14岁便从乡下跑到上海城里谋生，先后在烟纸店、小茶馆和工厂中当学徒。之后，凭着过人的聪慧与勤快，又先后到典当行当了账房先生，到百货商店当了“跑街先生”。1929年，这位26岁的年轻人通过应聘，在闻名遐迩的上海先施百货公司谋得了人生中第一份体面的差事——化妆品销售员。</w:t>
      </w:r>
    </w:p>
    <w:p w14:paraId="51BDF70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当顾植民搞清楚化妆品的生产流程、进出货渠道以及利润来源后，这位怀揣梦想的年轻人开始筹划自己的化妆品公司。1937年，顾植民辞去工作，在位于崇德路（今普安路）91弄（培福里）33号的一幢三层楼的石库门楼房内创办了富贝康化妆品有限公司。</w:t>
      </w:r>
    </w:p>
    <w:p w14:paraId="368E7D2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1931年，“百雀羚”品牌创立。关于这个品牌的来历，有传闻说：一天，顾植民在路上遇见一算命瞎子，便上前询问该为自己的产品取个什么样的名字？盲人掐指细算后遂定名“百雀羚”。百雀，为百鸟朝凤之意；羚，是上海话“灵光”的谐音。顾植民一听，正中下怀，当场拍板定下。在他看来，“百”意味着许许多多，“雀”指的是各种鸟类；“羚”是鸟儿羽毛中所分泌出来的油脂。“百雀羚”，顾名思义，便是从鸟羽中提炼出来的油脂精华。</w:t>
      </w:r>
    </w:p>
    <w:p w14:paraId="3EC575D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✱品牌发展历程 </w:t>
      </w:r>
    </w:p>
    <w:p w14:paraId="4D29C36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是很多人喜欢的一个牌子，它的发展，也经过了很长的一段时间。百雀羚起源于1931年，上海富贝康公司引进德国配方，中国第一代护肤品成功问世；扬名自30年代初，百雀羚护肤香脂热销全国及东南亚主要地区，成为名媛贵族首选的护肤佳品。到1949年上海新中国成立之前，“百雀羚”的产品已遍布全国，北到哈尔滨，南到香港，西到青海，甚至远销至东南亚各国。</w:t>
      </w:r>
    </w:p>
    <w:p w14:paraId="02875EBD">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3689985" cy="1591310"/>
            <wp:effectExtent l="0" t="0" r="13335" b="889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9"/>
                    <a:stretch>
                      <a:fillRect/>
                    </a:stretch>
                  </pic:blipFill>
                  <pic:spPr>
                    <a:xfrm>
                      <a:off x="0" y="0"/>
                      <a:ext cx="3689985" cy="1591310"/>
                    </a:xfrm>
                    <a:prstGeom prst="rect">
                      <a:avLst/>
                    </a:prstGeom>
                    <a:noFill/>
                    <a:ln w="9525">
                      <a:noFill/>
                    </a:ln>
                  </pic:spPr>
                </pic:pic>
              </a:graphicData>
            </a:graphic>
          </wp:inline>
        </w:drawing>
      </w:r>
    </w:p>
    <w:p w14:paraId="19D4EF2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发展80年代后，国内首创肌肤由单纯的“保护”诉求，进入全面“护理、滋养”的护肤新理念，旗下的百雀羚、凤凰产品系列风靡全国；20世纪90年代初，由于外资化妆品牌大举进入中国，百雀羚作为本土品牌渐渐沉寂。</w:t>
      </w:r>
    </w:p>
    <w:p w14:paraId="63A330A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2000年，改制为民营的上海百雀羚日用化学品公司成立后，引入产业资本及专业团队，开启了“百雀羚”艰难的品牌转型之路。</w:t>
      </w:r>
    </w:p>
    <w:p w14:paraId="5411214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2001年，百雀羚公司携手世界500强前列的美国迪士尼公司，联合推出儿童护理系列产品－小百羚。该品牌的诞生震撼业界，并迅速取得了可喜成绩。同时公司在产品开发、技术配方及生产流程上均获得了美国迪士尼公司审核的A级评价。</w:t>
      </w:r>
    </w:p>
    <w:p w14:paraId="2B6B3DD3">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089660" cy="1750695"/>
            <wp:effectExtent l="0" t="0" r="7620"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1089660" cy="1750695"/>
                    </a:xfrm>
                    <a:prstGeom prst="rect">
                      <a:avLst/>
                    </a:prstGeom>
                    <a:noFill/>
                    <a:ln>
                      <a:noFill/>
                    </a:ln>
                  </pic:spPr>
                </pic:pic>
              </a:graphicData>
            </a:graphic>
          </wp:inline>
        </w:drawing>
      </w:r>
    </w:p>
    <w:p w14:paraId="20B9B26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2002年百雀羚“凤凰甘油一号”诞生，无香精无色素的安全配方，广受万千女性追捧；2004年推出凡士林保湿润肤霜，以其卓越的安全护肤品质，风靡全国，在网络上被誉为“中国小黄油”。</w:t>
      </w:r>
    </w:p>
    <w:p w14:paraId="0AEAE076">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561465" cy="1623695"/>
            <wp:effectExtent l="0" t="0" r="825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1561465" cy="1623695"/>
                    </a:xfrm>
                    <a:prstGeom prst="rect">
                      <a:avLst/>
                    </a:prstGeom>
                    <a:noFill/>
                    <a:ln>
                      <a:noFill/>
                    </a:ln>
                  </pic:spPr>
                </pic:pic>
              </a:graphicData>
            </a:graphic>
          </wp:inline>
        </w:drawing>
      </w:r>
    </w:p>
    <w:p w14:paraId="6CFE748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2006年，展开“草本能量探索工程”。百雀羚深谙草本，不仅保证原料草本的完美天然品质，更通过全新研发的冷浸泡萃取技术，解决了活性物质无法完整保留等长期困扰草本护肤行业的难题，领先业界。</w:t>
      </w:r>
    </w:p>
    <w:p w14:paraId="0239A8A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2008年，凝结百雀羚科研成果的新一代草本精萃系列开始畅销。质地温和醇厚，效果安全卓越，从而将草本能量科技与天然护肤理念引领至新的高度之上。</w:t>
      </w:r>
    </w:p>
    <w:p w14:paraId="34C504CC">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05000" cy="1805305"/>
            <wp:effectExtent l="0" t="0" r="0" b="825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1905000" cy="1805305"/>
                    </a:xfrm>
                    <a:prstGeom prst="rect">
                      <a:avLst/>
                    </a:prstGeom>
                    <a:noFill/>
                    <a:ln>
                      <a:noFill/>
                    </a:ln>
                  </pic:spPr>
                </pic:pic>
              </a:graphicData>
            </a:graphic>
          </wp:inline>
        </w:drawing>
      </w:r>
    </w:p>
    <w:p w14:paraId="65DC388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2015年，百雀羚肌初赋活系列上市，持续以草本能量打造抗老系列，以更丰富的草本护肤佳品引领国内化妆品市场新的巅峰。</w:t>
      </w:r>
    </w:p>
    <w:p w14:paraId="0FAED1F5">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66595" cy="1702435"/>
            <wp:effectExtent l="0" t="0" r="14605" b="444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3"/>
                    <a:stretch>
                      <a:fillRect/>
                    </a:stretch>
                  </pic:blipFill>
                  <pic:spPr>
                    <a:xfrm>
                      <a:off x="0" y="0"/>
                      <a:ext cx="1966595" cy="1702435"/>
                    </a:xfrm>
                    <a:prstGeom prst="rect">
                      <a:avLst/>
                    </a:prstGeom>
                    <a:noFill/>
                    <a:ln>
                      <a:noFill/>
                    </a:ln>
                  </pic:spPr>
                </pic:pic>
              </a:graphicData>
            </a:graphic>
          </wp:inline>
        </w:drawing>
      </w:r>
    </w:p>
    <w:p w14:paraId="796A31B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2020年百雀羚集团科技新草本战略升级的第一步，就是与多年的合作伙伴德国默克集团达成了战略合作，并于年共同重磅推出了淡纹抗老系列：百雀羚帧颜淡纹修护系列。</w:t>
      </w:r>
    </w:p>
    <w:p w14:paraId="5A7AA22D">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38655" cy="1938655"/>
            <wp:effectExtent l="0" t="0" r="12065" b="12065"/>
            <wp:docPr id="14" name="图片 14" descr="女士保湿套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女士保湿套装-3"/>
                    <pic:cNvPicPr>
                      <a:picLocks noChangeAspect="1"/>
                    </pic:cNvPicPr>
                  </pic:nvPicPr>
                  <pic:blipFill>
                    <a:blip r:embed="rId14"/>
                    <a:stretch>
                      <a:fillRect/>
                    </a:stretch>
                  </pic:blipFill>
                  <pic:spPr>
                    <a:xfrm>
                      <a:off x="0" y="0"/>
                      <a:ext cx="1938655" cy="1938655"/>
                    </a:xfrm>
                    <a:prstGeom prst="rect">
                      <a:avLst/>
                    </a:prstGeom>
                  </pic:spPr>
                </pic:pic>
              </a:graphicData>
            </a:graphic>
          </wp:inline>
        </w:drawing>
      </w:r>
    </w:p>
    <w:p w14:paraId="2D93859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✱品牌理念</w:t>
      </w:r>
    </w:p>
    <w:p w14:paraId="6898D30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安全护肤是东方护肤之道，百雀羚由来秉持这一理念，多年潜心钻研安全无刺激的草本护肤方法，遵循五行“相辅相生”的平衡理念，从《本草纲目》和《神农本草经》等医学圣典中，探寻现代草本护肤应用指法。专设“草本工坊”，探寻现代草本护肤之道，成立汉方草本研究，萃取自然精华，草本精心配伍，提炼出温和醇厚的五行能量元。为肌肤注入鲜活的草本能量，安全倍护，再现天生美肌。</w:t>
      </w:r>
    </w:p>
    <w:p w14:paraId="25B0E99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百雀羚来自东方，源于中国，讲究东方美学的平衡和谐之道。相信对于肌肤，强施不如调养，雕琢不如自然。以草本自然能量，滋润养护肌肤。让属于你的现代东方之美，自然散发。</w:t>
      </w:r>
    </w:p>
    <w:p w14:paraId="5F6064B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✱产品介绍</w:t>
      </w:r>
    </w:p>
    <w:p w14:paraId="10F0C59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目前百雀羚草本下产品系列主要由帧颜淡纹修护、鎏金奢养、水光肌、鲜妍新肌、水活能量、水嫩倍现、水能量、肌初赋活、至臻皙白、原液面貌等。本次营销主要以明星产品百雀羚帧颜修护礼盒、男士水能护肤套装为主。</w:t>
      </w:r>
    </w:p>
    <w:p w14:paraId="7FD2A6A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产品一：帧颜淡纹修护精华霜</w:t>
      </w:r>
    </w:p>
    <w:p w14:paraId="666C788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百雀羚帧颜淡纹修护系列是百雀羚「科技新草本」战略升级的代表作，而此款帧颜淡纹修护精华霜是百雀羚帧颜淡纹修护系列的一款明星产品，是百雀羚携手德国默克研制的第一款针对东方女性肌肤衰老的面霜。</w:t>
      </w:r>
    </w:p>
    <w:p w14:paraId="30A8ABEB">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226820" cy="1226820"/>
            <wp:effectExtent l="0" t="0" r="7620" b="7620"/>
            <wp:docPr id="18" name="图片 18" descr="女士淡纹修护眼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女士淡纹修护眼霜"/>
                    <pic:cNvPicPr>
                      <a:picLocks noChangeAspect="1"/>
                    </pic:cNvPicPr>
                  </pic:nvPicPr>
                  <pic:blipFill>
                    <a:blip r:embed="rId15"/>
                    <a:stretch>
                      <a:fillRect/>
                    </a:stretch>
                  </pic:blipFill>
                  <pic:spPr>
                    <a:xfrm>
                      <a:off x="0" y="0"/>
                      <a:ext cx="1226820" cy="1226820"/>
                    </a:xfrm>
                    <a:prstGeom prst="rect">
                      <a:avLst/>
                    </a:prstGeom>
                  </pic:spPr>
                </pic:pic>
              </a:graphicData>
            </a:graphic>
          </wp:inline>
        </w:drawing>
      </w:r>
    </w:p>
    <w:p w14:paraId="1013935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在百雀羚帧颜霜的配方中，含有4.8%的精纯视黄醇、90%高纯人参多肽、4倍浓缩积雪草精粹等多重有效成分，不但可以补充胶原蛋白、饱满肌底，还可以帮助肌肤抹平细纹，提高肌肤自我修复能力。</w:t>
      </w:r>
    </w:p>
    <w:p w14:paraId="55372BC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外，帧颜霜的核心成分为百雀羚独家高科技萃取植物精粹ProVTA原初因。这一黑科技成分只有毛孔的千分之一大小，可以轻松地钻进毛孔通道，渗透入皮肤。在渗透过程中，ProVTA的脂质体包裹技术还能起到一个很好的保护外衣作用，可以精准地让ProVTA渗透到真皮层再有效地释放出抗初老活性成分，有效帮助淡化可见纹、隐褪潜在纹。</w:t>
      </w:r>
    </w:p>
    <w:p w14:paraId="430F7EA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功效：从「外淡纹」+「内修护」出发，以「视黄醇」和百雀羚独家黑科技成分「ProVTA™原初因」为核心成分，一个淡化已上脸的细纹，一个从真皮层修护肌肤&amp;延缓肌肤老化，内外兼修帮助对抗细纹；积雪草提取物、人参根提取物、透明质酸钠等成分，加强修护及抗初老能力。轻盈的冰淇淋质地，有一定的保湿力度，清爽不黏腻。对偏油皮很友好，干皮可视情况叠加其他产品</w:t>
      </w:r>
    </w:p>
    <w:p w14:paraId="653B299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50g装市场价358元，25g装市场价199元。单个产品的促销活动价格不能低于8折，两个规格产品搭配销售价格也不能低于7.5折。</w:t>
      </w:r>
    </w:p>
    <w:p w14:paraId="1358C56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产品二：百雀羚男士水能套装</w:t>
      </w:r>
    </w:p>
    <w:p w14:paraId="39422D6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百雀羚此款男士水能套装内含男士水能保湿黑炭抗黑头洁面膏（100g）、男士水能保湿强润能量水（100ml）、男士水能保湿强润高保湿乳（100ml）三款产品。</w:t>
      </w:r>
    </w:p>
    <w:p w14:paraId="239B27BA">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661795" cy="1782445"/>
            <wp:effectExtent l="0" t="0" r="14605" b="6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6"/>
                    <a:stretch>
                      <a:fillRect/>
                    </a:stretch>
                  </pic:blipFill>
                  <pic:spPr>
                    <a:xfrm>
                      <a:off x="0" y="0"/>
                      <a:ext cx="1661795" cy="1782445"/>
                    </a:xfrm>
                    <a:prstGeom prst="rect">
                      <a:avLst/>
                    </a:prstGeom>
                    <a:noFill/>
                    <a:ln>
                      <a:noFill/>
                    </a:ln>
                  </pic:spPr>
                </pic:pic>
              </a:graphicData>
            </a:graphic>
          </wp:inline>
        </w:drawing>
      </w:r>
    </w:p>
    <w:p w14:paraId="012840E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功效：保湿、舒缓、清爽。洁面膏富含活性黑炭，以黑吸黑，能有效吸附堵塞毛孔的污垢和黑头，深层磁力清洁，洗后清爽不紧绷；能量水富含烟酰胺，能够强效锁水保湿，舒缓剃须后肌肤不适，澎湃补水不黏腻；精华乳富含芦荟，沁润易吸收，减缓水分流失，形成锁水屏障，保持肌肤澎弹润泽。</w:t>
      </w:r>
    </w:p>
    <w:p w14:paraId="72EEC05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适合肤质：油性肌肤、干性肌肤、混合性肌肤</w:t>
      </w:r>
    </w:p>
    <w:p w14:paraId="4A8A57E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主要成分：金钗石斛、苦参根、芦荟叶</w:t>
      </w:r>
    </w:p>
    <w:p w14:paraId="45A0320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产品细节：按压头设计，使用方便，取量可控，避免双手直接接触造成的污染；深蓝色瓶身，设计低调稳重。</w:t>
      </w:r>
    </w:p>
    <w:p w14:paraId="337D0F7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款百雀羚男士水能套装市场价306元，单支水能保湿黑炭抗黑头洁面膏市场价93元，单瓶男士水能强润高保湿乳市场价170元，单瓶男士水能强润能量水市场价156元。百雀羚男士水能套装活动价格不允许低于市场价的9折。</w:t>
      </w:r>
    </w:p>
    <w:p w14:paraId="575E67A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赠品一：百雀羚帧颜淡纹修护眼膜</w:t>
      </w:r>
    </w:p>
    <w:p w14:paraId="3952619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此款百雀羚帧颜淡纹修护眼膜主要成分是积雪草、精纯人参多肽、视黄醇等。能深入修护肌底、淡退眼周细纹、沁润眼周，赋活肌底韧性，肌肤紧致饱满，更显年轻。适合所有肤质。</w:t>
      </w:r>
    </w:p>
    <w:p w14:paraId="23E83C4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市场价2片装/袋，1袋38元，每片19元。购买金额每满500元，允许赠送1片。</w:t>
      </w:r>
    </w:p>
    <w:p w14:paraId="42915171">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564005" cy="1701165"/>
            <wp:effectExtent l="0" t="0" r="5715" b="571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7"/>
                    <a:stretch>
                      <a:fillRect/>
                    </a:stretch>
                  </pic:blipFill>
                  <pic:spPr>
                    <a:xfrm>
                      <a:off x="0" y="0"/>
                      <a:ext cx="1564005" cy="1701165"/>
                    </a:xfrm>
                    <a:prstGeom prst="rect">
                      <a:avLst/>
                    </a:prstGeom>
                    <a:noFill/>
                    <a:ln>
                      <a:noFill/>
                    </a:ln>
                  </pic:spPr>
                </pic:pic>
              </a:graphicData>
            </a:graphic>
          </wp:inline>
        </w:drawing>
      </w:r>
    </w:p>
    <w:p w14:paraId="2A7D7A4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赠品二：男士控油保湿黑精华面膜</w:t>
      </w:r>
    </w:p>
    <w:p w14:paraId="1D9CA52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款男士控油保湿黑精华面膜主要功效是控油平衡、补水保湿、细致毛孔，舒缓修护。多微孔结构备长炭膜布能深层净化毛孔，吸附多余油脂。高纯透明质酸钠和银耳子实体提取物能有效补水保湿。高纯维生素原B5积雪草提取物能有效舒缓肌肤不适，双重酵母茶叶提取物能很好地维持水油平衡。</w:t>
      </w:r>
    </w:p>
    <w:p w14:paraId="7F3CEF5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市场价每片19.9元，购买金额每满400元，允许赠送1片。</w:t>
      </w:r>
    </w:p>
    <w:p w14:paraId="79C37B9A">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835150" cy="1974215"/>
            <wp:effectExtent l="0" t="0" r="8890" b="698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8"/>
                    <a:stretch>
                      <a:fillRect/>
                    </a:stretch>
                  </pic:blipFill>
                  <pic:spPr>
                    <a:xfrm>
                      <a:off x="0" y="0"/>
                      <a:ext cx="1835150" cy="1974215"/>
                    </a:xfrm>
                    <a:prstGeom prst="rect">
                      <a:avLst/>
                    </a:prstGeom>
                    <a:noFill/>
                    <a:ln>
                      <a:noFill/>
                    </a:ln>
                  </pic:spPr>
                </pic:pic>
              </a:graphicData>
            </a:graphic>
          </wp:inline>
        </w:drawing>
      </w:r>
    </w:p>
    <w:p w14:paraId="089408D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（2）考核要求</w:t>
      </w:r>
    </w:p>
    <w:p w14:paraId="2B9E4609">
      <w:pPr>
        <w:spacing w:line="360" w:lineRule="auto"/>
        <w:ind w:firstLine="560" w:firstLineChars="200"/>
        <w:rPr>
          <w:rFonts w:ascii="仿宋_GB2312" w:hAnsi="仿宋_GB2312" w:eastAsia="仿宋_GB2312" w:cs="仿宋_GB2312"/>
        </w:rPr>
      </w:pPr>
      <w:r>
        <w:rPr>
          <w:rFonts w:hint="eastAsia" w:ascii="仿宋_GB2312" w:hAnsi="仿宋_GB2312" w:eastAsia="仿宋_GB2312" w:cs="仿宋_GB2312"/>
          <w:sz w:val="28"/>
          <w:szCs w:val="28"/>
        </w:rPr>
        <w:t>上海百雀羚日用化学有限公司市场部根据前期市场和客户数据调研发现帧颜淡纹修护精华霜这款产品市场需求不断上升。消费者对此款产品质量的评价反馈良好，但普遍反映价格偏高。由于价格原因放弃购买，选择其他品牌作为替代品的消费者人数不断攀升。针对此种现状，市场部决定借“618节日”的营销氛围，进行一次线上线下相结合的促销活动，提高品牌的认知度和忠诚度，促进产品的销售和市场占有率的提升。并根据营销活动的具体活动内容，面向目标受众，借助新媒体文案编辑工具，制作一篇图文并茂的新媒体宣传文案。</w:t>
      </w:r>
    </w:p>
    <w:p w14:paraId="6FA70F40">
      <w:pPr>
        <w:pStyle w:val="2"/>
        <w:rPr>
          <w:b w:val="0"/>
          <w:bCs/>
        </w:rPr>
      </w:pPr>
      <w:r>
        <w:rPr>
          <w:rFonts w:hint="eastAsia"/>
          <w:b w:val="0"/>
          <w:bCs/>
        </w:rPr>
        <w:t>九、成绩评定</w:t>
      </w:r>
    </w:p>
    <w:p w14:paraId="28EF56B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（一）评分标准</w:t>
      </w:r>
    </w:p>
    <w:p w14:paraId="1BA75CD8">
      <w:pPr>
        <w:pStyle w:val="6"/>
        <w:ind w:left="0" w:firstLine="480" w:firstLineChars="200"/>
        <w:jc w:val="center"/>
        <w:rPr>
          <w:rFonts w:ascii="黑体" w:hAnsi="黑体" w:eastAsia="黑体" w:cs="黑体"/>
          <w:kern w:val="2"/>
          <w:sz w:val="24"/>
          <w:szCs w:val="24"/>
        </w:rPr>
      </w:pPr>
      <w:r>
        <w:rPr>
          <w:rFonts w:hint="eastAsia" w:ascii="黑体" w:hAnsi="黑体" w:eastAsia="黑体" w:cs="黑体"/>
          <w:kern w:val="2"/>
          <w:sz w:val="24"/>
          <w:szCs w:val="24"/>
        </w:rPr>
        <w:t>表 评分标准</w:t>
      </w:r>
    </w:p>
    <w:tbl>
      <w:tblPr>
        <w:tblStyle w:val="13"/>
        <w:tblW w:w="57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2"/>
        <w:gridCol w:w="1334"/>
        <w:gridCol w:w="596"/>
        <w:gridCol w:w="1039"/>
        <w:gridCol w:w="4566"/>
        <w:gridCol w:w="907"/>
        <w:gridCol w:w="865"/>
      </w:tblGrid>
      <w:tr w14:paraId="06675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1826"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6E4DC50A">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模块</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069AC6D1">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评分内容</w:t>
            </w:r>
          </w:p>
        </w:tc>
        <w:tc>
          <w:tcPr>
            <w:tcW w:w="456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4E37353">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评分细则</w:t>
            </w:r>
          </w:p>
        </w:tc>
        <w:tc>
          <w:tcPr>
            <w:tcW w:w="90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04F1181">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w:t>
            </w:r>
          </w:p>
        </w:tc>
        <w:tc>
          <w:tcPr>
            <w:tcW w:w="86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C29BD6E">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评分方式</w:t>
            </w:r>
          </w:p>
        </w:tc>
      </w:tr>
      <w:tr w14:paraId="38EF3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tcBorders>
              <w:top w:val="single" w:color="000000" w:sz="4" w:space="0"/>
              <w:left w:val="single" w:color="000000" w:sz="4" w:space="0"/>
              <w:right w:val="single" w:color="000000" w:sz="4" w:space="0"/>
            </w:tcBorders>
            <w:vAlign w:val="center"/>
          </w:tcPr>
          <w:p w14:paraId="706F4610">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数字营销推广</w:t>
            </w:r>
          </w:p>
        </w:tc>
        <w:tc>
          <w:tcPr>
            <w:tcW w:w="6201" w:type="dxa"/>
            <w:gridSpan w:val="3"/>
            <w:tcBorders>
              <w:top w:val="single" w:color="000000" w:sz="4" w:space="0"/>
              <w:left w:val="single" w:color="000000" w:sz="4" w:space="0"/>
              <w:right w:val="single" w:color="000000" w:sz="4" w:space="0"/>
            </w:tcBorders>
            <w:vAlign w:val="center"/>
          </w:tcPr>
          <w:p w14:paraId="63F37E8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通过展现量、点击量和点击率反馈选手的图文、短视频推广的效果。展现量满分6分、点击量满分14分、点击率满分10分，每项效果最好的选手获得该项成绩的满分，其余选手以与该项第一名的比值作为权重进行加权计算，总分为三项成绩之和。</w:t>
            </w:r>
          </w:p>
          <w:p w14:paraId="5C97949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具体计算为：</w:t>
            </w:r>
          </w:p>
          <w:p w14:paraId="3CB9973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展现量的第一名的团队展现量得分6分，点击量的第一名团队点击得分14分，点击率的第一名团队点击率得分10分，其余名次参赛团队的展现量成绩=6分*本选手展现量/展现量第一名团队的展现量，点击量成绩=14分*本选手点击量/点击量第一名团队的点击量，点击率成绩=10分*本选手点击率/点击率第一名团队的点击率。各选手最终成绩=展现量成绩+点击量成绩+点击率成绩。</w:t>
            </w:r>
          </w:p>
        </w:tc>
        <w:tc>
          <w:tcPr>
            <w:tcW w:w="907" w:type="dxa"/>
            <w:tcBorders>
              <w:top w:val="single" w:color="000000" w:sz="4" w:space="0"/>
              <w:left w:val="single" w:color="000000" w:sz="4" w:space="0"/>
              <w:right w:val="single" w:color="000000" w:sz="4" w:space="0"/>
            </w:tcBorders>
            <w:vAlign w:val="center"/>
          </w:tcPr>
          <w:p w14:paraId="3A0DA26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30分</w:t>
            </w:r>
          </w:p>
        </w:tc>
        <w:tc>
          <w:tcPr>
            <w:tcW w:w="865" w:type="dxa"/>
            <w:tcBorders>
              <w:top w:val="single" w:color="000000" w:sz="4" w:space="0"/>
              <w:left w:val="single" w:color="000000" w:sz="4" w:space="0"/>
              <w:right w:val="single" w:color="000000" w:sz="4" w:space="0"/>
            </w:tcBorders>
            <w:vAlign w:val="center"/>
          </w:tcPr>
          <w:p w14:paraId="379A6B8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17E8E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restart"/>
            <w:tcBorders>
              <w:left w:val="single" w:color="000000" w:sz="4" w:space="0"/>
              <w:right w:val="single" w:color="000000" w:sz="4" w:space="0"/>
            </w:tcBorders>
            <w:vAlign w:val="center"/>
          </w:tcPr>
          <w:p w14:paraId="53798791">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直播营销</w:t>
            </w:r>
          </w:p>
        </w:tc>
        <w:tc>
          <w:tcPr>
            <w:tcW w:w="1334" w:type="dxa"/>
            <w:tcBorders>
              <w:left w:val="single" w:color="000000" w:sz="4" w:space="0"/>
              <w:right w:val="single" w:color="000000" w:sz="4" w:space="0"/>
            </w:tcBorders>
            <w:vAlign w:val="center"/>
          </w:tcPr>
          <w:p w14:paraId="5765E422">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市场信息分析</w:t>
            </w:r>
          </w:p>
        </w:tc>
        <w:tc>
          <w:tcPr>
            <w:tcW w:w="6201" w:type="dxa"/>
            <w:gridSpan w:val="3"/>
            <w:tcBorders>
              <w:left w:val="single" w:color="000000" w:sz="4" w:space="0"/>
              <w:right w:val="single" w:color="000000" w:sz="4" w:space="0"/>
            </w:tcBorders>
            <w:vAlign w:val="center"/>
          </w:tcPr>
          <w:p w14:paraId="4898DF3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所选的商品达到5款；5款商品的角色定位符合要求，且包含引流款、利润款、形象款，商品定位数量比例合理。</w:t>
            </w:r>
          </w:p>
        </w:tc>
        <w:tc>
          <w:tcPr>
            <w:tcW w:w="907" w:type="dxa"/>
            <w:tcBorders>
              <w:left w:val="single" w:color="000000" w:sz="4" w:space="0"/>
              <w:right w:val="single" w:color="000000" w:sz="4" w:space="0"/>
            </w:tcBorders>
            <w:vAlign w:val="center"/>
          </w:tcPr>
          <w:p w14:paraId="53EF9C4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529C814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00F8F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16EAFE6A">
            <w:pPr>
              <w:spacing w:line="360" w:lineRule="auto"/>
              <w:jc w:val="left"/>
              <w:rPr>
                <w:rFonts w:ascii="仿宋_GB2312" w:hAnsi="仿宋_GB2312" w:eastAsia="仿宋_GB2312" w:cs="仿宋_GB2312"/>
                <w:b/>
                <w:bCs/>
                <w:sz w:val="24"/>
              </w:rPr>
            </w:pPr>
          </w:p>
        </w:tc>
        <w:tc>
          <w:tcPr>
            <w:tcW w:w="1334" w:type="dxa"/>
            <w:vMerge w:val="restart"/>
            <w:tcBorders>
              <w:left w:val="single" w:color="000000" w:sz="4" w:space="0"/>
              <w:right w:val="single" w:color="000000" w:sz="4" w:space="0"/>
            </w:tcBorders>
            <w:vAlign w:val="center"/>
          </w:tcPr>
          <w:p w14:paraId="1A19BDAB">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直播规划</w:t>
            </w:r>
          </w:p>
        </w:tc>
        <w:tc>
          <w:tcPr>
            <w:tcW w:w="1635" w:type="dxa"/>
            <w:gridSpan w:val="2"/>
            <w:tcBorders>
              <w:left w:val="single" w:color="000000" w:sz="4" w:space="0"/>
              <w:right w:val="single" w:color="000000" w:sz="4" w:space="0"/>
            </w:tcBorders>
            <w:vAlign w:val="center"/>
          </w:tcPr>
          <w:p w14:paraId="6296343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主题策划</w:t>
            </w:r>
          </w:p>
        </w:tc>
        <w:tc>
          <w:tcPr>
            <w:tcW w:w="4566" w:type="dxa"/>
            <w:tcBorders>
              <w:left w:val="single" w:color="000000" w:sz="4" w:space="0"/>
              <w:right w:val="single" w:color="000000" w:sz="4" w:space="0"/>
            </w:tcBorders>
            <w:vAlign w:val="center"/>
          </w:tcPr>
          <w:p w14:paraId="6021D27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主题类型、直播主题设计、直播时间策划需符合背景要求。</w:t>
            </w:r>
          </w:p>
        </w:tc>
        <w:tc>
          <w:tcPr>
            <w:tcW w:w="907" w:type="dxa"/>
            <w:tcBorders>
              <w:left w:val="single" w:color="000000" w:sz="4" w:space="0"/>
              <w:right w:val="single" w:color="000000" w:sz="4" w:space="0"/>
            </w:tcBorders>
            <w:vAlign w:val="center"/>
          </w:tcPr>
          <w:p w14:paraId="5C5A838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4AFC0E0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2FD00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C63205C">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26079E6E">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5021B25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互动策划</w:t>
            </w:r>
          </w:p>
        </w:tc>
        <w:tc>
          <w:tcPr>
            <w:tcW w:w="4566" w:type="dxa"/>
            <w:tcBorders>
              <w:left w:val="single" w:color="000000" w:sz="4" w:space="0"/>
              <w:right w:val="single" w:color="000000" w:sz="4" w:space="0"/>
            </w:tcBorders>
            <w:vAlign w:val="center"/>
          </w:tcPr>
          <w:p w14:paraId="1E5E59E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直播开场、商品促销及直播收尾至少各包含一个互动，至少包含3种促销形式。</w:t>
            </w:r>
          </w:p>
        </w:tc>
        <w:tc>
          <w:tcPr>
            <w:tcW w:w="907" w:type="dxa"/>
            <w:tcBorders>
              <w:left w:val="single" w:color="000000" w:sz="4" w:space="0"/>
              <w:right w:val="single" w:color="000000" w:sz="4" w:space="0"/>
            </w:tcBorders>
            <w:vAlign w:val="center"/>
          </w:tcPr>
          <w:p w14:paraId="63127A0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0.6分</w:t>
            </w:r>
          </w:p>
        </w:tc>
        <w:tc>
          <w:tcPr>
            <w:tcW w:w="865" w:type="dxa"/>
            <w:tcBorders>
              <w:left w:val="single" w:color="000000" w:sz="4" w:space="0"/>
              <w:right w:val="single" w:color="000000" w:sz="4" w:space="0"/>
            </w:tcBorders>
            <w:vAlign w:val="center"/>
          </w:tcPr>
          <w:p w14:paraId="7C25849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6535D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5549302E">
            <w:pPr>
              <w:spacing w:line="360" w:lineRule="auto"/>
              <w:jc w:val="left"/>
              <w:rPr>
                <w:rFonts w:ascii="仿宋_GB2312" w:hAnsi="仿宋_GB2312" w:eastAsia="仿宋_GB2312" w:cs="仿宋_GB2312"/>
                <w:b/>
                <w:bCs/>
                <w:sz w:val="24"/>
              </w:rPr>
            </w:pPr>
          </w:p>
        </w:tc>
        <w:tc>
          <w:tcPr>
            <w:tcW w:w="1334" w:type="dxa"/>
            <w:vMerge w:val="restart"/>
            <w:tcBorders>
              <w:left w:val="single" w:color="000000" w:sz="4" w:space="0"/>
              <w:right w:val="single" w:color="000000" w:sz="4" w:space="0"/>
            </w:tcBorders>
            <w:vAlign w:val="center"/>
          </w:tcPr>
          <w:p w14:paraId="6ED82AE6">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脚本策划</w:t>
            </w:r>
          </w:p>
        </w:tc>
        <w:tc>
          <w:tcPr>
            <w:tcW w:w="1635" w:type="dxa"/>
            <w:gridSpan w:val="2"/>
            <w:tcBorders>
              <w:left w:val="single" w:color="000000" w:sz="4" w:space="0"/>
              <w:right w:val="single" w:color="000000" w:sz="4" w:space="0"/>
            </w:tcBorders>
            <w:vAlign w:val="center"/>
          </w:tcPr>
          <w:p w14:paraId="5225159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整场直播脚本策划</w:t>
            </w:r>
          </w:p>
        </w:tc>
        <w:tc>
          <w:tcPr>
            <w:tcW w:w="4566" w:type="dxa"/>
            <w:tcBorders>
              <w:left w:val="single" w:color="000000" w:sz="4" w:space="0"/>
              <w:right w:val="single" w:color="000000" w:sz="4" w:space="0"/>
            </w:tcBorders>
            <w:vAlign w:val="center"/>
          </w:tcPr>
          <w:p w14:paraId="5230E97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整场直播脚本必须包含直播开场、商品介绍、直播收尾、直播互动环节，脚本内容撰写详细、逻辑清晰、有创意且符合背景资料。</w:t>
            </w:r>
          </w:p>
        </w:tc>
        <w:tc>
          <w:tcPr>
            <w:tcW w:w="907" w:type="dxa"/>
            <w:tcBorders>
              <w:left w:val="single" w:color="000000" w:sz="4" w:space="0"/>
              <w:right w:val="single" w:color="000000" w:sz="4" w:space="0"/>
            </w:tcBorders>
            <w:vAlign w:val="center"/>
          </w:tcPr>
          <w:p w14:paraId="77B176E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2分</w:t>
            </w:r>
          </w:p>
        </w:tc>
        <w:tc>
          <w:tcPr>
            <w:tcW w:w="865" w:type="dxa"/>
            <w:tcBorders>
              <w:left w:val="single" w:color="000000" w:sz="4" w:space="0"/>
              <w:right w:val="single" w:color="000000" w:sz="4" w:space="0"/>
            </w:tcBorders>
            <w:vAlign w:val="center"/>
          </w:tcPr>
          <w:p w14:paraId="06F58E2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0D101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79E71500">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47312C65">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5F183EB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单品直播脚本策划</w:t>
            </w:r>
          </w:p>
        </w:tc>
        <w:tc>
          <w:tcPr>
            <w:tcW w:w="4566" w:type="dxa"/>
            <w:tcBorders>
              <w:left w:val="single" w:color="000000" w:sz="4" w:space="0"/>
              <w:right w:val="single" w:color="000000" w:sz="4" w:space="0"/>
            </w:tcBorders>
            <w:vAlign w:val="center"/>
          </w:tcPr>
          <w:p w14:paraId="1446524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单品脚本内容包括还原场景介绍、抬高需求、展示卖点、灌输理念、促进成交等部分。</w:t>
            </w:r>
          </w:p>
        </w:tc>
        <w:tc>
          <w:tcPr>
            <w:tcW w:w="907" w:type="dxa"/>
            <w:tcBorders>
              <w:left w:val="single" w:color="000000" w:sz="4" w:space="0"/>
              <w:right w:val="single" w:color="000000" w:sz="4" w:space="0"/>
            </w:tcBorders>
            <w:vAlign w:val="center"/>
          </w:tcPr>
          <w:p w14:paraId="17744FA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2.4分</w:t>
            </w:r>
          </w:p>
        </w:tc>
        <w:tc>
          <w:tcPr>
            <w:tcW w:w="865" w:type="dxa"/>
            <w:tcBorders>
              <w:left w:val="single" w:color="000000" w:sz="4" w:space="0"/>
              <w:right w:val="single" w:color="000000" w:sz="4" w:space="0"/>
            </w:tcBorders>
            <w:vAlign w:val="center"/>
          </w:tcPr>
          <w:p w14:paraId="506FFE8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1F311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67DD2C1">
            <w:pPr>
              <w:spacing w:line="360" w:lineRule="auto"/>
              <w:jc w:val="left"/>
              <w:rPr>
                <w:rFonts w:ascii="仿宋_GB2312" w:hAnsi="仿宋_GB2312" w:eastAsia="仿宋_GB2312" w:cs="仿宋_GB2312"/>
                <w:b/>
                <w:bCs/>
                <w:sz w:val="24"/>
              </w:rPr>
            </w:pPr>
          </w:p>
        </w:tc>
        <w:tc>
          <w:tcPr>
            <w:tcW w:w="1334" w:type="dxa"/>
            <w:tcBorders>
              <w:left w:val="single" w:color="000000" w:sz="4" w:space="0"/>
              <w:right w:val="single" w:color="000000" w:sz="4" w:space="0"/>
            </w:tcBorders>
            <w:vAlign w:val="center"/>
          </w:tcPr>
          <w:p w14:paraId="71EB7CC6">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直播创建</w:t>
            </w:r>
          </w:p>
        </w:tc>
        <w:tc>
          <w:tcPr>
            <w:tcW w:w="6201" w:type="dxa"/>
            <w:gridSpan w:val="3"/>
            <w:tcBorders>
              <w:left w:val="single" w:color="000000" w:sz="4" w:space="0"/>
              <w:right w:val="single" w:color="000000" w:sz="4" w:space="0"/>
            </w:tcBorders>
            <w:vAlign w:val="center"/>
          </w:tcPr>
          <w:p w14:paraId="3175FCF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根据直播策划内容，创建直播，设置直播间名称、封面、简介、直播时间、频道栏目。</w:t>
            </w:r>
          </w:p>
        </w:tc>
        <w:tc>
          <w:tcPr>
            <w:tcW w:w="907" w:type="dxa"/>
            <w:tcBorders>
              <w:left w:val="single" w:color="000000" w:sz="4" w:space="0"/>
              <w:right w:val="single" w:color="000000" w:sz="4" w:space="0"/>
            </w:tcBorders>
            <w:vAlign w:val="center"/>
          </w:tcPr>
          <w:p w14:paraId="064A725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18B80DC5">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2B0CE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31DB3EB1">
            <w:pPr>
              <w:spacing w:line="360" w:lineRule="auto"/>
              <w:jc w:val="left"/>
              <w:rPr>
                <w:rFonts w:ascii="仿宋_GB2312" w:hAnsi="仿宋_GB2312" w:eastAsia="仿宋_GB2312" w:cs="仿宋_GB2312"/>
                <w:b/>
                <w:bCs/>
                <w:sz w:val="24"/>
              </w:rPr>
            </w:pPr>
          </w:p>
        </w:tc>
        <w:tc>
          <w:tcPr>
            <w:tcW w:w="1334" w:type="dxa"/>
            <w:vMerge w:val="restart"/>
            <w:tcBorders>
              <w:left w:val="single" w:color="000000" w:sz="4" w:space="0"/>
              <w:right w:val="single" w:color="000000" w:sz="4" w:space="0"/>
            </w:tcBorders>
            <w:vAlign w:val="center"/>
          </w:tcPr>
          <w:p w14:paraId="0A779C71">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直播装修</w:t>
            </w:r>
          </w:p>
        </w:tc>
        <w:tc>
          <w:tcPr>
            <w:tcW w:w="1635" w:type="dxa"/>
            <w:gridSpan w:val="2"/>
            <w:tcBorders>
              <w:left w:val="single" w:color="000000" w:sz="4" w:space="0"/>
              <w:right w:val="single" w:color="000000" w:sz="4" w:space="0"/>
            </w:tcBorders>
            <w:vAlign w:val="center"/>
          </w:tcPr>
          <w:p w14:paraId="2B45CEC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欢迎语设置</w:t>
            </w:r>
          </w:p>
        </w:tc>
        <w:tc>
          <w:tcPr>
            <w:tcW w:w="4566" w:type="dxa"/>
            <w:tcBorders>
              <w:left w:val="single" w:color="000000" w:sz="4" w:space="0"/>
              <w:right w:val="single" w:color="000000" w:sz="4" w:space="0"/>
            </w:tcBorders>
            <w:vAlign w:val="center"/>
          </w:tcPr>
          <w:p w14:paraId="4881D09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欢迎语设置正确。</w:t>
            </w:r>
          </w:p>
        </w:tc>
        <w:tc>
          <w:tcPr>
            <w:tcW w:w="907" w:type="dxa"/>
            <w:vMerge w:val="restart"/>
            <w:tcBorders>
              <w:left w:val="single" w:color="000000" w:sz="4" w:space="0"/>
              <w:right w:val="single" w:color="000000" w:sz="4" w:space="0"/>
            </w:tcBorders>
            <w:vAlign w:val="center"/>
          </w:tcPr>
          <w:p w14:paraId="00FEC99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vMerge w:val="restart"/>
            <w:tcBorders>
              <w:left w:val="single" w:color="000000" w:sz="4" w:space="0"/>
              <w:right w:val="single" w:color="000000" w:sz="4" w:space="0"/>
            </w:tcBorders>
            <w:vAlign w:val="center"/>
          </w:tcPr>
          <w:p w14:paraId="54C7926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1524F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70C4B1FA">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160C6F16">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7AF3C6D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屏蔽词设置</w:t>
            </w:r>
          </w:p>
        </w:tc>
        <w:tc>
          <w:tcPr>
            <w:tcW w:w="4566" w:type="dxa"/>
            <w:tcBorders>
              <w:left w:val="single" w:color="000000" w:sz="4" w:space="0"/>
              <w:right w:val="single" w:color="000000" w:sz="4" w:space="0"/>
            </w:tcBorders>
            <w:vAlign w:val="center"/>
          </w:tcPr>
          <w:p w14:paraId="67B8D6A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屏蔽词分类正确。</w:t>
            </w:r>
          </w:p>
        </w:tc>
        <w:tc>
          <w:tcPr>
            <w:tcW w:w="907" w:type="dxa"/>
            <w:vMerge w:val="continue"/>
            <w:tcBorders>
              <w:left w:val="single" w:color="000000" w:sz="4" w:space="0"/>
              <w:right w:val="single" w:color="000000" w:sz="4" w:space="0"/>
            </w:tcBorders>
            <w:vAlign w:val="center"/>
          </w:tcPr>
          <w:p w14:paraId="590C537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33F0B581">
            <w:pPr>
              <w:spacing w:line="360" w:lineRule="auto"/>
              <w:jc w:val="left"/>
              <w:rPr>
                <w:rFonts w:ascii="仿宋_GB2312" w:hAnsi="仿宋_GB2312" w:eastAsia="仿宋_GB2312" w:cs="仿宋_GB2312"/>
                <w:sz w:val="24"/>
              </w:rPr>
            </w:pPr>
          </w:p>
        </w:tc>
      </w:tr>
      <w:tr w14:paraId="68CCB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DE22DCB">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161A4071">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5AE9DCB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快捷短语设置</w:t>
            </w:r>
          </w:p>
        </w:tc>
        <w:tc>
          <w:tcPr>
            <w:tcW w:w="4566" w:type="dxa"/>
            <w:tcBorders>
              <w:left w:val="single" w:color="000000" w:sz="4" w:space="0"/>
              <w:right w:val="single" w:color="000000" w:sz="4" w:space="0"/>
            </w:tcBorders>
            <w:vAlign w:val="center"/>
          </w:tcPr>
          <w:p w14:paraId="2087674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快捷短语设置符合各层级粉丝的需求。</w:t>
            </w:r>
          </w:p>
        </w:tc>
        <w:tc>
          <w:tcPr>
            <w:tcW w:w="907" w:type="dxa"/>
            <w:vMerge w:val="continue"/>
            <w:tcBorders>
              <w:left w:val="single" w:color="000000" w:sz="4" w:space="0"/>
              <w:right w:val="single" w:color="000000" w:sz="4" w:space="0"/>
            </w:tcBorders>
            <w:vAlign w:val="center"/>
          </w:tcPr>
          <w:p w14:paraId="79DD7F58">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67BF6694">
            <w:pPr>
              <w:spacing w:line="360" w:lineRule="auto"/>
              <w:jc w:val="left"/>
              <w:rPr>
                <w:rFonts w:ascii="仿宋_GB2312" w:hAnsi="仿宋_GB2312" w:eastAsia="仿宋_GB2312" w:cs="仿宋_GB2312"/>
                <w:sz w:val="24"/>
              </w:rPr>
            </w:pPr>
          </w:p>
        </w:tc>
      </w:tr>
      <w:tr w14:paraId="4C4D7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08BF0515">
            <w:pPr>
              <w:spacing w:line="360" w:lineRule="auto"/>
              <w:jc w:val="left"/>
              <w:rPr>
                <w:rFonts w:ascii="仿宋_GB2312" w:hAnsi="仿宋_GB2312" w:eastAsia="仿宋_GB2312" w:cs="仿宋_GB2312"/>
                <w:b/>
                <w:bCs/>
                <w:sz w:val="24"/>
              </w:rPr>
            </w:pPr>
          </w:p>
        </w:tc>
        <w:tc>
          <w:tcPr>
            <w:tcW w:w="1334" w:type="dxa"/>
            <w:tcBorders>
              <w:left w:val="single" w:color="000000" w:sz="4" w:space="0"/>
              <w:right w:val="single" w:color="000000" w:sz="4" w:space="0"/>
            </w:tcBorders>
            <w:vAlign w:val="center"/>
          </w:tcPr>
          <w:p w14:paraId="576E3EFA">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直播总体效果</w:t>
            </w:r>
          </w:p>
        </w:tc>
        <w:tc>
          <w:tcPr>
            <w:tcW w:w="6201" w:type="dxa"/>
            <w:gridSpan w:val="3"/>
            <w:tcBorders>
              <w:left w:val="single" w:color="000000" w:sz="4" w:space="0"/>
              <w:right w:val="single" w:color="000000" w:sz="4" w:space="0"/>
            </w:tcBorders>
            <w:vAlign w:val="center"/>
          </w:tcPr>
          <w:p w14:paraId="3D54E47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根据选手设置的付费推广和免费推广项目以及制定的互动方案，系统会在用户直播结束后计算出得分。</w:t>
            </w:r>
          </w:p>
        </w:tc>
        <w:tc>
          <w:tcPr>
            <w:tcW w:w="907" w:type="dxa"/>
            <w:tcBorders>
              <w:left w:val="single" w:color="000000" w:sz="4" w:space="0"/>
              <w:right w:val="single" w:color="000000" w:sz="4" w:space="0"/>
            </w:tcBorders>
            <w:vAlign w:val="center"/>
          </w:tcPr>
          <w:p w14:paraId="2458EF5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8.8分</w:t>
            </w:r>
          </w:p>
        </w:tc>
        <w:tc>
          <w:tcPr>
            <w:tcW w:w="865" w:type="dxa"/>
            <w:tcBorders>
              <w:left w:val="single" w:color="000000" w:sz="4" w:space="0"/>
              <w:right w:val="single" w:color="000000" w:sz="4" w:space="0"/>
            </w:tcBorders>
            <w:vAlign w:val="center"/>
          </w:tcPr>
          <w:p w14:paraId="1E90188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59586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600E845">
            <w:pPr>
              <w:spacing w:line="360" w:lineRule="auto"/>
              <w:jc w:val="left"/>
              <w:rPr>
                <w:rFonts w:ascii="仿宋_GB2312" w:hAnsi="仿宋_GB2312" w:eastAsia="仿宋_GB2312" w:cs="仿宋_GB2312"/>
                <w:b/>
                <w:bCs/>
                <w:sz w:val="24"/>
              </w:rPr>
            </w:pPr>
          </w:p>
        </w:tc>
        <w:tc>
          <w:tcPr>
            <w:tcW w:w="1334" w:type="dxa"/>
            <w:tcBorders>
              <w:left w:val="single" w:color="000000" w:sz="4" w:space="0"/>
              <w:right w:val="single" w:color="000000" w:sz="4" w:space="0"/>
            </w:tcBorders>
            <w:vAlign w:val="center"/>
          </w:tcPr>
          <w:p w14:paraId="56AFC6C3">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直播复盘</w:t>
            </w:r>
          </w:p>
        </w:tc>
        <w:tc>
          <w:tcPr>
            <w:tcW w:w="6201" w:type="dxa"/>
            <w:gridSpan w:val="3"/>
            <w:tcBorders>
              <w:left w:val="single" w:color="000000" w:sz="4" w:space="0"/>
              <w:right w:val="single" w:color="000000" w:sz="4" w:space="0"/>
            </w:tcBorders>
            <w:vAlign w:val="center"/>
          </w:tcPr>
          <w:p w14:paraId="358C3951">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根据直播数据大盘，完成观众的行为数据、商品数据等相关内容的统计分析，结果正确。</w:t>
            </w:r>
          </w:p>
        </w:tc>
        <w:tc>
          <w:tcPr>
            <w:tcW w:w="907" w:type="dxa"/>
            <w:tcBorders>
              <w:left w:val="single" w:color="000000" w:sz="4" w:space="0"/>
              <w:right w:val="single" w:color="000000" w:sz="4" w:space="0"/>
            </w:tcBorders>
            <w:vAlign w:val="center"/>
          </w:tcPr>
          <w:p w14:paraId="61B5A9B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1.8分</w:t>
            </w:r>
          </w:p>
        </w:tc>
        <w:tc>
          <w:tcPr>
            <w:tcW w:w="865" w:type="dxa"/>
            <w:tcBorders>
              <w:left w:val="single" w:color="000000" w:sz="4" w:space="0"/>
              <w:right w:val="single" w:color="000000" w:sz="4" w:space="0"/>
            </w:tcBorders>
            <w:vAlign w:val="center"/>
          </w:tcPr>
          <w:p w14:paraId="605F9E3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69AC4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restart"/>
            <w:tcBorders>
              <w:left w:val="single" w:color="000000" w:sz="4" w:space="0"/>
              <w:right w:val="single" w:color="000000" w:sz="4" w:space="0"/>
            </w:tcBorders>
            <w:vAlign w:val="center"/>
          </w:tcPr>
          <w:p w14:paraId="3C524331">
            <w:pPr>
              <w:spacing w:line="360" w:lineRule="auto"/>
              <w:jc w:val="left"/>
              <w:rPr>
                <w:rFonts w:ascii="仿宋_GB2312" w:hAnsi="仿宋_GB2312" w:eastAsia="仿宋_GB2312" w:cs="仿宋_GB2312"/>
                <w:b/>
                <w:bCs/>
                <w:sz w:val="24"/>
              </w:rPr>
            </w:pPr>
          </w:p>
        </w:tc>
        <w:tc>
          <w:tcPr>
            <w:tcW w:w="596" w:type="dxa"/>
            <w:vMerge w:val="restart"/>
            <w:tcBorders>
              <w:left w:val="single" w:color="000000" w:sz="4" w:space="0"/>
              <w:right w:val="single" w:color="000000" w:sz="4" w:space="0"/>
            </w:tcBorders>
            <w:vAlign w:val="center"/>
          </w:tcPr>
          <w:p w14:paraId="0AFB7187">
            <w:pPr>
              <w:spacing w:line="360" w:lineRule="auto"/>
              <w:jc w:val="left"/>
              <w:rPr>
                <w:rFonts w:ascii="仿宋_GB2312" w:hAnsi="仿宋_GB2312" w:eastAsia="仿宋_GB2312" w:cs="仿宋_GB2312"/>
                <w:b/>
                <w:bCs/>
                <w:sz w:val="24"/>
              </w:rPr>
            </w:pPr>
          </w:p>
          <w:p w14:paraId="5B5D11F9">
            <w:pPr>
              <w:spacing w:line="360" w:lineRule="auto"/>
              <w:jc w:val="left"/>
              <w:rPr>
                <w:rFonts w:ascii="仿宋_GB2312" w:hAnsi="仿宋_GB2312" w:eastAsia="仿宋_GB2312" w:cs="仿宋_GB2312"/>
                <w:b/>
                <w:bCs/>
                <w:sz w:val="24"/>
              </w:rPr>
            </w:pPr>
          </w:p>
          <w:p w14:paraId="3D40BC69">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直播策划</w:t>
            </w:r>
          </w:p>
        </w:tc>
        <w:tc>
          <w:tcPr>
            <w:tcW w:w="1039" w:type="dxa"/>
            <w:tcBorders>
              <w:left w:val="single" w:color="000000" w:sz="4" w:space="0"/>
              <w:right w:val="single" w:color="000000" w:sz="4" w:space="0"/>
            </w:tcBorders>
            <w:vAlign w:val="center"/>
          </w:tcPr>
          <w:p w14:paraId="5C235A2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商品主图</w:t>
            </w:r>
          </w:p>
        </w:tc>
        <w:tc>
          <w:tcPr>
            <w:tcW w:w="4566" w:type="dxa"/>
            <w:tcBorders>
              <w:left w:val="single" w:color="000000" w:sz="4" w:space="0"/>
              <w:right w:val="single" w:color="000000" w:sz="4" w:space="0"/>
            </w:tcBorders>
            <w:vAlign w:val="center"/>
          </w:tcPr>
          <w:p w14:paraId="4A98E514">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主图设置正确且达到5张，所选择图片内容正确且未变形、未模糊</w:t>
            </w:r>
          </w:p>
        </w:tc>
        <w:tc>
          <w:tcPr>
            <w:tcW w:w="907" w:type="dxa"/>
            <w:tcBorders>
              <w:left w:val="single" w:color="000000" w:sz="4" w:space="0"/>
              <w:right w:val="single" w:color="000000" w:sz="4" w:space="0"/>
            </w:tcBorders>
            <w:vAlign w:val="center"/>
          </w:tcPr>
          <w:p w14:paraId="6900FE1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52BAE27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711CD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F99FFAB">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0AB1D9C1">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32667D7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商品详情图</w:t>
            </w:r>
          </w:p>
        </w:tc>
        <w:tc>
          <w:tcPr>
            <w:tcW w:w="4566" w:type="dxa"/>
            <w:tcBorders>
              <w:left w:val="single" w:color="000000" w:sz="4" w:space="0"/>
              <w:right w:val="single" w:color="000000" w:sz="4" w:space="0"/>
            </w:tcBorders>
            <w:vAlign w:val="center"/>
          </w:tcPr>
          <w:p w14:paraId="2CC39101">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商品包含正确的商品属性图、商品特点图、商品整体图、商品特写图、配送说明图、售后说明图</w:t>
            </w:r>
          </w:p>
        </w:tc>
        <w:tc>
          <w:tcPr>
            <w:tcW w:w="907" w:type="dxa"/>
            <w:tcBorders>
              <w:left w:val="single" w:color="000000" w:sz="4" w:space="0"/>
              <w:right w:val="single" w:color="000000" w:sz="4" w:space="0"/>
            </w:tcBorders>
            <w:vAlign w:val="center"/>
          </w:tcPr>
          <w:p w14:paraId="2DB05A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tcBorders>
              <w:left w:val="single" w:color="000000" w:sz="4" w:space="0"/>
              <w:right w:val="single" w:color="000000" w:sz="4" w:space="0"/>
            </w:tcBorders>
            <w:vAlign w:val="center"/>
          </w:tcPr>
          <w:p w14:paraId="73EF9B5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42147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013C13CD">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3169FB8B">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11308FE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直播间商品链接</w:t>
            </w:r>
          </w:p>
        </w:tc>
        <w:tc>
          <w:tcPr>
            <w:tcW w:w="4566" w:type="dxa"/>
            <w:tcBorders>
              <w:left w:val="single" w:color="000000" w:sz="4" w:space="0"/>
              <w:right w:val="single" w:color="000000" w:sz="4" w:space="0"/>
            </w:tcBorders>
            <w:vAlign w:val="center"/>
          </w:tcPr>
          <w:p w14:paraId="36EEDE4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讲解的商品正确关联商品链接</w:t>
            </w:r>
          </w:p>
        </w:tc>
        <w:tc>
          <w:tcPr>
            <w:tcW w:w="907" w:type="dxa"/>
            <w:tcBorders>
              <w:left w:val="single" w:color="000000" w:sz="4" w:space="0"/>
              <w:right w:val="single" w:color="000000" w:sz="4" w:space="0"/>
            </w:tcBorders>
            <w:vAlign w:val="center"/>
          </w:tcPr>
          <w:p w14:paraId="3E21FA6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01D4424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39E08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2B685559">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9A1D6EF">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1047406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直播时长</w:t>
            </w:r>
          </w:p>
        </w:tc>
        <w:tc>
          <w:tcPr>
            <w:tcW w:w="4566" w:type="dxa"/>
            <w:tcBorders>
              <w:left w:val="single" w:color="000000" w:sz="4" w:space="0"/>
              <w:right w:val="single" w:color="000000" w:sz="4" w:space="0"/>
            </w:tcBorders>
            <w:vAlign w:val="center"/>
          </w:tcPr>
          <w:p w14:paraId="3AC8F99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直播时长达到10分钟</w:t>
            </w:r>
          </w:p>
        </w:tc>
        <w:tc>
          <w:tcPr>
            <w:tcW w:w="907" w:type="dxa"/>
            <w:tcBorders>
              <w:left w:val="single" w:color="000000" w:sz="4" w:space="0"/>
              <w:right w:val="single" w:color="000000" w:sz="4" w:space="0"/>
            </w:tcBorders>
            <w:vAlign w:val="center"/>
          </w:tcPr>
          <w:p w14:paraId="01CB61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1F10091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0F259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0BC2F56">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E390D42">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22F9D91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商品标题</w:t>
            </w:r>
          </w:p>
        </w:tc>
        <w:tc>
          <w:tcPr>
            <w:tcW w:w="4566" w:type="dxa"/>
            <w:tcBorders>
              <w:left w:val="single" w:color="000000" w:sz="4" w:space="0"/>
              <w:right w:val="single" w:color="000000" w:sz="4" w:space="0"/>
            </w:tcBorders>
            <w:vAlign w:val="center"/>
          </w:tcPr>
          <w:p w14:paraId="5D491BC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商品标题关键词符合背景资料介绍内容。</w:t>
            </w:r>
          </w:p>
        </w:tc>
        <w:tc>
          <w:tcPr>
            <w:tcW w:w="907" w:type="dxa"/>
            <w:tcBorders>
              <w:left w:val="single" w:color="000000" w:sz="4" w:space="0"/>
              <w:right w:val="single" w:color="000000" w:sz="4" w:space="0"/>
            </w:tcBorders>
            <w:vAlign w:val="center"/>
          </w:tcPr>
          <w:p w14:paraId="543BE31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76CC696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0F845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76F1196">
            <w:pPr>
              <w:spacing w:line="360" w:lineRule="auto"/>
              <w:jc w:val="left"/>
              <w:rPr>
                <w:rFonts w:ascii="仿宋_GB2312" w:hAnsi="仿宋_GB2312" w:eastAsia="仿宋_GB2312" w:cs="仿宋_GB2312"/>
                <w:b/>
                <w:bCs/>
                <w:sz w:val="24"/>
              </w:rPr>
            </w:pPr>
          </w:p>
        </w:tc>
        <w:tc>
          <w:tcPr>
            <w:tcW w:w="596" w:type="dxa"/>
            <w:vMerge w:val="restart"/>
            <w:tcBorders>
              <w:left w:val="single" w:color="000000" w:sz="4" w:space="0"/>
              <w:right w:val="single" w:color="000000" w:sz="4" w:space="0"/>
            </w:tcBorders>
            <w:vAlign w:val="center"/>
          </w:tcPr>
          <w:p w14:paraId="18866BEB">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直播实施</w:t>
            </w:r>
          </w:p>
        </w:tc>
        <w:tc>
          <w:tcPr>
            <w:tcW w:w="1039" w:type="dxa"/>
            <w:tcBorders>
              <w:left w:val="single" w:color="000000" w:sz="4" w:space="0"/>
              <w:right w:val="single" w:color="000000" w:sz="4" w:space="0"/>
            </w:tcBorders>
            <w:vAlign w:val="center"/>
          </w:tcPr>
          <w:p w14:paraId="16E45AF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直播开场</w:t>
            </w:r>
          </w:p>
        </w:tc>
        <w:tc>
          <w:tcPr>
            <w:tcW w:w="4566" w:type="dxa"/>
            <w:tcBorders>
              <w:left w:val="single" w:color="000000" w:sz="4" w:space="0"/>
              <w:right w:val="single" w:color="000000" w:sz="4" w:space="0"/>
            </w:tcBorders>
            <w:vAlign w:val="center"/>
          </w:tcPr>
          <w:p w14:paraId="08A255A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直播开场需讲解以下四项内容：问好、自我介绍、本次直播计划、促销活动。</w:t>
            </w:r>
          </w:p>
        </w:tc>
        <w:tc>
          <w:tcPr>
            <w:tcW w:w="907" w:type="dxa"/>
            <w:tcBorders>
              <w:left w:val="single" w:color="000000" w:sz="4" w:space="0"/>
              <w:right w:val="single" w:color="000000" w:sz="4" w:space="0"/>
            </w:tcBorders>
            <w:vAlign w:val="center"/>
          </w:tcPr>
          <w:p w14:paraId="61C5FA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0.8分</w:t>
            </w:r>
          </w:p>
        </w:tc>
        <w:tc>
          <w:tcPr>
            <w:tcW w:w="865" w:type="dxa"/>
            <w:tcBorders>
              <w:left w:val="single" w:color="000000" w:sz="4" w:space="0"/>
              <w:right w:val="single" w:color="000000" w:sz="4" w:space="0"/>
            </w:tcBorders>
            <w:vAlign w:val="center"/>
          </w:tcPr>
          <w:p w14:paraId="28B39541">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0DC78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C085693">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404F5DEE">
            <w:pPr>
              <w:spacing w:line="360" w:lineRule="auto"/>
              <w:jc w:val="left"/>
              <w:rPr>
                <w:rFonts w:ascii="仿宋_GB2312" w:hAnsi="仿宋_GB2312" w:eastAsia="仿宋_GB2312" w:cs="仿宋_GB2312"/>
                <w:b/>
                <w:bCs/>
                <w:sz w:val="24"/>
              </w:rPr>
            </w:pPr>
          </w:p>
        </w:tc>
        <w:tc>
          <w:tcPr>
            <w:tcW w:w="1039" w:type="dxa"/>
            <w:vMerge w:val="restart"/>
            <w:tcBorders>
              <w:left w:val="single" w:color="000000" w:sz="4" w:space="0"/>
              <w:right w:val="single" w:color="000000" w:sz="4" w:space="0"/>
            </w:tcBorders>
            <w:vAlign w:val="center"/>
          </w:tcPr>
          <w:p w14:paraId="4D10838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商品介绍</w:t>
            </w:r>
          </w:p>
        </w:tc>
        <w:tc>
          <w:tcPr>
            <w:tcW w:w="4566" w:type="dxa"/>
            <w:tcBorders>
              <w:left w:val="single" w:color="000000" w:sz="4" w:space="0"/>
              <w:right w:val="single" w:color="000000" w:sz="4" w:space="0"/>
            </w:tcBorders>
            <w:vAlign w:val="center"/>
          </w:tcPr>
          <w:p w14:paraId="79BC091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商品引出方式采用问题情境引出、故事引出、热点引出中的一种。</w:t>
            </w:r>
          </w:p>
        </w:tc>
        <w:tc>
          <w:tcPr>
            <w:tcW w:w="907" w:type="dxa"/>
            <w:vMerge w:val="restart"/>
            <w:tcBorders>
              <w:left w:val="single" w:color="000000" w:sz="4" w:space="0"/>
              <w:right w:val="single" w:color="000000" w:sz="4" w:space="0"/>
            </w:tcBorders>
            <w:vAlign w:val="center"/>
          </w:tcPr>
          <w:p w14:paraId="35EDEC4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9.4分</w:t>
            </w:r>
          </w:p>
        </w:tc>
        <w:tc>
          <w:tcPr>
            <w:tcW w:w="865" w:type="dxa"/>
            <w:vMerge w:val="restart"/>
            <w:tcBorders>
              <w:left w:val="single" w:color="000000" w:sz="4" w:space="0"/>
            </w:tcBorders>
            <w:vAlign w:val="center"/>
          </w:tcPr>
          <w:p w14:paraId="551F6DD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70DD8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087D1FB">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5DAFC88">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3466B103">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35C5B6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正确介绍商品基本属性。</w:t>
            </w:r>
          </w:p>
        </w:tc>
        <w:tc>
          <w:tcPr>
            <w:tcW w:w="907" w:type="dxa"/>
            <w:vMerge w:val="continue"/>
            <w:tcBorders>
              <w:left w:val="single" w:color="000000" w:sz="4" w:space="0"/>
              <w:right w:val="single" w:color="000000" w:sz="4" w:space="0"/>
            </w:tcBorders>
            <w:vAlign w:val="center"/>
          </w:tcPr>
          <w:p w14:paraId="3258AD7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1CC21FFA">
            <w:pPr>
              <w:spacing w:line="360" w:lineRule="auto"/>
              <w:jc w:val="left"/>
              <w:rPr>
                <w:rFonts w:ascii="仿宋_GB2312" w:hAnsi="仿宋_GB2312" w:eastAsia="仿宋_GB2312" w:cs="仿宋_GB2312"/>
                <w:sz w:val="24"/>
              </w:rPr>
            </w:pPr>
          </w:p>
        </w:tc>
      </w:tr>
      <w:tr w14:paraId="55D16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2A6A18EA">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EC167FA">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7F19C02A">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43503C9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能够讲解商品的卖点及特色，突出商品优势，强化直播间观众对直播商品的认知。</w:t>
            </w:r>
          </w:p>
        </w:tc>
        <w:tc>
          <w:tcPr>
            <w:tcW w:w="907" w:type="dxa"/>
            <w:vMerge w:val="continue"/>
            <w:tcBorders>
              <w:left w:val="single" w:color="000000" w:sz="4" w:space="0"/>
              <w:right w:val="single" w:color="000000" w:sz="4" w:space="0"/>
            </w:tcBorders>
            <w:vAlign w:val="center"/>
          </w:tcPr>
          <w:p w14:paraId="3A672A80">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17B964D2">
            <w:pPr>
              <w:spacing w:line="360" w:lineRule="auto"/>
              <w:jc w:val="left"/>
              <w:rPr>
                <w:rFonts w:ascii="仿宋_GB2312" w:hAnsi="仿宋_GB2312" w:eastAsia="仿宋_GB2312" w:cs="仿宋_GB2312"/>
                <w:sz w:val="24"/>
              </w:rPr>
            </w:pPr>
          </w:p>
        </w:tc>
      </w:tr>
      <w:tr w14:paraId="6B936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4558F67">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04790376">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2D607FB0">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4A1C3A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有商品日常价格、直播促销价的说明，并使用倒计时营造抢购氛围。</w:t>
            </w:r>
          </w:p>
        </w:tc>
        <w:tc>
          <w:tcPr>
            <w:tcW w:w="907" w:type="dxa"/>
            <w:vMerge w:val="continue"/>
            <w:tcBorders>
              <w:left w:val="single" w:color="000000" w:sz="4" w:space="0"/>
              <w:right w:val="single" w:color="000000" w:sz="4" w:space="0"/>
            </w:tcBorders>
            <w:vAlign w:val="center"/>
          </w:tcPr>
          <w:p w14:paraId="5552425A">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410E7F62">
            <w:pPr>
              <w:spacing w:line="360" w:lineRule="auto"/>
              <w:jc w:val="left"/>
              <w:rPr>
                <w:rFonts w:ascii="仿宋_GB2312" w:hAnsi="仿宋_GB2312" w:eastAsia="仿宋_GB2312" w:cs="仿宋_GB2312"/>
                <w:sz w:val="24"/>
              </w:rPr>
            </w:pPr>
          </w:p>
        </w:tc>
      </w:tr>
      <w:tr w14:paraId="752B0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4523D21D">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24D600E7">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317C5864">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91C95B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能够将FAB法则融入到商品介绍中。</w:t>
            </w:r>
          </w:p>
        </w:tc>
        <w:tc>
          <w:tcPr>
            <w:tcW w:w="907" w:type="dxa"/>
            <w:vMerge w:val="continue"/>
            <w:tcBorders>
              <w:left w:val="single" w:color="000000" w:sz="4" w:space="0"/>
              <w:right w:val="single" w:color="000000" w:sz="4" w:space="0"/>
            </w:tcBorders>
            <w:vAlign w:val="center"/>
          </w:tcPr>
          <w:p w14:paraId="466C4EA3">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40B416DC">
            <w:pPr>
              <w:spacing w:line="360" w:lineRule="auto"/>
              <w:jc w:val="left"/>
              <w:rPr>
                <w:rFonts w:ascii="仿宋_GB2312" w:hAnsi="仿宋_GB2312" w:eastAsia="仿宋_GB2312" w:cs="仿宋_GB2312"/>
                <w:sz w:val="24"/>
              </w:rPr>
            </w:pPr>
          </w:p>
        </w:tc>
      </w:tr>
      <w:tr w14:paraId="30A6E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5811F59">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5A894503">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0EA94F88">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3FAB669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有商品的特写展示。</w:t>
            </w:r>
          </w:p>
        </w:tc>
        <w:tc>
          <w:tcPr>
            <w:tcW w:w="907" w:type="dxa"/>
            <w:vMerge w:val="continue"/>
            <w:tcBorders>
              <w:left w:val="single" w:color="000000" w:sz="4" w:space="0"/>
              <w:right w:val="single" w:color="000000" w:sz="4" w:space="0"/>
            </w:tcBorders>
            <w:vAlign w:val="center"/>
          </w:tcPr>
          <w:p w14:paraId="61FF544D">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5FCD0CA4">
            <w:pPr>
              <w:spacing w:line="360" w:lineRule="auto"/>
              <w:jc w:val="left"/>
              <w:rPr>
                <w:rFonts w:ascii="仿宋_GB2312" w:hAnsi="仿宋_GB2312" w:eastAsia="仿宋_GB2312" w:cs="仿宋_GB2312"/>
                <w:sz w:val="24"/>
              </w:rPr>
            </w:pPr>
          </w:p>
        </w:tc>
      </w:tr>
      <w:tr w14:paraId="35162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44E2BE5A">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64D3B8C4">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355AEA8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信息卡设置</w:t>
            </w:r>
          </w:p>
        </w:tc>
        <w:tc>
          <w:tcPr>
            <w:tcW w:w="4566" w:type="dxa"/>
            <w:tcBorders>
              <w:left w:val="single" w:color="000000" w:sz="4" w:space="0"/>
              <w:right w:val="single" w:color="000000" w:sz="4" w:space="0"/>
            </w:tcBorders>
            <w:vAlign w:val="center"/>
          </w:tcPr>
          <w:p w14:paraId="25CBA2E4">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选择合适的信息卡模板。</w:t>
            </w:r>
          </w:p>
        </w:tc>
        <w:tc>
          <w:tcPr>
            <w:tcW w:w="907" w:type="dxa"/>
            <w:tcBorders>
              <w:left w:val="single" w:color="000000" w:sz="4" w:space="0"/>
              <w:right w:val="single" w:color="000000" w:sz="4" w:space="0"/>
            </w:tcBorders>
            <w:vAlign w:val="center"/>
          </w:tcPr>
          <w:p w14:paraId="03BC2FD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29A2EF5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7E96C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7D45C93">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60C52530">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521EE23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弹幕问题回答</w:t>
            </w:r>
          </w:p>
        </w:tc>
        <w:tc>
          <w:tcPr>
            <w:tcW w:w="4566" w:type="dxa"/>
            <w:tcBorders>
              <w:left w:val="single" w:color="000000" w:sz="4" w:space="0"/>
              <w:right w:val="single" w:color="000000" w:sz="4" w:space="0"/>
            </w:tcBorders>
            <w:vAlign w:val="center"/>
          </w:tcPr>
          <w:p w14:paraId="7CB310A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准确完成弹幕问题的回答。</w:t>
            </w:r>
          </w:p>
        </w:tc>
        <w:tc>
          <w:tcPr>
            <w:tcW w:w="907" w:type="dxa"/>
            <w:tcBorders>
              <w:left w:val="single" w:color="000000" w:sz="4" w:space="0"/>
              <w:right w:val="single" w:color="000000" w:sz="4" w:space="0"/>
            </w:tcBorders>
            <w:vAlign w:val="center"/>
          </w:tcPr>
          <w:p w14:paraId="6B91659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tcBorders>
              <w:left w:val="single" w:color="000000" w:sz="4" w:space="0"/>
              <w:right w:val="single" w:color="000000" w:sz="4" w:space="0"/>
            </w:tcBorders>
            <w:vAlign w:val="center"/>
          </w:tcPr>
          <w:p w14:paraId="4AF39C6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3EA41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459347BA">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499304DA">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1EC0A62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直播互动</w:t>
            </w:r>
          </w:p>
        </w:tc>
        <w:tc>
          <w:tcPr>
            <w:tcW w:w="4566" w:type="dxa"/>
            <w:tcBorders>
              <w:left w:val="single" w:color="000000" w:sz="4" w:space="0"/>
              <w:right w:val="single" w:color="000000" w:sz="4" w:space="0"/>
            </w:tcBorders>
            <w:vAlign w:val="center"/>
          </w:tcPr>
          <w:p w14:paraId="70C9CB4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在互动面板设置两种有弹出效果的互动方案，互动讲解节奏安排合理恰当，能够有效活跃直播间氛围。</w:t>
            </w:r>
          </w:p>
        </w:tc>
        <w:tc>
          <w:tcPr>
            <w:tcW w:w="907" w:type="dxa"/>
            <w:tcBorders>
              <w:left w:val="single" w:color="000000" w:sz="4" w:space="0"/>
              <w:right w:val="single" w:color="000000" w:sz="4" w:space="0"/>
            </w:tcBorders>
            <w:vAlign w:val="center"/>
          </w:tcPr>
          <w:p w14:paraId="62D1647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tcBorders>
              <w:left w:val="single" w:color="000000" w:sz="4" w:space="0"/>
              <w:right w:val="single" w:color="000000" w:sz="4" w:space="0"/>
            </w:tcBorders>
            <w:vAlign w:val="center"/>
          </w:tcPr>
          <w:p w14:paraId="512A92F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7F13E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DF8E155">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5EE29A03">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0997D145">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直播结尾</w:t>
            </w:r>
          </w:p>
        </w:tc>
        <w:tc>
          <w:tcPr>
            <w:tcW w:w="4566" w:type="dxa"/>
            <w:tcBorders>
              <w:left w:val="single" w:color="000000" w:sz="4" w:space="0"/>
              <w:right w:val="single" w:color="000000" w:sz="4" w:space="0"/>
            </w:tcBorders>
            <w:vAlign w:val="center"/>
          </w:tcPr>
          <w:p w14:paraId="4884E70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能够进行直播收尾讲解，通过引导关注、感谢语等内容的讲解，将直播间观众转化为粉丝，引发观众留恋。</w:t>
            </w:r>
          </w:p>
        </w:tc>
        <w:tc>
          <w:tcPr>
            <w:tcW w:w="907" w:type="dxa"/>
            <w:tcBorders>
              <w:left w:val="single" w:color="000000" w:sz="4" w:space="0"/>
              <w:right w:val="single" w:color="000000" w:sz="4" w:space="0"/>
            </w:tcBorders>
            <w:vAlign w:val="center"/>
          </w:tcPr>
          <w:p w14:paraId="60B7D6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0E28BE3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50E18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5FFD75F">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1DADB3D7">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413408C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直播视频</w:t>
            </w:r>
          </w:p>
        </w:tc>
        <w:tc>
          <w:tcPr>
            <w:tcW w:w="4566" w:type="dxa"/>
            <w:tcBorders>
              <w:left w:val="single" w:color="000000" w:sz="4" w:space="0"/>
              <w:right w:val="single" w:color="000000" w:sz="4" w:space="0"/>
            </w:tcBorders>
            <w:vAlign w:val="center"/>
          </w:tcPr>
          <w:p w14:paraId="58995D3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直播讲解过程整体非常流畅、衔接自然，没有10秒以上的卡顿、冷场。</w:t>
            </w:r>
          </w:p>
        </w:tc>
        <w:tc>
          <w:tcPr>
            <w:tcW w:w="907" w:type="dxa"/>
            <w:tcBorders>
              <w:left w:val="single" w:color="000000" w:sz="4" w:space="0"/>
              <w:right w:val="single" w:color="000000" w:sz="4" w:space="0"/>
            </w:tcBorders>
            <w:vAlign w:val="center"/>
          </w:tcPr>
          <w:p w14:paraId="5B71825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6DB74E05">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37825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06BEA9BF">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4EA4D5C">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7BB4BF5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直播效果整体评价</w:t>
            </w:r>
          </w:p>
        </w:tc>
        <w:tc>
          <w:tcPr>
            <w:tcW w:w="4566" w:type="dxa"/>
            <w:tcBorders>
              <w:left w:val="single" w:color="000000" w:sz="4" w:space="0"/>
              <w:right w:val="single" w:color="000000" w:sz="4" w:space="0"/>
            </w:tcBorders>
            <w:vAlign w:val="center"/>
          </w:tcPr>
          <w:p w14:paraId="5C10AA9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能对背景资料进行加工，内容有吸引力，直播讲解充满激情。</w:t>
            </w:r>
          </w:p>
        </w:tc>
        <w:tc>
          <w:tcPr>
            <w:tcW w:w="907" w:type="dxa"/>
            <w:tcBorders>
              <w:left w:val="single" w:color="000000" w:sz="4" w:space="0"/>
              <w:right w:val="single" w:color="000000" w:sz="4" w:space="0"/>
            </w:tcBorders>
            <w:vAlign w:val="center"/>
          </w:tcPr>
          <w:p w14:paraId="5A9AF00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3分</w:t>
            </w:r>
          </w:p>
        </w:tc>
        <w:tc>
          <w:tcPr>
            <w:tcW w:w="865" w:type="dxa"/>
            <w:tcBorders>
              <w:left w:val="single" w:color="000000" w:sz="4" w:space="0"/>
              <w:right w:val="single" w:color="000000" w:sz="4" w:space="0"/>
            </w:tcBorders>
            <w:vAlign w:val="center"/>
          </w:tcPr>
          <w:p w14:paraId="5F72883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37F58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restart"/>
            <w:tcBorders>
              <w:left w:val="single" w:color="000000" w:sz="4" w:space="0"/>
              <w:right w:val="single" w:color="000000" w:sz="4" w:space="0"/>
            </w:tcBorders>
            <w:vAlign w:val="center"/>
          </w:tcPr>
          <w:p w14:paraId="0624E9B2">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新媒体营销</w:t>
            </w:r>
          </w:p>
        </w:tc>
        <w:tc>
          <w:tcPr>
            <w:tcW w:w="1635" w:type="dxa"/>
            <w:gridSpan w:val="2"/>
            <w:vMerge w:val="restart"/>
            <w:tcBorders>
              <w:left w:val="single" w:color="000000" w:sz="4" w:space="0"/>
              <w:right w:val="single" w:color="000000" w:sz="4" w:space="0"/>
            </w:tcBorders>
            <w:vAlign w:val="center"/>
          </w:tcPr>
          <w:p w14:paraId="7B9189B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标题</w:t>
            </w:r>
          </w:p>
        </w:tc>
        <w:tc>
          <w:tcPr>
            <w:tcW w:w="4566" w:type="dxa"/>
            <w:tcBorders>
              <w:left w:val="single" w:color="000000" w:sz="4" w:space="0"/>
              <w:right w:val="single" w:color="000000" w:sz="4" w:space="0"/>
            </w:tcBorders>
            <w:vAlign w:val="center"/>
          </w:tcPr>
          <w:p w14:paraId="0FBA652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标题撰写规范合理，无错别字</w:t>
            </w:r>
          </w:p>
        </w:tc>
        <w:tc>
          <w:tcPr>
            <w:tcW w:w="907" w:type="dxa"/>
            <w:vMerge w:val="restart"/>
            <w:tcBorders>
              <w:left w:val="single" w:color="000000" w:sz="4" w:space="0"/>
              <w:right w:val="single" w:color="000000" w:sz="4" w:space="0"/>
            </w:tcBorders>
            <w:vAlign w:val="center"/>
          </w:tcPr>
          <w:p w14:paraId="689360F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6分</w:t>
            </w:r>
          </w:p>
        </w:tc>
        <w:tc>
          <w:tcPr>
            <w:tcW w:w="865" w:type="dxa"/>
            <w:vMerge w:val="restart"/>
            <w:tcBorders>
              <w:left w:val="single" w:color="000000" w:sz="4" w:space="0"/>
              <w:right w:val="single" w:color="000000" w:sz="4" w:space="0"/>
            </w:tcBorders>
            <w:vAlign w:val="center"/>
          </w:tcPr>
          <w:p w14:paraId="5E8092D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134A4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355CFED">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CD00498">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59850C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能够激发阅读，吸引用户点击</w:t>
            </w:r>
          </w:p>
        </w:tc>
        <w:tc>
          <w:tcPr>
            <w:tcW w:w="907" w:type="dxa"/>
            <w:vMerge w:val="continue"/>
            <w:tcBorders>
              <w:left w:val="single" w:color="000000" w:sz="4" w:space="0"/>
              <w:right w:val="single" w:color="000000" w:sz="4" w:space="0"/>
            </w:tcBorders>
            <w:vAlign w:val="center"/>
          </w:tcPr>
          <w:p w14:paraId="75A8D8ED">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0D8912B3">
            <w:pPr>
              <w:spacing w:line="360" w:lineRule="auto"/>
              <w:jc w:val="left"/>
              <w:rPr>
                <w:rFonts w:ascii="仿宋_GB2312" w:hAnsi="仿宋_GB2312" w:eastAsia="仿宋_GB2312" w:cs="仿宋_GB2312"/>
                <w:sz w:val="24"/>
              </w:rPr>
            </w:pPr>
          </w:p>
        </w:tc>
      </w:tr>
      <w:tr w14:paraId="1407A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237C757B">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152D89F">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20CFEA9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与正文内容及活动主题高度吻合。</w:t>
            </w:r>
          </w:p>
        </w:tc>
        <w:tc>
          <w:tcPr>
            <w:tcW w:w="907" w:type="dxa"/>
            <w:vMerge w:val="continue"/>
            <w:tcBorders>
              <w:left w:val="single" w:color="000000" w:sz="4" w:space="0"/>
              <w:right w:val="single" w:color="000000" w:sz="4" w:space="0"/>
            </w:tcBorders>
            <w:vAlign w:val="center"/>
          </w:tcPr>
          <w:p w14:paraId="12AB0B9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2ED861CE">
            <w:pPr>
              <w:spacing w:line="360" w:lineRule="auto"/>
              <w:jc w:val="left"/>
              <w:rPr>
                <w:rFonts w:ascii="仿宋_GB2312" w:hAnsi="仿宋_GB2312" w:eastAsia="仿宋_GB2312" w:cs="仿宋_GB2312"/>
                <w:sz w:val="24"/>
              </w:rPr>
            </w:pPr>
          </w:p>
        </w:tc>
      </w:tr>
      <w:tr w14:paraId="30F95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424286C">
            <w:pPr>
              <w:spacing w:line="360" w:lineRule="auto"/>
              <w:jc w:val="left"/>
              <w:rPr>
                <w:rFonts w:ascii="仿宋_GB2312" w:hAnsi="仿宋_GB2312" w:eastAsia="仿宋_GB2312" w:cs="仿宋_GB2312"/>
                <w:b/>
                <w:bCs/>
                <w:sz w:val="24"/>
              </w:rPr>
            </w:pPr>
          </w:p>
        </w:tc>
        <w:tc>
          <w:tcPr>
            <w:tcW w:w="1635" w:type="dxa"/>
            <w:gridSpan w:val="2"/>
            <w:vMerge w:val="restart"/>
            <w:tcBorders>
              <w:left w:val="single" w:color="000000" w:sz="4" w:space="0"/>
              <w:right w:val="single" w:color="000000" w:sz="4" w:space="0"/>
            </w:tcBorders>
            <w:vAlign w:val="center"/>
          </w:tcPr>
          <w:p w14:paraId="3CCA5B7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正文</w:t>
            </w:r>
          </w:p>
        </w:tc>
        <w:tc>
          <w:tcPr>
            <w:tcW w:w="4566" w:type="dxa"/>
            <w:tcBorders>
              <w:left w:val="single" w:color="000000" w:sz="4" w:space="0"/>
              <w:right w:val="single" w:color="000000" w:sz="4" w:space="0"/>
            </w:tcBorders>
            <w:vAlign w:val="center"/>
          </w:tcPr>
          <w:p w14:paraId="1A1E855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正文部分内容与标题、活动策划方案相吻合，包含品牌推广和产品促销内容。</w:t>
            </w:r>
          </w:p>
        </w:tc>
        <w:tc>
          <w:tcPr>
            <w:tcW w:w="907" w:type="dxa"/>
            <w:vMerge w:val="restart"/>
            <w:tcBorders>
              <w:left w:val="single" w:color="000000" w:sz="4" w:space="0"/>
              <w:right w:val="single" w:color="000000" w:sz="4" w:space="0"/>
            </w:tcBorders>
            <w:vAlign w:val="center"/>
          </w:tcPr>
          <w:p w14:paraId="459F72A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18分</w:t>
            </w:r>
          </w:p>
        </w:tc>
        <w:tc>
          <w:tcPr>
            <w:tcW w:w="865" w:type="dxa"/>
            <w:vMerge w:val="restart"/>
            <w:tcBorders>
              <w:left w:val="single" w:color="000000" w:sz="4" w:space="0"/>
              <w:right w:val="single" w:color="000000" w:sz="4" w:space="0"/>
            </w:tcBorders>
            <w:vAlign w:val="center"/>
          </w:tcPr>
          <w:p w14:paraId="55612A6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65987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A63D60D">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08DBF7BF">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3EB575A4">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文案结构合理，采用总分总结构、并列结构、递进结构或正反对比结构。文案开头部分具有吸引，能吸引人继续阅读。</w:t>
            </w:r>
          </w:p>
        </w:tc>
        <w:tc>
          <w:tcPr>
            <w:tcW w:w="907" w:type="dxa"/>
            <w:vMerge w:val="continue"/>
            <w:tcBorders>
              <w:left w:val="single" w:color="000000" w:sz="4" w:space="0"/>
              <w:right w:val="single" w:color="000000" w:sz="4" w:space="0"/>
            </w:tcBorders>
            <w:vAlign w:val="center"/>
          </w:tcPr>
          <w:p w14:paraId="449D808D">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6E674106">
            <w:pPr>
              <w:spacing w:line="360" w:lineRule="auto"/>
              <w:jc w:val="left"/>
              <w:rPr>
                <w:rFonts w:ascii="仿宋_GB2312" w:hAnsi="仿宋_GB2312" w:eastAsia="仿宋_GB2312" w:cs="仿宋_GB2312"/>
                <w:sz w:val="24"/>
              </w:rPr>
            </w:pPr>
          </w:p>
        </w:tc>
      </w:tr>
      <w:tr w14:paraId="1533C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76DC32E2">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06CFE099">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6BA64ED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文案采用图文混排的展现形式，字体、字号、颜色、图片排版美观。</w:t>
            </w:r>
          </w:p>
        </w:tc>
        <w:tc>
          <w:tcPr>
            <w:tcW w:w="907" w:type="dxa"/>
            <w:vMerge w:val="continue"/>
            <w:tcBorders>
              <w:left w:val="single" w:color="000000" w:sz="4" w:space="0"/>
              <w:right w:val="single" w:color="000000" w:sz="4" w:space="0"/>
            </w:tcBorders>
            <w:vAlign w:val="center"/>
          </w:tcPr>
          <w:p w14:paraId="6D69B589">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60EC61EE">
            <w:pPr>
              <w:spacing w:line="360" w:lineRule="auto"/>
              <w:jc w:val="left"/>
              <w:rPr>
                <w:rFonts w:ascii="仿宋_GB2312" w:hAnsi="仿宋_GB2312" w:eastAsia="仿宋_GB2312" w:cs="仿宋_GB2312"/>
                <w:sz w:val="24"/>
              </w:rPr>
            </w:pPr>
          </w:p>
        </w:tc>
      </w:tr>
      <w:tr w14:paraId="4C2E1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B2FEAB4">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C4B4314">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2E15613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图片选择恰当，与内容一致，图文内容呼应。</w:t>
            </w:r>
          </w:p>
        </w:tc>
        <w:tc>
          <w:tcPr>
            <w:tcW w:w="907" w:type="dxa"/>
            <w:vMerge w:val="continue"/>
            <w:tcBorders>
              <w:left w:val="single" w:color="000000" w:sz="4" w:space="0"/>
              <w:right w:val="single" w:color="000000" w:sz="4" w:space="0"/>
            </w:tcBorders>
            <w:vAlign w:val="center"/>
          </w:tcPr>
          <w:p w14:paraId="52359924">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499B82A8">
            <w:pPr>
              <w:spacing w:line="360" w:lineRule="auto"/>
              <w:jc w:val="left"/>
              <w:rPr>
                <w:rFonts w:ascii="仿宋_GB2312" w:hAnsi="仿宋_GB2312" w:eastAsia="仿宋_GB2312" w:cs="仿宋_GB2312"/>
                <w:sz w:val="24"/>
              </w:rPr>
            </w:pPr>
          </w:p>
        </w:tc>
      </w:tr>
      <w:tr w14:paraId="2F860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EA5A7C3">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26041DC">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5F6CB4B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文案内容逻辑清晰，能够突出活动主题与内容</w:t>
            </w:r>
          </w:p>
        </w:tc>
        <w:tc>
          <w:tcPr>
            <w:tcW w:w="907" w:type="dxa"/>
            <w:vMerge w:val="continue"/>
            <w:tcBorders>
              <w:left w:val="single" w:color="000000" w:sz="4" w:space="0"/>
              <w:right w:val="single" w:color="000000" w:sz="4" w:space="0"/>
            </w:tcBorders>
            <w:vAlign w:val="center"/>
          </w:tcPr>
          <w:p w14:paraId="536AE5EE">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5D40CA56">
            <w:pPr>
              <w:spacing w:line="360" w:lineRule="auto"/>
              <w:jc w:val="left"/>
              <w:rPr>
                <w:rFonts w:ascii="仿宋_GB2312" w:hAnsi="仿宋_GB2312" w:eastAsia="仿宋_GB2312" w:cs="仿宋_GB2312"/>
                <w:sz w:val="24"/>
              </w:rPr>
            </w:pPr>
          </w:p>
        </w:tc>
      </w:tr>
      <w:tr w14:paraId="7260F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6D1FD93">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10413108">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03A1BC3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活动内容描述完整，包括活动主题、时间、受众、类型、参与方式、活动细节等。</w:t>
            </w:r>
          </w:p>
        </w:tc>
        <w:tc>
          <w:tcPr>
            <w:tcW w:w="907" w:type="dxa"/>
            <w:vMerge w:val="continue"/>
            <w:tcBorders>
              <w:left w:val="single" w:color="000000" w:sz="4" w:space="0"/>
              <w:right w:val="single" w:color="000000" w:sz="4" w:space="0"/>
            </w:tcBorders>
            <w:vAlign w:val="center"/>
          </w:tcPr>
          <w:p w14:paraId="158D536F">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3F069A6E">
            <w:pPr>
              <w:spacing w:line="360" w:lineRule="auto"/>
              <w:jc w:val="left"/>
              <w:rPr>
                <w:rFonts w:ascii="仿宋_GB2312" w:hAnsi="仿宋_GB2312" w:eastAsia="仿宋_GB2312" w:cs="仿宋_GB2312"/>
                <w:sz w:val="24"/>
              </w:rPr>
            </w:pPr>
          </w:p>
        </w:tc>
      </w:tr>
      <w:tr w14:paraId="78832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7A6F4931">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0C5AB3DC">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37069E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尾文部分内容，能激发阅读者转发分享或点击购买的欲望。</w:t>
            </w:r>
          </w:p>
        </w:tc>
        <w:tc>
          <w:tcPr>
            <w:tcW w:w="907" w:type="dxa"/>
            <w:vMerge w:val="continue"/>
            <w:tcBorders>
              <w:left w:val="single" w:color="000000" w:sz="4" w:space="0"/>
              <w:right w:val="single" w:color="000000" w:sz="4" w:space="0"/>
            </w:tcBorders>
            <w:vAlign w:val="center"/>
          </w:tcPr>
          <w:p w14:paraId="6E18C52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0AC49B80">
            <w:pPr>
              <w:spacing w:line="360" w:lineRule="auto"/>
              <w:jc w:val="left"/>
              <w:rPr>
                <w:rFonts w:ascii="仿宋_GB2312" w:hAnsi="仿宋_GB2312" w:eastAsia="仿宋_GB2312" w:cs="仿宋_GB2312"/>
                <w:sz w:val="24"/>
              </w:rPr>
            </w:pPr>
          </w:p>
        </w:tc>
      </w:tr>
      <w:tr w14:paraId="61F2D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826" w:type="dxa"/>
            <w:gridSpan w:val="2"/>
            <w:vMerge w:val="continue"/>
            <w:tcBorders>
              <w:left w:val="single" w:color="000000" w:sz="4" w:space="0"/>
              <w:right w:val="single" w:color="000000" w:sz="4" w:space="0"/>
            </w:tcBorders>
            <w:vAlign w:val="center"/>
          </w:tcPr>
          <w:p w14:paraId="19A0CDEC">
            <w:pPr>
              <w:spacing w:line="360" w:lineRule="auto"/>
              <w:jc w:val="left"/>
              <w:rPr>
                <w:rFonts w:ascii="仿宋_GB2312" w:hAnsi="仿宋_GB2312" w:eastAsia="仿宋_GB2312" w:cs="仿宋_GB2312"/>
                <w:b/>
                <w:bCs/>
                <w:sz w:val="24"/>
              </w:rPr>
            </w:pPr>
          </w:p>
        </w:tc>
        <w:tc>
          <w:tcPr>
            <w:tcW w:w="1635" w:type="dxa"/>
            <w:gridSpan w:val="2"/>
            <w:vMerge w:val="restart"/>
            <w:tcBorders>
              <w:left w:val="single" w:color="000000" w:sz="4" w:space="0"/>
              <w:right w:val="single" w:color="000000" w:sz="4" w:space="0"/>
            </w:tcBorders>
            <w:vAlign w:val="center"/>
          </w:tcPr>
          <w:p w14:paraId="39DF9B0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封面</w:t>
            </w:r>
          </w:p>
        </w:tc>
        <w:tc>
          <w:tcPr>
            <w:tcW w:w="4566" w:type="dxa"/>
            <w:tcBorders>
              <w:left w:val="single" w:color="000000" w:sz="4" w:space="0"/>
              <w:right w:val="single" w:color="000000" w:sz="4" w:space="0"/>
            </w:tcBorders>
            <w:vAlign w:val="center"/>
          </w:tcPr>
          <w:p w14:paraId="122BB8B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封面图片具有吸引力</w:t>
            </w:r>
          </w:p>
        </w:tc>
        <w:tc>
          <w:tcPr>
            <w:tcW w:w="907" w:type="dxa"/>
            <w:vMerge w:val="restart"/>
            <w:tcBorders>
              <w:left w:val="single" w:color="000000" w:sz="4" w:space="0"/>
              <w:right w:val="single" w:color="000000" w:sz="4" w:space="0"/>
            </w:tcBorders>
            <w:vAlign w:val="center"/>
          </w:tcPr>
          <w:p w14:paraId="798E9ED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6分</w:t>
            </w:r>
          </w:p>
        </w:tc>
        <w:tc>
          <w:tcPr>
            <w:tcW w:w="865" w:type="dxa"/>
            <w:vMerge w:val="restart"/>
            <w:tcBorders>
              <w:left w:val="single" w:color="000000" w:sz="4" w:space="0"/>
              <w:right w:val="single" w:color="000000" w:sz="4" w:space="0"/>
            </w:tcBorders>
            <w:vAlign w:val="center"/>
          </w:tcPr>
          <w:p w14:paraId="41F08DF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496E4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39BF083">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25ED6D35">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0688796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封面图片清晰、尺寸合理</w:t>
            </w:r>
          </w:p>
        </w:tc>
        <w:tc>
          <w:tcPr>
            <w:tcW w:w="907" w:type="dxa"/>
            <w:vMerge w:val="continue"/>
            <w:tcBorders>
              <w:left w:val="single" w:color="000000" w:sz="4" w:space="0"/>
              <w:right w:val="single" w:color="000000" w:sz="4" w:space="0"/>
            </w:tcBorders>
            <w:vAlign w:val="center"/>
          </w:tcPr>
          <w:p w14:paraId="5D25E07A">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74C24D85">
            <w:pPr>
              <w:spacing w:line="360" w:lineRule="auto"/>
              <w:jc w:val="left"/>
              <w:rPr>
                <w:rFonts w:ascii="仿宋_GB2312" w:hAnsi="仿宋_GB2312" w:eastAsia="仿宋_GB2312" w:cs="仿宋_GB2312"/>
                <w:sz w:val="24"/>
              </w:rPr>
            </w:pPr>
          </w:p>
        </w:tc>
      </w:tr>
      <w:tr w14:paraId="56302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826" w:type="dxa"/>
            <w:gridSpan w:val="2"/>
            <w:vMerge w:val="continue"/>
            <w:tcBorders>
              <w:left w:val="single" w:color="000000" w:sz="4" w:space="0"/>
              <w:right w:val="single" w:color="000000" w:sz="4" w:space="0"/>
            </w:tcBorders>
            <w:vAlign w:val="center"/>
          </w:tcPr>
          <w:p w14:paraId="08E20D1B">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6ADC1CE">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2F2F95B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能反映商品和活动主题</w:t>
            </w:r>
          </w:p>
        </w:tc>
        <w:tc>
          <w:tcPr>
            <w:tcW w:w="907" w:type="dxa"/>
            <w:vMerge w:val="continue"/>
            <w:tcBorders>
              <w:left w:val="single" w:color="000000" w:sz="4" w:space="0"/>
              <w:right w:val="single" w:color="000000" w:sz="4" w:space="0"/>
            </w:tcBorders>
            <w:vAlign w:val="center"/>
          </w:tcPr>
          <w:p w14:paraId="1EBB99D2">
            <w:pPr>
              <w:spacing w:line="360" w:lineRule="auto"/>
              <w:jc w:val="center"/>
              <w:rPr>
                <w:rFonts w:ascii="仿宋_GB2312" w:hAnsi="仿宋_GB2312" w:eastAsia="仿宋_GB2312" w:cs="仿宋_GB2312"/>
                <w:sz w:val="24"/>
              </w:rPr>
            </w:pPr>
          </w:p>
        </w:tc>
        <w:tc>
          <w:tcPr>
            <w:tcW w:w="865" w:type="dxa"/>
            <w:tcBorders>
              <w:left w:val="single" w:color="000000" w:sz="4" w:space="0"/>
              <w:right w:val="single" w:color="000000" w:sz="4" w:space="0"/>
            </w:tcBorders>
            <w:vAlign w:val="center"/>
          </w:tcPr>
          <w:p w14:paraId="5A00693C">
            <w:pPr>
              <w:spacing w:line="360" w:lineRule="auto"/>
              <w:jc w:val="left"/>
              <w:rPr>
                <w:rFonts w:ascii="仿宋_GB2312" w:hAnsi="仿宋_GB2312" w:eastAsia="仿宋_GB2312" w:cs="仿宋_GB2312"/>
                <w:sz w:val="24"/>
              </w:rPr>
            </w:pPr>
          </w:p>
        </w:tc>
      </w:tr>
    </w:tbl>
    <w:p w14:paraId="2B53FB41">
      <w:pPr>
        <w:pStyle w:val="6"/>
        <w:spacing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（二）评分方式</w:t>
      </w:r>
    </w:p>
    <w:p w14:paraId="172EFD39">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1.裁判员选聘：裁判长1名，裁判聘请数量依据参赛队报名数量确定。</w:t>
      </w:r>
    </w:p>
    <w:p w14:paraId="75F8F64B">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2.评分方法：分</w:t>
      </w:r>
      <w:bookmarkStart w:id="3" w:name="_Hlk89277323"/>
      <w:r>
        <w:rPr>
          <w:rFonts w:hint="eastAsia" w:ascii="仿宋_GB2312" w:hAnsi="仿宋_GB2312" w:eastAsia="仿宋_GB2312" w:cs="仿宋_GB2312"/>
          <w:kern w:val="2"/>
          <w:sz w:val="28"/>
          <w:szCs w:val="28"/>
        </w:rPr>
        <w:t>为</w:t>
      </w:r>
      <w:bookmarkEnd w:id="3"/>
      <w:r>
        <w:rPr>
          <w:rFonts w:hint="eastAsia" w:ascii="仿宋_GB2312" w:hAnsi="仿宋_GB2312" w:eastAsia="仿宋_GB2312" w:cs="仿宋_GB2312"/>
          <w:kern w:val="2"/>
          <w:sz w:val="28"/>
          <w:szCs w:val="28"/>
        </w:rPr>
        <w:t>机考评分和结果评分。</w:t>
      </w:r>
    </w:p>
    <w:p w14:paraId="5067C0B6">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3.成绩产生方法：按100分制计分，由高到低进行排名，如出现总成绩相同的情况，优先以数字营销推广成绩进行排名，若数字营销推广成绩仍相同则按照直播营销成绩进行排名。</w:t>
      </w:r>
    </w:p>
    <w:p w14:paraId="5A822AFA">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4．成绩审核方法：为保障成绩评判的准确性，监督仲裁组将对赛项总成绩排名前30%的所有参赛队的成绩进行复核；对其余成绩进行抽检复核，抽检覆盖率不得低于15%。如发现成绩错误以书面方式及时告知裁判长，由裁判长更正成绩并签字确认。复核、抽检错误率超过5%的，裁判组将对所有成绩进行复核。</w:t>
      </w:r>
    </w:p>
    <w:p w14:paraId="53724490">
      <w:pPr>
        <w:pStyle w:val="6"/>
        <w:spacing w:before="0" w:after="0" w:line="360" w:lineRule="auto"/>
        <w:ind w:left="0" w:firstLine="560" w:firstLineChars="200"/>
      </w:pPr>
      <w:r>
        <w:rPr>
          <w:rFonts w:hint="eastAsia" w:ascii="仿宋_GB2312" w:hAnsi="仿宋_GB2312" w:eastAsia="仿宋_GB2312" w:cs="仿宋_GB2312"/>
          <w:kern w:val="2"/>
          <w:sz w:val="28"/>
          <w:szCs w:val="28"/>
        </w:rPr>
        <w:t>5．成绩公布方法：记分员将解密后的各参赛队伍（选手）成绩汇总成比赛成绩，经裁判长、监督仲裁组签字后，公布比赛结果。</w:t>
      </w:r>
    </w:p>
    <w:p w14:paraId="30B14743">
      <w:pPr>
        <w:pStyle w:val="2"/>
        <w:rPr>
          <w:b w:val="0"/>
          <w:bCs/>
        </w:rPr>
      </w:pPr>
      <w:r>
        <w:rPr>
          <w:rFonts w:hint="eastAsia"/>
          <w:b w:val="0"/>
          <w:bCs/>
        </w:rPr>
        <w:t>十、奖项设置</w:t>
      </w:r>
    </w:p>
    <w:p w14:paraId="48E92F33">
      <w:pPr>
        <w:pStyle w:val="6"/>
        <w:spacing w:before="0" w:after="0" w:line="360" w:lineRule="auto"/>
        <w:ind w:left="42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设团体一、二、三等奖，以赛项实际参赛队总数为基数，一、二、三等奖获奖比例分别为10%、20%、30%（小数点后四舍五入）。</w:t>
      </w:r>
    </w:p>
    <w:p w14:paraId="185D040D">
      <w:pPr>
        <w:pStyle w:val="2"/>
        <w:rPr>
          <w:b w:val="0"/>
          <w:bCs/>
        </w:rPr>
      </w:pPr>
      <w:r>
        <w:rPr>
          <w:rFonts w:hint="eastAsia"/>
          <w:b w:val="0"/>
          <w:bCs/>
        </w:rPr>
        <w:t>十一、申诉与仲裁</w:t>
      </w:r>
    </w:p>
    <w:p w14:paraId="15E2E95C">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赛项在比赛过程中若出现有失公正或有关人员违规等现象，代表队领队可在比赛结束后（选手赛场比赛内容全部完成）1小时之内向仲裁组提出书面申诉。超过时效不予受理。赛项监督仲裁工作组在接到申诉报告后的1小时内组织复议，并及时将复议结果以书面形式告知申诉方。</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B21CA13-0C85-49B7-A52D-DA00B65498E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方正小标宋简体">
    <w:panose1 w:val="03000509000000000000"/>
    <w:charset w:val="86"/>
    <w:family w:val="auto"/>
    <w:pitch w:val="default"/>
    <w:sig w:usb0="00000001" w:usb1="080E0000" w:usb2="00000000" w:usb3="00000000" w:csb0="00040000" w:csb1="00000000"/>
    <w:embedRegular r:id="rId2" w:fontKey="{A5CBFFC4-76E2-420A-90D4-AB8CB11E3BF4}"/>
  </w:font>
  <w:font w:name="仿宋_GB2312">
    <w:panose1 w:val="02010609030101010101"/>
    <w:charset w:val="86"/>
    <w:family w:val="modern"/>
    <w:pitch w:val="default"/>
    <w:sig w:usb0="00000001" w:usb1="080E0000" w:usb2="00000000" w:usb3="00000000" w:csb0="00040000" w:csb1="00000000"/>
    <w:embedRegular r:id="rId3" w:fontKey="{353B6AF0-08DB-4FA1-9E49-6E341600DDB2}"/>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D0F2D">
    <w:pPr>
      <w:pStyle w:val="1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5209B">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C2B52">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2BC2B52">
                    <w:pPr>
                      <w:pStyle w:val="10"/>
                    </w:pPr>
                    <w:r>
                      <w:fldChar w:fldCharType="begin"/>
                    </w:r>
                    <w:r>
                      <w:instrText xml:space="preserve"> PAGE  \* MERGEFORMAT </w:instrText>
                    </w:r>
                    <w:r>
                      <w:fldChar w:fldCharType="separate"/>
                    </w:r>
                    <w:r>
                      <w:t>32</w:t>
                    </w:r>
                    <w:r>
                      <w:fldChar w:fldCharType="end"/>
                    </w:r>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303C40"/>
    <w:multiLevelType w:val="multilevel"/>
    <w:tmpl w:val="2D303C40"/>
    <w:lvl w:ilvl="0" w:tentative="0">
      <w:start w:val="4"/>
      <w:numFmt w:val="bullet"/>
      <w:lvlText w:val="□"/>
      <w:lvlJc w:val="left"/>
      <w:pPr>
        <w:tabs>
          <w:tab w:val="left" w:pos="360"/>
        </w:tabs>
        <w:ind w:left="360" w:hanging="360"/>
      </w:pPr>
      <w:rPr>
        <w:rFonts w:hint="eastAsia" w:ascii="宋体" w:hAnsi="宋体" w:eastAsia="宋体" w:cs="Times New Roman"/>
        <w:b/>
        <w:sz w:val="4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3"/>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622A36E7"/>
    <w:rsid w:val="00074827"/>
    <w:rsid w:val="000A1467"/>
    <w:rsid w:val="00386FEE"/>
    <w:rsid w:val="003E141B"/>
    <w:rsid w:val="0043508A"/>
    <w:rsid w:val="00630970"/>
    <w:rsid w:val="006517EC"/>
    <w:rsid w:val="008144C1"/>
    <w:rsid w:val="00873967"/>
    <w:rsid w:val="00A279A8"/>
    <w:rsid w:val="01233A9E"/>
    <w:rsid w:val="033F5E19"/>
    <w:rsid w:val="04F642DE"/>
    <w:rsid w:val="055204AE"/>
    <w:rsid w:val="05537D0A"/>
    <w:rsid w:val="05B44CC5"/>
    <w:rsid w:val="06016576"/>
    <w:rsid w:val="07C043E8"/>
    <w:rsid w:val="07D6114F"/>
    <w:rsid w:val="08F655F4"/>
    <w:rsid w:val="0AD67DBA"/>
    <w:rsid w:val="0BA17A99"/>
    <w:rsid w:val="0C0F0EA7"/>
    <w:rsid w:val="0C324B95"/>
    <w:rsid w:val="0C8573BB"/>
    <w:rsid w:val="0D21137C"/>
    <w:rsid w:val="0DA11FD2"/>
    <w:rsid w:val="0E9262B2"/>
    <w:rsid w:val="11300B74"/>
    <w:rsid w:val="11FC3C7B"/>
    <w:rsid w:val="12661A3D"/>
    <w:rsid w:val="1331204B"/>
    <w:rsid w:val="13785584"/>
    <w:rsid w:val="13B8313D"/>
    <w:rsid w:val="14470291"/>
    <w:rsid w:val="14737768"/>
    <w:rsid w:val="15135779"/>
    <w:rsid w:val="162B1A4C"/>
    <w:rsid w:val="17321EED"/>
    <w:rsid w:val="181B5077"/>
    <w:rsid w:val="185A5F29"/>
    <w:rsid w:val="194F4FD8"/>
    <w:rsid w:val="19F41BE9"/>
    <w:rsid w:val="1A07140F"/>
    <w:rsid w:val="1B3A769E"/>
    <w:rsid w:val="1CC32612"/>
    <w:rsid w:val="1EFF4C2E"/>
    <w:rsid w:val="1F370577"/>
    <w:rsid w:val="1F8D70FD"/>
    <w:rsid w:val="202D5948"/>
    <w:rsid w:val="211437CE"/>
    <w:rsid w:val="237D4370"/>
    <w:rsid w:val="23B343B6"/>
    <w:rsid w:val="24212BF2"/>
    <w:rsid w:val="244A1145"/>
    <w:rsid w:val="25140E84"/>
    <w:rsid w:val="254479BB"/>
    <w:rsid w:val="255303DE"/>
    <w:rsid w:val="28B906C0"/>
    <w:rsid w:val="29F82489"/>
    <w:rsid w:val="2A961358"/>
    <w:rsid w:val="2ACA0963"/>
    <w:rsid w:val="2B487ADA"/>
    <w:rsid w:val="2B8C79C6"/>
    <w:rsid w:val="2BA25857"/>
    <w:rsid w:val="2C42277B"/>
    <w:rsid w:val="2C4B7881"/>
    <w:rsid w:val="2C8132A3"/>
    <w:rsid w:val="2D053ED4"/>
    <w:rsid w:val="2DCE7B02"/>
    <w:rsid w:val="2DD83397"/>
    <w:rsid w:val="2E56250D"/>
    <w:rsid w:val="2F7104E2"/>
    <w:rsid w:val="301937F3"/>
    <w:rsid w:val="31864EB8"/>
    <w:rsid w:val="318C274E"/>
    <w:rsid w:val="31A87524"/>
    <w:rsid w:val="35D204D1"/>
    <w:rsid w:val="35E90D57"/>
    <w:rsid w:val="366949C8"/>
    <w:rsid w:val="36CC15BF"/>
    <w:rsid w:val="38044D88"/>
    <w:rsid w:val="38673C95"/>
    <w:rsid w:val="397228F1"/>
    <w:rsid w:val="397B107A"/>
    <w:rsid w:val="39900FC9"/>
    <w:rsid w:val="3A121F97"/>
    <w:rsid w:val="3BD66A3C"/>
    <w:rsid w:val="3C577B7C"/>
    <w:rsid w:val="3E9B4698"/>
    <w:rsid w:val="3F5900B0"/>
    <w:rsid w:val="413D3F4E"/>
    <w:rsid w:val="43BC57F0"/>
    <w:rsid w:val="48164D90"/>
    <w:rsid w:val="497F0713"/>
    <w:rsid w:val="4B904E59"/>
    <w:rsid w:val="4BCD6719"/>
    <w:rsid w:val="4E2D2E33"/>
    <w:rsid w:val="4E850579"/>
    <w:rsid w:val="4F8853F0"/>
    <w:rsid w:val="4FF83023"/>
    <w:rsid w:val="51450494"/>
    <w:rsid w:val="52BF009D"/>
    <w:rsid w:val="540226B1"/>
    <w:rsid w:val="54A33370"/>
    <w:rsid w:val="54BA187B"/>
    <w:rsid w:val="55103BD6"/>
    <w:rsid w:val="556C4241"/>
    <w:rsid w:val="563B3C13"/>
    <w:rsid w:val="56F40F4D"/>
    <w:rsid w:val="57063837"/>
    <w:rsid w:val="57272B15"/>
    <w:rsid w:val="5886386C"/>
    <w:rsid w:val="58D520FD"/>
    <w:rsid w:val="5932687E"/>
    <w:rsid w:val="593B649F"/>
    <w:rsid w:val="5A3D61AC"/>
    <w:rsid w:val="5A986326"/>
    <w:rsid w:val="5AA31307"/>
    <w:rsid w:val="5B084A0C"/>
    <w:rsid w:val="5BCA3A6F"/>
    <w:rsid w:val="5C090A3C"/>
    <w:rsid w:val="5CAA50FB"/>
    <w:rsid w:val="5DF72B16"/>
    <w:rsid w:val="5E6108B9"/>
    <w:rsid w:val="5E987E55"/>
    <w:rsid w:val="5FBD2D5C"/>
    <w:rsid w:val="5FF4555F"/>
    <w:rsid w:val="600E4817"/>
    <w:rsid w:val="60AF592A"/>
    <w:rsid w:val="61493864"/>
    <w:rsid w:val="622A36E7"/>
    <w:rsid w:val="650E0E71"/>
    <w:rsid w:val="65B05E62"/>
    <w:rsid w:val="67094048"/>
    <w:rsid w:val="678216A2"/>
    <w:rsid w:val="681430FA"/>
    <w:rsid w:val="69FE1E6B"/>
    <w:rsid w:val="6A385281"/>
    <w:rsid w:val="6B8478B1"/>
    <w:rsid w:val="6C011EDD"/>
    <w:rsid w:val="6C4537CF"/>
    <w:rsid w:val="6D5E04BB"/>
    <w:rsid w:val="6EDF73DA"/>
    <w:rsid w:val="70D127C9"/>
    <w:rsid w:val="71061D1D"/>
    <w:rsid w:val="71632544"/>
    <w:rsid w:val="71B40FF2"/>
    <w:rsid w:val="71BC7EA6"/>
    <w:rsid w:val="726061A0"/>
    <w:rsid w:val="72D761FB"/>
    <w:rsid w:val="742A10F7"/>
    <w:rsid w:val="754879CE"/>
    <w:rsid w:val="76593F16"/>
    <w:rsid w:val="765E353C"/>
    <w:rsid w:val="78B611AB"/>
    <w:rsid w:val="7A5325C6"/>
    <w:rsid w:val="7A7757EF"/>
    <w:rsid w:val="7A950625"/>
    <w:rsid w:val="7CCD2F68"/>
    <w:rsid w:val="7CE56503"/>
    <w:rsid w:val="7D625DA6"/>
    <w:rsid w:val="7F101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16"/>
    <w:autoRedefine/>
    <w:unhideWhenUsed/>
    <w:qFormat/>
    <w:uiPriority w:val="9"/>
    <w:pPr>
      <w:keepNext/>
      <w:keepLines/>
      <w:spacing w:before="260" w:after="260" w:line="413" w:lineRule="auto"/>
      <w:outlineLvl w:val="1"/>
    </w:pPr>
    <w:rPr>
      <w:rFonts w:ascii="Arial" w:hAnsi="Arial" w:eastAsia="黑体"/>
      <w:b/>
      <w:sz w:val="32"/>
    </w:rPr>
  </w:style>
  <w:style w:type="paragraph" w:styleId="3">
    <w:name w:val="heading 3"/>
    <w:basedOn w:val="1"/>
    <w:next w:val="1"/>
    <w:autoRedefine/>
    <w:qFormat/>
    <w:uiPriority w:val="0"/>
    <w:pPr>
      <w:widowControl/>
      <w:numPr>
        <w:ilvl w:val="2"/>
        <w:numId w:val="1"/>
      </w:numPr>
      <w:tabs>
        <w:tab w:val="left" w:pos="360"/>
      </w:tabs>
      <w:spacing w:after="80" w:line="256" w:lineRule="auto"/>
      <w:outlineLvl w:val="2"/>
    </w:pPr>
    <w:rPr>
      <w:rFonts w:ascii="微软雅黑" w:hAnsi="微软雅黑" w:eastAsia="微软雅黑" w:cs="微软雅黑"/>
      <w:b/>
      <w:color w:val="003764"/>
      <w:kern w:val="0"/>
      <w:sz w:val="22"/>
      <w:lang w:val="en-GB"/>
    </w:rPr>
  </w:style>
  <w:style w:type="paragraph" w:styleId="4">
    <w:name w:val="heading 4"/>
    <w:basedOn w:val="1"/>
    <w:next w:val="1"/>
    <w:autoRedefine/>
    <w:unhideWhenUsed/>
    <w:qFormat/>
    <w:uiPriority w:val="0"/>
    <w:pPr>
      <w:keepNext/>
      <w:keepLines/>
      <w:spacing w:before="280" w:line="372" w:lineRule="auto"/>
      <w:outlineLvl w:val="3"/>
    </w:pPr>
    <w:rPr>
      <w:rFonts w:ascii="Arial" w:hAnsi="Arial" w:eastAsia="黑体"/>
      <w:b/>
      <w:sz w:val="28"/>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rPr>
      <w:rFonts w:ascii="Times New Roman" w:hAnsi="Times New Roman" w:eastAsiaTheme="minorEastAsia" w:cstheme="minorBidi"/>
    </w:rPr>
  </w:style>
  <w:style w:type="paragraph" w:styleId="6">
    <w:name w:val="Body Text"/>
    <w:basedOn w:val="1"/>
    <w:next w:val="1"/>
    <w:autoRedefine/>
    <w:qFormat/>
    <w:uiPriority w:val="99"/>
    <w:pPr>
      <w:widowControl/>
      <w:overflowPunct w:val="0"/>
      <w:autoSpaceDE w:val="0"/>
      <w:autoSpaceDN w:val="0"/>
      <w:adjustRightInd w:val="0"/>
      <w:spacing w:before="120" w:after="120"/>
      <w:ind w:left="2552"/>
      <w:jc w:val="left"/>
      <w:textAlignment w:val="baseline"/>
    </w:pPr>
    <w:rPr>
      <w:rFonts w:ascii="Book Antiqua" w:hAnsi="Book Antiqua"/>
      <w:kern w:val="0"/>
      <w:szCs w:val="20"/>
    </w:rPr>
  </w:style>
  <w:style w:type="paragraph" w:styleId="7">
    <w:name w:val="Body Text Indent"/>
    <w:basedOn w:val="1"/>
    <w:autoRedefine/>
    <w:unhideWhenUsed/>
    <w:qFormat/>
    <w:uiPriority w:val="99"/>
    <w:pPr>
      <w:spacing w:after="120"/>
      <w:ind w:left="420" w:leftChars="200"/>
    </w:pPr>
  </w:style>
  <w:style w:type="paragraph" w:styleId="8">
    <w:name w:val="Body Text Indent 2"/>
    <w:basedOn w:val="1"/>
    <w:autoRedefine/>
    <w:qFormat/>
    <w:uiPriority w:val="99"/>
    <w:pPr>
      <w:spacing w:after="120" w:line="480" w:lineRule="auto"/>
      <w:ind w:left="420" w:leftChars="200"/>
    </w:pPr>
  </w:style>
  <w:style w:type="paragraph" w:styleId="9">
    <w:name w:val="Balloon Text"/>
    <w:basedOn w:val="1"/>
    <w:link w:val="18"/>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Body Text First Indent 2"/>
    <w:basedOn w:val="7"/>
    <w:autoRedefine/>
    <w:unhideWhenUsed/>
    <w:qFormat/>
    <w:uiPriority w:val="99"/>
    <w:pPr>
      <w:ind w:firstLine="420" w:firstLineChars="200"/>
    </w:pPr>
  </w:style>
  <w:style w:type="table" w:styleId="14">
    <w:name w:val="Table Grid"/>
    <w:basedOn w:val="13"/>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6">
    <w:name w:val="标题 2 Char"/>
    <w:link w:val="2"/>
    <w:autoRedefine/>
    <w:qFormat/>
    <w:uiPriority w:val="0"/>
    <w:rPr>
      <w:rFonts w:ascii="Arial" w:hAnsi="Arial" w:eastAsia="黑体"/>
      <w:b/>
      <w:sz w:val="32"/>
    </w:rPr>
  </w:style>
  <w:style w:type="character" w:customStyle="1" w:styleId="17">
    <w:name w:val="Editable"/>
    <w:basedOn w:val="15"/>
    <w:autoRedefine/>
    <w:qFormat/>
    <w:uiPriority w:val="0"/>
    <w:rPr>
      <w:rFonts w:hint="default" w:ascii="Times New Roman" w:hAnsi="Times New Roman" w:cs="Times New Roman"/>
      <w:color w:val="62B5E5"/>
    </w:rPr>
  </w:style>
  <w:style w:type="character" w:customStyle="1" w:styleId="18">
    <w:name w:val="批注框文本 Char"/>
    <w:basedOn w:val="15"/>
    <w:link w:val="9"/>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5581</Words>
  <Characters>5818</Characters>
  <Lines>110</Lines>
  <Paragraphs>31</Paragraphs>
  <TotalTime>2</TotalTime>
  <ScaleCrop>false</ScaleCrop>
  <LinksUpToDate>false</LinksUpToDate>
  <CharactersWithSpaces>5868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2024-04-01T07:57:00Z</dcterms:created>
  <dc:creator>Remain</dc:creator>
  <cp:lastModifiedBy>中教畅享赵连明</cp:lastModifiedBy>
  <cp:lastPrinted>2024-04-01T08:02:00Z</cp:lastPrinted>
  <dcterms:modified xsi:type="dcterms:W3CDTF">2024-11-12T02:19:56Z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FD9AA2175C7640D2B72DFF1A4280B062_13</vt:lpwstr>
  </property>
</Properties>
</file>