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56"/>
          <w:szCs w:val="56"/>
        </w:rPr>
      </w:pPr>
      <w:r>
        <w:rPr>
          <w:rFonts w:hint="eastAsia"/>
          <w:b/>
          <w:bCs/>
          <w:sz w:val="56"/>
          <w:szCs w:val="56"/>
        </w:rPr>
        <w:t>202</w:t>
      </w:r>
      <w:r>
        <w:rPr>
          <w:rFonts w:hint="eastAsia"/>
          <w:b/>
          <w:bCs/>
          <w:sz w:val="56"/>
          <w:szCs w:val="56"/>
          <w:lang w:val="en-US" w:eastAsia="zh-CN"/>
        </w:rPr>
        <w:t>5</w:t>
      </w:r>
      <w:bookmarkStart w:id="0" w:name="_GoBack"/>
      <w:bookmarkEnd w:id="0"/>
      <w:r>
        <w:rPr>
          <w:rFonts w:hint="eastAsia"/>
          <w:b/>
          <w:bCs/>
          <w:sz w:val="56"/>
          <w:szCs w:val="56"/>
        </w:rPr>
        <w:t>年河北省</w:t>
      </w:r>
      <w:r>
        <w:rPr>
          <w:b/>
          <w:bCs/>
          <w:sz w:val="56"/>
          <w:szCs w:val="56"/>
        </w:rPr>
        <w:t>职业院校技能大赛</w:t>
      </w:r>
    </w:p>
    <w:p>
      <w:pPr>
        <w:rPr>
          <w:b/>
          <w:bCs/>
        </w:rPr>
      </w:pPr>
    </w:p>
    <w:p>
      <w:pPr>
        <w:rPr>
          <w:b/>
          <w:bCs/>
        </w:rPr>
      </w:pPr>
    </w:p>
    <w:p>
      <w:pPr>
        <w:jc w:val="center"/>
        <w:rPr>
          <w:b/>
          <w:bCs/>
          <w:sz w:val="52"/>
          <w:szCs w:val="52"/>
        </w:rPr>
      </w:pPr>
    </w:p>
    <w:p>
      <w:pPr>
        <w:jc w:val="center"/>
        <w:rPr>
          <w:b/>
          <w:bCs/>
          <w:sz w:val="52"/>
          <w:szCs w:val="52"/>
        </w:rPr>
      </w:pPr>
    </w:p>
    <w:p>
      <w:pPr>
        <w:jc w:val="center"/>
        <w:rPr>
          <w:b/>
          <w:bCs/>
          <w:sz w:val="52"/>
          <w:szCs w:val="52"/>
        </w:rPr>
      </w:pPr>
    </w:p>
    <w:p>
      <w:pPr>
        <w:jc w:val="center"/>
        <w:rPr>
          <w:rFonts w:hint="eastAsia"/>
          <w:b/>
          <w:bCs/>
          <w:sz w:val="52"/>
          <w:szCs w:val="52"/>
        </w:rPr>
      </w:pPr>
      <w:r>
        <w:rPr>
          <w:b/>
          <w:bCs/>
          <w:sz w:val="52"/>
          <w:szCs w:val="52"/>
        </w:rPr>
        <w:t>赛项规程</w:t>
      </w:r>
    </w:p>
    <w:p/>
    <w:p/>
    <w:p/>
    <w:p/>
    <w:p/>
    <w:p/>
    <w:p/>
    <w:p/>
    <w:p/>
    <w:p/>
    <w:p/>
    <w:p/>
    <w:p/>
    <w:p/>
    <w:p/>
    <w:p>
      <w:pPr>
        <w:rPr>
          <w:rFonts w:hint="eastAsia"/>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3"/>
        <w:gridCol w:w="4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赛项名称：</w:t>
            </w:r>
          </w:p>
        </w:tc>
        <w:tc>
          <w:tcPr>
            <w:tcW w:w="0" w:type="auto"/>
          </w:tcPr>
          <w:p>
            <w:pPr>
              <w:rPr>
                <w:rFonts w:hint="eastAsia"/>
                <w:b/>
                <w:bCs/>
                <w:sz w:val="32"/>
                <w:szCs w:val="32"/>
              </w:rPr>
            </w:pPr>
            <w:r>
              <w:rPr>
                <w:b/>
                <w:bCs/>
                <w:sz w:val="32"/>
                <w:szCs w:val="32"/>
              </w:rPr>
              <w:t>现代加工技术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英文名称：</w:t>
            </w:r>
          </w:p>
        </w:tc>
        <w:tc>
          <w:tcPr>
            <w:tcW w:w="0" w:type="auto"/>
          </w:tcPr>
          <w:p>
            <w:pPr>
              <w:rPr>
                <w:b/>
                <w:bCs/>
                <w:sz w:val="32"/>
                <w:szCs w:val="32"/>
              </w:rPr>
            </w:pPr>
            <w:r>
              <w:rPr>
                <w:b/>
                <w:bCs/>
                <w:sz w:val="32"/>
                <w:szCs w:val="32"/>
              </w:rPr>
              <w:t>Modern Working Skills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赛项组别：</w:t>
            </w:r>
          </w:p>
        </w:tc>
        <w:tc>
          <w:tcPr>
            <w:tcW w:w="0" w:type="auto"/>
          </w:tcPr>
          <w:p>
            <w:pPr>
              <w:rPr>
                <w:rFonts w:hint="eastAsia"/>
                <w:b/>
                <w:bCs/>
                <w:sz w:val="32"/>
                <w:szCs w:val="32"/>
              </w:rPr>
            </w:pPr>
            <w:r>
              <w:rPr>
                <w:b/>
                <w:bCs/>
                <w:sz w:val="32"/>
                <w:szCs w:val="32"/>
              </w:rPr>
              <w:t>中等职业教育（师生同赛）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rPr>
                <w:b/>
                <w:bCs/>
                <w:sz w:val="32"/>
                <w:szCs w:val="32"/>
              </w:rPr>
            </w:pPr>
            <w:r>
              <w:rPr>
                <w:b/>
                <w:bCs/>
                <w:sz w:val="32"/>
                <w:szCs w:val="32"/>
              </w:rPr>
              <w:t>赛项编号：</w:t>
            </w:r>
          </w:p>
        </w:tc>
        <w:tc>
          <w:tcPr>
            <w:tcW w:w="0" w:type="auto"/>
          </w:tcPr>
          <w:p>
            <w:pPr>
              <w:rPr>
                <w:b/>
                <w:bCs/>
                <w:sz w:val="32"/>
                <w:szCs w:val="32"/>
              </w:rPr>
            </w:pPr>
            <w:r>
              <w:rPr>
                <w:b/>
                <w:bCs/>
                <w:sz w:val="32"/>
                <w:szCs w:val="32"/>
              </w:rPr>
              <w:t>ZZ007</w:t>
            </w:r>
          </w:p>
        </w:tc>
      </w:tr>
    </w:tbl>
    <w:p/>
    <w:p>
      <w:pPr>
        <w:sectPr>
          <w:type w:val="continuous"/>
          <w:pgSz w:w="11910" w:h="16840"/>
          <w:pgMar w:top="1920" w:right="1020" w:bottom="280" w:left="1300" w:header="720" w:footer="720" w:gutter="0"/>
          <w:cols w:space="720" w:num="1"/>
        </w:sectPr>
      </w:pPr>
    </w:p>
    <w:p>
      <w:pPr>
        <w:pStyle w:val="2"/>
        <w:spacing w:after="240"/>
        <w:rPr>
          <w:rFonts w:hint="eastAsia"/>
        </w:rPr>
      </w:pPr>
      <w:r>
        <w:t>一、赛项信息</w:t>
      </w:r>
    </w:p>
    <w:p>
      <w:pPr>
        <w:rPr>
          <w:rFonts w:hint="eastAsia"/>
        </w:rPr>
      </w:pPr>
    </w:p>
    <w:tbl>
      <w:tblPr>
        <w:tblStyle w:val="7"/>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485"/>
        <w:gridCol w:w="74"/>
        <w:gridCol w:w="1801"/>
        <w:gridCol w:w="4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赛项类别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每年赛</w:t>
            </w:r>
            <w:r>
              <w:rPr>
                <w:rFonts w:asciiTheme="minorEastAsia" w:hAnsiTheme="minorEastAsia" w:eastAsiaTheme="minorEastAsia"/>
                <w:sz w:val="28"/>
                <w:szCs w:val="28"/>
              </w:rPr>
              <w:tab/>
            </w:r>
            <w:r>
              <w:rPr>
                <w:rFonts w:asciiTheme="minorEastAsia" w:hAnsiTheme="minorEastAsia" w:eastAsiaTheme="minorEastAsia"/>
                <w:sz w:val="28"/>
                <w:szCs w:val="28"/>
              </w:rPr>
              <w:t>隔年赛（单数年/双数年）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赛项组别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中等职业教育</w:t>
            </w:r>
            <w:r>
              <w:rPr>
                <w:rFonts w:asciiTheme="minorEastAsia" w:hAnsiTheme="minorEastAsia" w:eastAsiaTheme="minorEastAsia"/>
                <w:sz w:val="28"/>
                <w:szCs w:val="28"/>
              </w:rPr>
              <w:tab/>
            </w:r>
            <w:r>
              <w:rPr>
                <w:rFonts w:asciiTheme="minorEastAsia" w:hAnsiTheme="minorEastAsia" w:eastAsiaTheme="minorEastAsia"/>
                <w:sz w:val="28"/>
                <w:szCs w:val="28"/>
              </w:rPr>
              <w:t>□高等职业教育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 xml:space="preserve">□学生赛（□个人/□团体） □教师赛（试点） </w:t>
            </w:r>
            <w:r>
              <w:rPr>
                <w:rFonts w:asciiTheme="minorEastAsia" w:hAnsiTheme="minorEastAsia" w:eastAsiaTheme="minorEastAsia"/>
                <w:sz w:val="28"/>
                <w:szCs w:val="28"/>
              </w:rPr>
              <w:sym w:font="Wingdings 2" w:char="0052"/>
            </w:r>
            <w:r>
              <w:rPr>
                <w:rFonts w:asciiTheme="minorEastAsia" w:hAnsiTheme="minorEastAsia" w:eastAsiaTheme="minorEastAsia"/>
                <w:sz w:val="28"/>
                <w:szCs w:val="28"/>
              </w:rPr>
              <w:t>师生同赛（试点）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涉及专业大类、专业类、专业及核心课程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专业大类</w:t>
            </w:r>
          </w:p>
        </w:tc>
        <w:tc>
          <w:tcPr>
            <w:tcW w:w="1559" w:type="dxa"/>
            <w:gridSpan w:val="2"/>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专业类</w:t>
            </w:r>
          </w:p>
        </w:tc>
        <w:tc>
          <w:tcPr>
            <w:tcW w:w="1801"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专业名称</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核心课程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restart"/>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66</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装备制造大类</w:t>
            </w:r>
          </w:p>
        </w:tc>
        <w:tc>
          <w:tcPr>
            <w:tcW w:w="1559" w:type="dxa"/>
            <w:gridSpan w:val="2"/>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机械设计制造类</w:t>
            </w: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660102</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金属切削机床与刀具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机床夹具与应用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660103</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数控技术应用</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数控加工工艺与编程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CAD/CAM 应用技术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金属加工与实训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机械加工检测技术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660101</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极限配合与技术测量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常用通用机械结构与维护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660108</w:t>
            </w:r>
          </w:p>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模具制造技术</w:t>
            </w: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计算机辅助设计与制造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559" w:type="dxa"/>
            <w:gridSpan w:val="2"/>
            <w:vMerge w:val="continue"/>
            <w:tcBorders>
              <w:top w:val="nil"/>
            </w:tcBorders>
            <w:vAlign w:val="center"/>
          </w:tcPr>
          <w:p>
            <w:pPr>
              <w:jc w:val="center"/>
              <w:rPr>
                <w:rFonts w:hint="eastAsia" w:asciiTheme="minorEastAsia" w:hAnsiTheme="minorEastAsia" w:eastAsiaTheme="minorEastAsia"/>
                <w:sz w:val="28"/>
                <w:szCs w:val="28"/>
              </w:rPr>
            </w:pPr>
          </w:p>
        </w:tc>
        <w:tc>
          <w:tcPr>
            <w:tcW w:w="1801" w:type="dxa"/>
            <w:vMerge w:val="continue"/>
            <w:tcBorders>
              <w:top w:val="nil"/>
            </w:tcBorders>
            <w:vAlign w:val="center"/>
          </w:tcPr>
          <w:p>
            <w:pPr>
              <w:jc w:val="center"/>
              <w:rPr>
                <w:rFonts w:hint="eastAsia" w:asciiTheme="minorEastAsia" w:hAnsiTheme="minorEastAsia" w:eastAsiaTheme="minorEastAsia"/>
                <w:sz w:val="28"/>
                <w:szCs w:val="28"/>
              </w:rPr>
            </w:pPr>
          </w:p>
        </w:tc>
        <w:tc>
          <w:tcPr>
            <w:tcW w:w="433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模具与产品质量检测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78" w:type="dxa"/>
            <w:gridSpan w:val="5"/>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对接产业行业、对应岗位（群）及核心能力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产业行业</w:t>
            </w:r>
          </w:p>
        </w:tc>
        <w:tc>
          <w:tcPr>
            <w:tcW w:w="1485" w:type="dxa"/>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岗位（群）</w:t>
            </w:r>
          </w:p>
        </w:tc>
        <w:tc>
          <w:tcPr>
            <w:tcW w:w="6209" w:type="dxa"/>
            <w:gridSpan w:val="3"/>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核心能力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restart"/>
            <w:vAlign w:val="center"/>
          </w:tcPr>
          <w:p>
            <w:pPr>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机械制造</w:t>
            </w: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加工工艺实施</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制订零件制造工艺和生产组织的初步能力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选用机械加工设备、刀具、夹具、量具的能力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使用一种软件进行数控加工自动编程的能力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机械加工设备操作与维护</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根据图样要求完成机械零件加工的能力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一般加工设备进行维护和排除常见故障的能力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绿色生产、节能环保、安全生产、质量管理等意识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零部件装配与系统功能调试</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识读零件图和装配图、计算机绘图的能力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典型机械传动部件安装与调试的能力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both"/>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制造、装配钳工的基本能力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restart"/>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产品质量检测</w:t>
            </w: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产品检测的基本技能及加工质量分析的能力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center"/>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数字化建模与加工仿真的初步能力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84" w:type="dxa"/>
            <w:vMerge w:val="continue"/>
            <w:tcBorders>
              <w:top w:val="nil"/>
            </w:tcBorders>
            <w:vAlign w:val="center"/>
          </w:tcPr>
          <w:p>
            <w:pPr>
              <w:jc w:val="center"/>
              <w:rPr>
                <w:rFonts w:hint="eastAsia" w:asciiTheme="minorEastAsia" w:hAnsiTheme="minorEastAsia" w:eastAsiaTheme="minorEastAsia"/>
                <w:sz w:val="28"/>
                <w:szCs w:val="28"/>
              </w:rPr>
            </w:pPr>
          </w:p>
        </w:tc>
        <w:tc>
          <w:tcPr>
            <w:tcW w:w="1485" w:type="dxa"/>
            <w:vMerge w:val="continue"/>
            <w:tcBorders>
              <w:top w:val="nil"/>
            </w:tcBorders>
            <w:vAlign w:val="center"/>
          </w:tcPr>
          <w:p>
            <w:pPr>
              <w:jc w:val="center"/>
              <w:rPr>
                <w:rFonts w:hint="eastAsia" w:asciiTheme="minorEastAsia" w:hAnsiTheme="minorEastAsia" w:eastAsiaTheme="minorEastAsia"/>
                <w:sz w:val="28"/>
                <w:szCs w:val="28"/>
              </w:rPr>
            </w:pPr>
          </w:p>
        </w:tc>
        <w:tc>
          <w:tcPr>
            <w:tcW w:w="6209" w:type="dxa"/>
            <w:gridSpan w:val="3"/>
            <w:vAlign w:val="center"/>
          </w:tcPr>
          <w:p>
            <w:pPr>
              <w:jc w:val="both"/>
              <w:rPr>
                <w:rFonts w:hint="eastAsia" w:asciiTheme="minorEastAsia" w:hAnsiTheme="minorEastAsia" w:eastAsiaTheme="minorEastAsia"/>
                <w:sz w:val="28"/>
                <w:szCs w:val="28"/>
              </w:rPr>
            </w:pPr>
            <w:r>
              <w:rPr>
                <w:rFonts w:asciiTheme="minorEastAsia" w:hAnsiTheme="minorEastAsia" w:eastAsiaTheme="minorEastAsia"/>
                <w:sz w:val="28"/>
                <w:szCs w:val="28"/>
              </w:rPr>
              <w:t>产品常规检测及产品质量控制的能力</w:t>
            </w:r>
          </w:p>
        </w:tc>
      </w:tr>
    </w:tbl>
    <w:p>
      <w:pPr>
        <w:rPr>
          <w:rFonts w:hint="eastAsia"/>
        </w:rPr>
        <w:sectPr>
          <w:footerReference r:id="rId3" w:type="default"/>
          <w:pgSz w:w="11910" w:h="16840"/>
          <w:pgMar w:top="1500" w:right="1020" w:bottom="1400" w:left="1300" w:header="0" w:footer="1215" w:gutter="0"/>
          <w:pgNumType w:start="2"/>
          <w:cols w:space="720" w:num="1"/>
        </w:sectPr>
      </w:pPr>
    </w:p>
    <w:p>
      <w:pPr>
        <w:pStyle w:val="2"/>
        <w:spacing w:after="240"/>
        <w:rPr>
          <w:rFonts w:hint="eastAsia"/>
        </w:rPr>
      </w:pPr>
      <w:r>
        <w:t>二、竞赛目标</w:t>
      </w:r>
    </w:p>
    <w:p>
      <w:pPr>
        <w:ind w:firstLine="560" w:firstLineChars="200"/>
        <w:rPr>
          <w:rFonts w:hint="eastAsia"/>
          <w:sz w:val="28"/>
          <w:szCs w:val="28"/>
        </w:rPr>
      </w:pPr>
      <w:r>
        <w:rPr>
          <w:sz w:val="28"/>
          <w:szCs w:val="28"/>
        </w:rPr>
        <w:t>引领和促进中职院校数控技术应用等相关专业建设和教学改革，促进职普融通、产教融合、科创融汇，满足产教协同育人目标，提升校企协同发展水平；检验选手基于工作过程的机械加工、零部件安装与调试、产品常规检测、机械加工设备操作与维护等专业核心能力，提升选手的质量控制、安全意识、创新意识、团队协作和绿色环保理念等职业综合能力；展示中职院校相关专业的教学改革成果以及学生的职业能力，推进中职院校培养适应社会需求的高素质技术技能型人才的水平提升。</w:t>
      </w:r>
    </w:p>
    <w:p>
      <w:pPr>
        <w:pStyle w:val="2"/>
        <w:spacing w:after="240"/>
        <w:rPr>
          <w:rFonts w:hint="eastAsia"/>
        </w:rPr>
      </w:pPr>
      <w:r>
        <w:t>三、竞赛内容</w:t>
      </w:r>
    </w:p>
    <w:p>
      <w:pPr>
        <w:ind w:firstLine="560" w:firstLineChars="200"/>
        <w:rPr>
          <w:rFonts w:hint="eastAsia"/>
          <w:sz w:val="28"/>
          <w:szCs w:val="28"/>
        </w:rPr>
      </w:pPr>
      <w:r>
        <w:rPr>
          <w:sz w:val="28"/>
          <w:szCs w:val="28"/>
        </w:rPr>
        <w:t>赛项设计总体思路是对一款产品进行局部改进、加工制造、装配调试、功能测试验证的典型工作过程。通过竞赛，全面考查选手的专业技术技能，检验选手专业核心能力与职业综合能力。</w:t>
      </w:r>
    </w:p>
    <w:p>
      <w:pPr>
        <w:ind w:firstLine="562" w:firstLineChars="200"/>
        <w:rPr>
          <w:rFonts w:hint="eastAsia"/>
          <w:b/>
          <w:bCs/>
          <w:sz w:val="28"/>
          <w:szCs w:val="28"/>
        </w:rPr>
      </w:pPr>
      <w:r>
        <w:rPr>
          <w:rFonts w:hint="eastAsia"/>
          <w:b/>
          <w:bCs/>
          <w:sz w:val="28"/>
          <w:szCs w:val="28"/>
        </w:rPr>
        <w:t>1.</w:t>
      </w:r>
      <w:r>
        <w:rPr>
          <w:b/>
          <w:bCs/>
          <w:sz w:val="28"/>
          <w:szCs w:val="28"/>
        </w:rPr>
        <w:t>数控机床零件加工（成绩占比 75%）</w:t>
      </w:r>
    </w:p>
    <w:p>
      <w:pPr>
        <w:ind w:firstLine="560" w:firstLineChars="200"/>
        <w:rPr>
          <w:rFonts w:hint="eastAsia"/>
          <w:sz w:val="28"/>
          <w:szCs w:val="28"/>
        </w:rPr>
      </w:pPr>
      <w:r>
        <w:rPr>
          <w:sz w:val="28"/>
          <w:szCs w:val="28"/>
        </w:rPr>
        <w:t>中职院校的主要工作就是培养高素质技术技能人才。选手使用赛场提供的机床、夹具、工具、计算机及 CAD/CAM 软件，根据任务书要求，按照国家职业标准和安全生产规范，进行车削、铣削及车铣复合加工赛件。</w:t>
      </w:r>
    </w:p>
    <w:p>
      <w:pPr>
        <w:ind w:firstLine="560" w:firstLineChars="200"/>
        <w:rPr>
          <w:rFonts w:hint="eastAsia"/>
          <w:sz w:val="28"/>
          <w:szCs w:val="28"/>
        </w:rPr>
      </w:pPr>
      <w:r>
        <w:rPr>
          <w:sz w:val="28"/>
          <w:szCs w:val="28"/>
        </w:rPr>
        <w:t>这部分由两块组成：一是作为加工主体每种只做一件的组合赛件加工，实行做对一处一处得分的评分原则；二是一种做多件的批量赛件加工，批量赛件提供4件毛坯，选手加工3件即可，第4件选手可根据自己加工情况选择性使用（不配分）。</w:t>
      </w:r>
    </w:p>
    <w:p>
      <w:pPr>
        <w:ind w:firstLine="562" w:firstLineChars="200"/>
        <w:rPr>
          <w:rFonts w:hint="eastAsia"/>
          <w:b/>
          <w:bCs/>
          <w:sz w:val="28"/>
          <w:szCs w:val="28"/>
        </w:rPr>
      </w:pPr>
      <w:r>
        <w:rPr>
          <w:rFonts w:hint="eastAsia"/>
          <w:b/>
          <w:bCs/>
          <w:sz w:val="28"/>
          <w:szCs w:val="28"/>
        </w:rPr>
        <w:t>2.</w:t>
      </w:r>
      <w:r>
        <w:rPr>
          <w:b/>
          <w:bCs/>
          <w:sz w:val="28"/>
          <w:szCs w:val="28"/>
        </w:rPr>
        <w:t>机械装配与调试（成绩占比 5%）</w:t>
      </w:r>
    </w:p>
    <w:p>
      <w:pPr>
        <w:ind w:firstLine="560" w:firstLineChars="200"/>
        <w:rPr>
          <w:rFonts w:hint="eastAsia"/>
          <w:sz w:val="28"/>
          <w:szCs w:val="28"/>
        </w:rPr>
      </w:pPr>
      <w:r>
        <w:rPr>
          <w:sz w:val="28"/>
          <w:szCs w:val="28"/>
        </w:rPr>
        <w:t>按照任务书要求，选手在完成赛件加工、检测后，进行产品装配、调试，最后对产品的既定功能进行测试。</w:t>
      </w:r>
    </w:p>
    <w:p>
      <w:pPr>
        <w:ind w:firstLine="562" w:firstLineChars="200"/>
        <w:rPr>
          <w:rFonts w:hint="eastAsia"/>
          <w:b/>
          <w:bCs/>
          <w:sz w:val="28"/>
          <w:szCs w:val="28"/>
        </w:rPr>
      </w:pPr>
      <w:r>
        <w:rPr>
          <w:rFonts w:hint="eastAsia"/>
          <w:b/>
          <w:bCs/>
          <w:sz w:val="28"/>
          <w:szCs w:val="28"/>
        </w:rPr>
        <w:t>3.</w:t>
      </w:r>
      <w:r>
        <w:rPr>
          <w:b/>
          <w:bCs/>
          <w:sz w:val="28"/>
          <w:szCs w:val="28"/>
        </w:rPr>
        <w:t>零部件质量检测（成绩占比 10%）</w:t>
      </w:r>
    </w:p>
    <w:p>
      <w:pPr>
        <w:ind w:firstLine="560" w:firstLineChars="200"/>
        <w:rPr>
          <w:rFonts w:hint="eastAsia"/>
          <w:sz w:val="28"/>
          <w:szCs w:val="28"/>
        </w:rPr>
      </w:pPr>
      <w:r>
        <w:rPr>
          <w:sz w:val="28"/>
          <w:szCs w:val="28"/>
        </w:rPr>
        <w:t>精准的检测技术是加工质量优良产品的前提。选手根据任务书提供的资料和要求，确定检测方案与检测方法，合理选用量具，按照机械零件测量规范和自检报告单要求进行检测，填写相关技术文件。</w:t>
      </w:r>
    </w:p>
    <w:p>
      <w:pPr>
        <w:ind w:firstLine="562" w:firstLineChars="200"/>
        <w:rPr>
          <w:rFonts w:hint="eastAsia"/>
          <w:b/>
          <w:bCs/>
          <w:sz w:val="28"/>
          <w:szCs w:val="28"/>
        </w:rPr>
      </w:pPr>
      <w:r>
        <w:rPr>
          <w:rFonts w:hint="eastAsia"/>
          <w:b/>
          <w:bCs/>
          <w:sz w:val="28"/>
          <w:szCs w:val="28"/>
        </w:rPr>
        <w:t>4.</w:t>
      </w:r>
      <w:r>
        <w:rPr>
          <w:b/>
          <w:bCs/>
          <w:sz w:val="28"/>
          <w:szCs w:val="28"/>
        </w:rPr>
        <w:t>职业素养与安全文明生产（成绩占比 10%）</w:t>
      </w:r>
    </w:p>
    <w:p>
      <w:pPr>
        <w:ind w:firstLine="560" w:firstLineChars="200"/>
        <w:rPr>
          <w:rFonts w:hint="eastAsia"/>
          <w:sz w:val="28"/>
          <w:szCs w:val="28"/>
        </w:rPr>
      </w:pPr>
      <w:r>
        <w:rPr>
          <w:sz w:val="28"/>
          <w:szCs w:val="28"/>
        </w:rPr>
        <w:t>良好的职业素养是每名工作者所必需的，更是职业院校培养学生的重要内容。在竞赛中，全方位考查选手的职业素养，按照安全生产规范，全程考查选手规范操作设备、合理使用和放置工量刃具、注意现场安全文明生产及安全防护等内容，关注选手完成任务计划、合理应对遇到问题、尊重赛场工作人员、爱惜赛场的设备和器材、保持赛位整洁等。将机械加工设备的点检和日常维护、制订零部件加工工艺流程和实施方案等内容融入竞赛中，以赛件质量和职业素养的方式呈现出来，不再单独配分。</w:t>
      </w:r>
    </w:p>
    <w:p>
      <w:pPr>
        <w:ind w:firstLine="560" w:firstLineChars="200"/>
        <w:rPr>
          <w:rFonts w:hint="eastAsia"/>
          <w:sz w:val="28"/>
          <w:szCs w:val="28"/>
        </w:rPr>
      </w:pPr>
      <w:r>
        <w:rPr>
          <w:sz w:val="28"/>
          <w:szCs w:val="28"/>
        </w:rPr>
        <w:t>具体竞赛内容见表 1。</w:t>
      </w:r>
    </w:p>
    <w:p>
      <w:pPr>
        <w:ind w:firstLine="560" w:firstLineChars="200"/>
        <w:jc w:val="center"/>
        <w:rPr>
          <w:rFonts w:hint="eastAsia"/>
          <w:sz w:val="28"/>
          <w:szCs w:val="28"/>
        </w:rPr>
      </w:pPr>
      <w:r>
        <w:rPr>
          <w:rFonts w:hint="eastAsia"/>
          <w:sz w:val="28"/>
          <w:szCs w:val="28"/>
        </w:rPr>
        <w:t>表 1 竞赛内容</w:t>
      </w:r>
    </w:p>
    <w:tbl>
      <w:tblPr>
        <w:tblStyle w:val="7"/>
        <w:tblW w:w="5000"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6526"/>
        <w:gridCol w:w="1383"/>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41" w:type="pct"/>
            <w:vAlign w:val="center"/>
          </w:tcPr>
          <w:p>
            <w:pPr>
              <w:rPr>
                <w:sz w:val="28"/>
                <w:szCs w:val="28"/>
              </w:rPr>
            </w:pPr>
            <w:r>
              <w:rPr>
                <w:sz w:val="28"/>
                <w:szCs w:val="28"/>
              </w:rPr>
              <w:t>序号</w:t>
            </w:r>
          </w:p>
        </w:tc>
        <w:tc>
          <w:tcPr>
            <w:tcW w:w="3398" w:type="pct"/>
            <w:vAlign w:val="center"/>
          </w:tcPr>
          <w:p>
            <w:pPr>
              <w:rPr>
                <w:rFonts w:hint="eastAsia"/>
                <w:sz w:val="28"/>
                <w:szCs w:val="28"/>
              </w:rPr>
            </w:pPr>
            <w:r>
              <w:rPr>
                <w:sz w:val="28"/>
                <w:szCs w:val="28"/>
              </w:rPr>
              <w:t>主要内容</w:t>
            </w:r>
          </w:p>
        </w:tc>
        <w:tc>
          <w:tcPr>
            <w:tcW w:w="720" w:type="pct"/>
            <w:vAlign w:val="center"/>
          </w:tcPr>
          <w:p>
            <w:pPr>
              <w:rPr>
                <w:rFonts w:hint="eastAsia"/>
                <w:sz w:val="28"/>
                <w:szCs w:val="28"/>
              </w:rPr>
            </w:pPr>
            <w:r>
              <w:rPr>
                <w:sz w:val="28"/>
                <w:szCs w:val="28"/>
              </w:rPr>
              <w:t>比赛时长</w:t>
            </w:r>
          </w:p>
        </w:tc>
        <w:tc>
          <w:tcPr>
            <w:tcW w:w="440" w:type="pct"/>
            <w:vAlign w:val="center"/>
          </w:tcPr>
          <w:p>
            <w:pPr>
              <w:rPr>
                <w:rFonts w:hint="eastAsia"/>
                <w:sz w:val="28"/>
                <w:szCs w:val="28"/>
              </w:rPr>
            </w:pPr>
            <w:r>
              <w:rPr>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441" w:type="pct"/>
            <w:vAlign w:val="center"/>
          </w:tcPr>
          <w:p>
            <w:pPr>
              <w:rPr>
                <w:sz w:val="28"/>
                <w:szCs w:val="28"/>
              </w:rPr>
            </w:pPr>
            <w:r>
              <w:rPr>
                <w:sz w:val="28"/>
                <w:szCs w:val="28"/>
              </w:rPr>
              <w:t>1</w:t>
            </w:r>
          </w:p>
        </w:tc>
        <w:tc>
          <w:tcPr>
            <w:tcW w:w="3398" w:type="pct"/>
            <w:vAlign w:val="center"/>
          </w:tcPr>
          <w:p>
            <w:pPr>
              <w:rPr>
                <w:rFonts w:hint="eastAsia"/>
                <w:sz w:val="28"/>
                <w:szCs w:val="28"/>
              </w:rPr>
            </w:pPr>
            <w:r>
              <w:rPr>
                <w:sz w:val="28"/>
                <w:szCs w:val="28"/>
              </w:rPr>
              <w:t>任务1：组合赛件加工。使用现场提供的机床、CAM 软件和毛坯等，按照国家职业标准和安全生产规范，进行车削、铣削及车铣复合加工赛件</w:t>
            </w:r>
            <w:r>
              <w:rPr>
                <w:rFonts w:hint="eastAsia"/>
                <w:sz w:val="28"/>
                <w:szCs w:val="28"/>
              </w:rPr>
              <w:t>。</w:t>
            </w:r>
          </w:p>
        </w:tc>
        <w:tc>
          <w:tcPr>
            <w:tcW w:w="720" w:type="pct"/>
            <w:vMerge w:val="restart"/>
            <w:vAlign w:val="center"/>
          </w:tcPr>
          <w:p>
            <w:pPr>
              <w:rPr>
                <w:rFonts w:hint="eastAsia"/>
                <w:sz w:val="28"/>
                <w:szCs w:val="28"/>
              </w:rPr>
            </w:pPr>
            <w:r>
              <w:rPr>
                <w:rFonts w:hint="eastAsia"/>
                <w:sz w:val="28"/>
                <w:szCs w:val="28"/>
              </w:rPr>
              <w:t>5</w:t>
            </w:r>
            <w:r>
              <w:rPr>
                <w:sz w:val="28"/>
                <w:szCs w:val="28"/>
              </w:rPr>
              <w:t>小时</w:t>
            </w:r>
          </w:p>
        </w:tc>
        <w:tc>
          <w:tcPr>
            <w:tcW w:w="440" w:type="pct"/>
            <w:vAlign w:val="center"/>
          </w:tcPr>
          <w:p>
            <w:pPr>
              <w:rPr>
                <w:rFonts w:hint="eastAsia"/>
                <w:sz w:val="28"/>
                <w:szCs w:val="28"/>
              </w:rPr>
            </w:pPr>
            <w:r>
              <w:rPr>
                <w:rFonts w:hint="eastAsia"/>
                <w:sz w:val="28"/>
                <w:szCs w:val="28"/>
              </w:rPr>
              <w:t>66</w:t>
            </w:r>
            <w:r>
              <w:rPr>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441" w:type="pct"/>
            <w:vAlign w:val="center"/>
          </w:tcPr>
          <w:p>
            <w:pPr>
              <w:rPr>
                <w:sz w:val="28"/>
                <w:szCs w:val="28"/>
              </w:rPr>
            </w:pPr>
            <w:r>
              <w:rPr>
                <w:sz w:val="28"/>
                <w:szCs w:val="28"/>
              </w:rPr>
              <w:t>2</w:t>
            </w:r>
          </w:p>
        </w:tc>
        <w:tc>
          <w:tcPr>
            <w:tcW w:w="3398" w:type="pct"/>
            <w:vAlign w:val="center"/>
          </w:tcPr>
          <w:p>
            <w:pPr>
              <w:rPr>
                <w:rFonts w:hint="eastAsia"/>
                <w:sz w:val="28"/>
                <w:szCs w:val="28"/>
              </w:rPr>
            </w:pPr>
            <w:r>
              <w:rPr>
                <w:sz w:val="28"/>
                <w:szCs w:val="28"/>
              </w:rPr>
              <w:t>任务2：批量赛件加工。使用现场提供的机床、CAM 软件和毛坯（可加工4件）等，按照国家职业标准和安全生产规范，进行 3件批量赛件的加工，第4件选手可根据自己加工情况选择性使用</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41" w:type="pct"/>
            <w:vAlign w:val="center"/>
          </w:tcPr>
          <w:p>
            <w:pPr>
              <w:rPr>
                <w:sz w:val="28"/>
                <w:szCs w:val="28"/>
              </w:rPr>
            </w:pPr>
            <w:r>
              <w:rPr>
                <w:sz w:val="28"/>
                <w:szCs w:val="28"/>
              </w:rPr>
              <w:t>3</w:t>
            </w:r>
          </w:p>
        </w:tc>
        <w:tc>
          <w:tcPr>
            <w:tcW w:w="3398" w:type="pct"/>
            <w:vAlign w:val="center"/>
          </w:tcPr>
          <w:p>
            <w:pPr>
              <w:rPr>
                <w:rFonts w:hint="eastAsia"/>
                <w:sz w:val="28"/>
                <w:szCs w:val="28"/>
              </w:rPr>
            </w:pPr>
            <w:r>
              <w:rPr>
                <w:sz w:val="28"/>
                <w:szCs w:val="28"/>
              </w:rPr>
              <w:t>任务3：赛件自检。确定检测方案与检测方法，合理选用量具，按照机械零件测量规范和自检报告单要求进行检测，填写检测结果</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1" w:type="pct"/>
            <w:vAlign w:val="center"/>
          </w:tcPr>
          <w:p>
            <w:pPr>
              <w:rPr>
                <w:sz w:val="28"/>
                <w:szCs w:val="28"/>
              </w:rPr>
            </w:pPr>
            <w:r>
              <w:rPr>
                <w:sz w:val="28"/>
                <w:szCs w:val="28"/>
              </w:rPr>
              <w:t>4</w:t>
            </w:r>
          </w:p>
        </w:tc>
        <w:tc>
          <w:tcPr>
            <w:tcW w:w="3398" w:type="pct"/>
            <w:vAlign w:val="center"/>
          </w:tcPr>
          <w:p>
            <w:pPr>
              <w:rPr>
                <w:rFonts w:hint="eastAsia"/>
                <w:sz w:val="28"/>
                <w:szCs w:val="28"/>
              </w:rPr>
            </w:pPr>
            <w:r>
              <w:rPr>
                <w:sz w:val="28"/>
                <w:szCs w:val="28"/>
              </w:rPr>
              <w:t>任务4：职业素养与安全文明生产。按照安全生产规范，对选手全方位、全过程进行职业素养与安全文明生产考核</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1" w:type="pct"/>
            <w:vAlign w:val="center"/>
          </w:tcPr>
          <w:p>
            <w:pPr>
              <w:rPr>
                <w:sz w:val="28"/>
                <w:szCs w:val="28"/>
              </w:rPr>
            </w:pPr>
            <w:r>
              <w:rPr>
                <w:sz w:val="28"/>
                <w:szCs w:val="28"/>
              </w:rPr>
              <w:t>5</w:t>
            </w:r>
          </w:p>
        </w:tc>
        <w:tc>
          <w:tcPr>
            <w:tcW w:w="3398" w:type="pct"/>
            <w:vAlign w:val="center"/>
          </w:tcPr>
          <w:p>
            <w:pPr>
              <w:rPr>
                <w:rFonts w:hint="eastAsia"/>
                <w:sz w:val="28"/>
                <w:szCs w:val="28"/>
              </w:rPr>
            </w:pPr>
            <w:r>
              <w:rPr>
                <w:sz w:val="28"/>
                <w:szCs w:val="28"/>
              </w:rPr>
              <w:t>任务5：装配调试与效果测试。按照任务书要求，完成产品的装配调试及</w:t>
            </w:r>
            <w:r>
              <w:rPr>
                <w:rFonts w:hint="eastAsia"/>
                <w:sz w:val="28"/>
                <w:szCs w:val="28"/>
              </w:rPr>
              <w:t>效果测试</w:t>
            </w:r>
            <w:r>
              <w:rPr>
                <w:sz w:val="28"/>
                <w:szCs w:val="28"/>
              </w:rPr>
              <w:t>工作</w:t>
            </w:r>
            <w:r>
              <w:rPr>
                <w:rFonts w:hint="eastAsia"/>
                <w:sz w:val="28"/>
                <w:szCs w:val="28"/>
              </w:rPr>
              <w:t>。</w:t>
            </w:r>
          </w:p>
        </w:tc>
        <w:tc>
          <w:tcPr>
            <w:tcW w:w="720" w:type="pct"/>
            <w:vMerge w:val="continue"/>
            <w:tcBorders>
              <w:top w:val="nil"/>
            </w:tcBorders>
            <w:vAlign w:val="center"/>
          </w:tcPr>
          <w:p>
            <w:pPr>
              <w:rPr>
                <w:rFonts w:hint="eastAsia"/>
                <w:sz w:val="28"/>
                <w:szCs w:val="28"/>
              </w:rPr>
            </w:pPr>
          </w:p>
        </w:tc>
        <w:tc>
          <w:tcPr>
            <w:tcW w:w="440" w:type="pct"/>
            <w:vAlign w:val="center"/>
          </w:tcPr>
          <w:p>
            <w:pPr>
              <w:rPr>
                <w:rFonts w:hint="eastAsia"/>
                <w:sz w:val="28"/>
                <w:szCs w:val="28"/>
              </w:rPr>
            </w:pPr>
            <w:r>
              <w:rPr>
                <w:sz w:val="28"/>
                <w:szCs w:val="2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41" w:type="pct"/>
            <w:vAlign w:val="center"/>
          </w:tcPr>
          <w:p>
            <w:pPr>
              <w:rPr>
                <w:sz w:val="28"/>
                <w:szCs w:val="28"/>
              </w:rPr>
            </w:pPr>
          </w:p>
        </w:tc>
        <w:tc>
          <w:tcPr>
            <w:tcW w:w="3398" w:type="pct"/>
            <w:vAlign w:val="center"/>
          </w:tcPr>
          <w:p>
            <w:pPr>
              <w:rPr>
                <w:rFonts w:hint="eastAsia"/>
                <w:sz w:val="28"/>
                <w:szCs w:val="28"/>
              </w:rPr>
            </w:pPr>
            <w:r>
              <w:rPr>
                <w:sz w:val="28"/>
                <w:szCs w:val="28"/>
              </w:rPr>
              <w:t>合计</w:t>
            </w:r>
          </w:p>
        </w:tc>
        <w:tc>
          <w:tcPr>
            <w:tcW w:w="720" w:type="pct"/>
            <w:vAlign w:val="center"/>
          </w:tcPr>
          <w:p>
            <w:pPr>
              <w:rPr>
                <w:rFonts w:hint="eastAsia"/>
                <w:sz w:val="28"/>
                <w:szCs w:val="28"/>
              </w:rPr>
            </w:pPr>
            <w:r>
              <w:rPr>
                <w:rFonts w:hint="eastAsia"/>
                <w:sz w:val="28"/>
                <w:szCs w:val="28"/>
              </w:rPr>
              <w:t>5</w:t>
            </w:r>
            <w:r>
              <w:rPr>
                <w:sz w:val="28"/>
                <w:szCs w:val="28"/>
              </w:rPr>
              <w:t>小时</w:t>
            </w:r>
          </w:p>
        </w:tc>
        <w:tc>
          <w:tcPr>
            <w:tcW w:w="440" w:type="pct"/>
            <w:vAlign w:val="center"/>
          </w:tcPr>
          <w:p>
            <w:pPr>
              <w:rPr>
                <w:rFonts w:hint="eastAsia"/>
                <w:sz w:val="28"/>
                <w:szCs w:val="28"/>
              </w:rPr>
            </w:pPr>
            <w:r>
              <w:rPr>
                <w:sz w:val="28"/>
                <w:szCs w:val="28"/>
              </w:rPr>
              <w:t>100分</w:t>
            </w:r>
          </w:p>
        </w:tc>
      </w:tr>
    </w:tbl>
    <w:p>
      <w:pPr>
        <w:rPr>
          <w:rFonts w:hint="eastAsia"/>
        </w:rPr>
        <w:sectPr>
          <w:pgSz w:w="11910" w:h="16840"/>
          <w:pgMar w:top="1560" w:right="1020" w:bottom="1400" w:left="1300" w:header="0" w:footer="1215" w:gutter="0"/>
          <w:cols w:space="720" w:num="1"/>
        </w:sectPr>
      </w:pPr>
    </w:p>
    <w:p>
      <w:pPr>
        <w:pStyle w:val="2"/>
        <w:spacing w:after="240"/>
        <w:rPr>
          <w:rFonts w:hint="eastAsia"/>
        </w:rPr>
      </w:pPr>
      <w:r>
        <w:t>四、竞赛方式</w:t>
      </w:r>
    </w:p>
    <w:p>
      <w:pPr>
        <w:ind w:firstLine="560" w:firstLineChars="200"/>
        <w:rPr>
          <w:rFonts w:hint="eastAsia"/>
          <w:sz w:val="28"/>
          <w:szCs w:val="28"/>
        </w:rPr>
      </w:pPr>
      <w:r>
        <w:rPr>
          <w:sz w:val="28"/>
          <w:szCs w:val="28"/>
        </w:rPr>
        <w:t>竞赛形式为线下比赛。</w:t>
      </w:r>
    </w:p>
    <w:p>
      <w:pPr>
        <w:ind w:firstLine="560" w:firstLineChars="200"/>
        <w:rPr>
          <w:rFonts w:hint="eastAsia"/>
          <w:sz w:val="28"/>
          <w:szCs w:val="28"/>
        </w:rPr>
      </w:pPr>
      <w:r>
        <w:rPr>
          <w:sz w:val="28"/>
          <w:szCs w:val="28"/>
        </w:rPr>
        <w:t>组队方式为团体赛（师生同赛），每支参赛队由 3 名选手组成，其中教师 1 人、学生 2 人，不得跨校组队。</w:t>
      </w:r>
    </w:p>
    <w:p>
      <w:pPr>
        <w:ind w:firstLine="560" w:firstLineChars="200"/>
        <w:rPr>
          <w:rFonts w:hint="eastAsia"/>
          <w:sz w:val="28"/>
          <w:szCs w:val="28"/>
        </w:rPr>
      </w:pPr>
      <w:r>
        <w:rPr>
          <w:sz w:val="28"/>
          <w:szCs w:val="28"/>
        </w:rPr>
        <w:t>参赛选手：教师须为本校教龄 2 年以上（含）的在职教师；</w:t>
      </w:r>
    </w:p>
    <w:p>
      <w:pPr>
        <w:ind w:firstLine="560" w:firstLineChars="200"/>
        <w:rPr>
          <w:rFonts w:hint="eastAsia"/>
          <w:sz w:val="28"/>
          <w:szCs w:val="28"/>
        </w:rPr>
      </w:pPr>
      <w:r>
        <w:rPr>
          <w:sz w:val="28"/>
          <w:szCs w:val="28"/>
        </w:rPr>
        <w:t>学生须为202</w:t>
      </w:r>
      <w:r>
        <w:rPr>
          <w:rFonts w:hint="eastAsia"/>
          <w:sz w:val="28"/>
          <w:szCs w:val="28"/>
        </w:rPr>
        <w:t>4</w:t>
      </w:r>
      <w:r>
        <w:rPr>
          <w:sz w:val="28"/>
          <w:szCs w:val="28"/>
        </w:rPr>
        <w:t>年度中等职业学校全日制在籍学生。</w:t>
      </w:r>
    </w:p>
    <w:p>
      <w:pPr>
        <w:ind w:firstLine="560" w:firstLineChars="200"/>
        <w:rPr>
          <w:rFonts w:hint="eastAsia"/>
          <w:sz w:val="28"/>
          <w:szCs w:val="28"/>
        </w:rPr>
      </w:pPr>
      <w:r>
        <w:rPr>
          <w:sz w:val="28"/>
          <w:szCs w:val="28"/>
        </w:rPr>
        <w:t>竞赛时，参赛队的 3 名选手需分工协作、共同完成竞赛任务，具体分工由参赛队自主决定。</w:t>
      </w:r>
    </w:p>
    <w:p>
      <w:pPr>
        <w:pStyle w:val="2"/>
        <w:spacing w:after="240"/>
        <w:rPr>
          <w:rFonts w:hint="eastAsia"/>
        </w:rPr>
      </w:pPr>
      <w:r>
        <w:t>五、竞赛流程</w:t>
      </w:r>
    </w:p>
    <w:p>
      <w:pPr>
        <w:jc w:val="center"/>
        <w:rPr>
          <w:rFonts w:hint="eastAsia"/>
          <w:sz w:val="28"/>
          <w:szCs w:val="28"/>
        </w:rPr>
      </w:pPr>
      <w:r>
        <w:rPr>
          <w:rFonts w:hint="eastAsia"/>
          <w:sz w:val="28"/>
          <w:szCs w:val="28"/>
        </w:rPr>
        <w:t>竞赛日程表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3543"/>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  间</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2894"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asciiTheme="minorEastAsia" w:hAnsiTheme="minorEastAsia" w:eastAsiaTheme="minorEastAsia"/>
                <w:sz w:val="24"/>
                <w:szCs w:val="24"/>
              </w:rPr>
              <w:t>00-16</w:t>
            </w:r>
            <w:r>
              <w:rPr>
                <w:rFonts w:hint="eastAsia" w:asciiTheme="minorEastAsia" w:hAnsiTheme="minorEastAsia" w:eastAsiaTheme="minorEastAsia"/>
                <w:sz w:val="24"/>
                <w:szCs w:val="24"/>
              </w:rPr>
              <w:t>:</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参赛队报到</w:t>
            </w:r>
          </w:p>
        </w:tc>
        <w:tc>
          <w:tcPr>
            <w:tcW w:w="2894" w:type="dxa"/>
            <w:vMerge w:val="restart"/>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此表仅供参考，具体时间以参赛指南为准。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w:t>
            </w:r>
            <w:r>
              <w:rPr>
                <w:rFonts w:asciiTheme="minorEastAsia" w:hAnsiTheme="minorEastAsia" w:eastAsiaTheme="minorEastAsia"/>
                <w:sz w:val="24"/>
                <w:szCs w:val="24"/>
              </w:rPr>
              <w:t>00-15</w:t>
            </w:r>
            <w:r>
              <w:rPr>
                <w:rFonts w:hint="eastAsia" w:asciiTheme="minorEastAsia" w:hAnsiTheme="minorEastAsia" w:eastAsiaTheme="minorEastAsia"/>
                <w:sz w:val="24"/>
                <w:szCs w:val="24"/>
              </w:rPr>
              <w:t>:</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裁判员报到</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16:00-16:30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开幕式</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16:30-18:00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领队会、</w:t>
            </w:r>
            <w:r>
              <w:rPr>
                <w:rFonts w:asciiTheme="minorEastAsia" w:hAnsiTheme="minorEastAsia" w:eastAsiaTheme="minorEastAsia"/>
                <w:sz w:val="24"/>
                <w:szCs w:val="24"/>
              </w:rPr>
              <w:t>抽签、</w:t>
            </w:r>
            <w:r>
              <w:rPr>
                <w:rFonts w:hint="eastAsia" w:asciiTheme="minorEastAsia" w:hAnsiTheme="minorEastAsia" w:eastAsiaTheme="minorEastAsia"/>
                <w:sz w:val="24"/>
                <w:szCs w:val="24"/>
              </w:rPr>
              <w:t>选手观看场地</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第三天</w:t>
            </w: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第四天</w:t>
            </w:r>
          </w:p>
        </w:tc>
        <w:tc>
          <w:tcPr>
            <w:tcW w:w="2268"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0-1</w:t>
            </w:r>
            <w:r>
              <w:rPr>
                <w:rFonts w:hint="eastAsia" w:asciiTheme="minorEastAsia" w:hAnsiTheme="minorEastAsia" w:eastAsiaTheme="minorEastAsia"/>
                <w:sz w:val="24"/>
                <w:szCs w:val="24"/>
              </w:rPr>
              <w:t>2:</w:t>
            </w:r>
            <w:r>
              <w:rPr>
                <w:rFonts w:asciiTheme="minorEastAsia" w:hAnsiTheme="minorEastAsia" w:eastAsiaTheme="minorEastAsia"/>
                <w:sz w:val="24"/>
                <w:szCs w:val="24"/>
              </w:rPr>
              <w:t>00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第五场</w:t>
            </w:r>
          </w:p>
        </w:tc>
        <w:tc>
          <w:tcPr>
            <w:tcW w:w="2894" w:type="dxa"/>
            <w:vMerge w:val="continue"/>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rPr>
                <w:rFonts w:hint="eastAsia" w:asciiTheme="minorEastAsia" w:hAnsiTheme="minorEastAsia" w:eastAsiaTheme="minorEastAsia"/>
                <w:sz w:val="24"/>
                <w:szCs w:val="24"/>
              </w:rPr>
            </w:pPr>
          </w:p>
        </w:tc>
        <w:tc>
          <w:tcPr>
            <w:tcW w:w="2268"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00-</w:t>
            </w:r>
            <w:r>
              <w:rPr>
                <w:rFonts w:hint="eastAsia" w:asciiTheme="minorEastAsia" w:hAnsiTheme="minorEastAsia" w:eastAsiaTheme="minorEastAsia"/>
                <w:sz w:val="24"/>
                <w:szCs w:val="24"/>
              </w:rPr>
              <w:t>18:0</w:t>
            </w:r>
            <w:r>
              <w:rPr>
                <w:rFonts w:asciiTheme="minorEastAsia" w:hAnsiTheme="minorEastAsia" w:eastAsiaTheme="minorEastAsia"/>
                <w:sz w:val="24"/>
                <w:szCs w:val="24"/>
              </w:rPr>
              <w:t>0</w:t>
            </w:r>
          </w:p>
        </w:tc>
        <w:tc>
          <w:tcPr>
            <w:tcW w:w="3543" w:type="dxa"/>
            <w:vAlign w:val="center"/>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第六场</w:t>
            </w:r>
          </w:p>
        </w:tc>
        <w:tc>
          <w:tcPr>
            <w:tcW w:w="2894" w:type="dxa"/>
            <w:vMerge w:val="continue"/>
            <w:vAlign w:val="center"/>
          </w:tcPr>
          <w:p>
            <w:pPr>
              <w:rPr>
                <w:rFonts w:hint="eastAsia" w:asciiTheme="minorEastAsia" w:hAnsiTheme="minorEastAsia" w:eastAsiaTheme="minorEastAsia"/>
                <w:sz w:val="24"/>
                <w:szCs w:val="24"/>
              </w:rPr>
            </w:pPr>
          </w:p>
        </w:tc>
      </w:tr>
    </w:tbl>
    <w:p>
      <w:pPr>
        <w:rPr>
          <w:rFonts w:hint="eastAsia"/>
        </w:rPr>
      </w:pPr>
    </w:p>
    <w:p>
      <w:pPr>
        <w:pStyle w:val="2"/>
        <w:spacing w:after="240"/>
        <w:rPr>
          <w:rFonts w:hint="eastAsia"/>
        </w:rPr>
      </w:pPr>
      <w:r>
        <w:t>六、竞赛规则</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选手报名</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每个代表队中，同一学校参赛队不超过</w:t>
      </w:r>
      <w:r>
        <w:rPr>
          <w:rFonts w:hint="eastAsia" w:asciiTheme="minorEastAsia" w:hAnsiTheme="minorEastAsia" w:eastAsiaTheme="minorEastAsia"/>
          <w:sz w:val="28"/>
          <w:szCs w:val="28"/>
        </w:rPr>
        <w:t>2</w:t>
      </w:r>
      <w:r>
        <w:rPr>
          <w:rFonts w:asciiTheme="minorEastAsia" w:hAnsiTheme="minorEastAsia" w:eastAsiaTheme="minorEastAsia"/>
          <w:sz w:val="28"/>
          <w:szCs w:val="28"/>
        </w:rPr>
        <w:t>支，师生同赛赛项不设指导教师。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参赛选手报名获得确认后不得随意更换，如遇特殊情况，需更改报名信息，须由</w:t>
      </w:r>
      <w:r>
        <w:rPr>
          <w:rFonts w:hint="eastAsia" w:asciiTheme="minorEastAsia" w:hAnsiTheme="minorEastAsia" w:eastAsiaTheme="minorEastAsia"/>
          <w:sz w:val="28"/>
          <w:szCs w:val="28"/>
        </w:rPr>
        <w:t>参赛学校</w:t>
      </w:r>
      <w:r>
        <w:rPr>
          <w:rFonts w:asciiTheme="minorEastAsia" w:hAnsiTheme="minorEastAsia" w:eastAsiaTheme="minorEastAsia"/>
          <w:sz w:val="28"/>
          <w:szCs w:val="28"/>
        </w:rPr>
        <w:t>于赛项开赛前 10 个工作日向大赛执委会提交申请，经审批通过后由工作人员统一退回修改。</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各</w:t>
      </w:r>
      <w:r>
        <w:rPr>
          <w:rFonts w:hint="eastAsia" w:asciiTheme="minorEastAsia" w:hAnsiTheme="minorEastAsia" w:eastAsiaTheme="minorEastAsia"/>
          <w:sz w:val="28"/>
          <w:szCs w:val="28"/>
        </w:rPr>
        <w:t>参赛学校</w:t>
      </w:r>
      <w:r>
        <w:rPr>
          <w:rFonts w:asciiTheme="minorEastAsia" w:hAnsiTheme="minorEastAsia" w:eastAsiaTheme="minorEastAsia"/>
          <w:sz w:val="28"/>
          <w:szCs w:val="28"/>
        </w:rPr>
        <w:t>负责本</w:t>
      </w:r>
      <w:r>
        <w:rPr>
          <w:rFonts w:hint="eastAsia" w:asciiTheme="minorEastAsia" w:hAnsiTheme="minorEastAsia" w:eastAsiaTheme="minorEastAsia"/>
          <w:sz w:val="28"/>
          <w:szCs w:val="28"/>
        </w:rPr>
        <w:t>校</w:t>
      </w:r>
      <w:r>
        <w:rPr>
          <w:rFonts w:asciiTheme="minorEastAsia" w:hAnsiTheme="minorEastAsia" w:eastAsiaTheme="minorEastAsia"/>
          <w:sz w:val="28"/>
          <w:szCs w:val="28"/>
        </w:rPr>
        <w:t>参赛选手的资格审查工作，并保存相关证明材料的复印件，以备查阅。</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熟悉场地</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赛项执委会按照竞赛日程安排各参赛队熟悉竞赛场地，其中熟悉设备时间不少于</w:t>
      </w:r>
      <w:r>
        <w:rPr>
          <w:rFonts w:hint="eastAsia" w:asciiTheme="minorEastAsia" w:hAnsiTheme="minorEastAsia" w:eastAsiaTheme="minorEastAsia"/>
          <w:sz w:val="28"/>
          <w:szCs w:val="28"/>
        </w:rPr>
        <w:t>30分钟</w:t>
      </w:r>
      <w:r>
        <w:rPr>
          <w:rFonts w:asciiTheme="minorEastAsia" w:hAnsiTheme="minorEastAsia" w:eastAsiaTheme="minorEastAsia"/>
          <w:sz w:val="28"/>
          <w:szCs w:val="28"/>
        </w:rPr>
        <w:t>，</w:t>
      </w:r>
      <w:r>
        <w:rPr>
          <w:rFonts w:hint="eastAsia" w:asciiTheme="minorEastAsia" w:hAnsiTheme="minorEastAsia" w:eastAsiaTheme="minorEastAsia"/>
          <w:sz w:val="28"/>
          <w:szCs w:val="28"/>
        </w:rPr>
        <w:t>不</w:t>
      </w:r>
      <w:r>
        <w:rPr>
          <w:rFonts w:asciiTheme="minorEastAsia" w:hAnsiTheme="minorEastAsia" w:eastAsiaTheme="minorEastAsia"/>
          <w:sz w:val="28"/>
          <w:szCs w:val="28"/>
        </w:rPr>
        <w:t>允许选手切削加工。</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不得发表没有根据以及有损大赛形象的言论。严格遵守大赛各种规章制度，严禁拥挤、喧哗，避免发生意外事故。</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入场规则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竞赛采取多场次进行，在赛前领队会时公开抽签确定竞赛场次。</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选手按竞赛场次到达检录区，依次进行安检、检录、抽取赛位号、安全教育、宣读选手须知和答疑互动后，统一进入赛场。</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4.</w:t>
      </w:r>
      <w:r>
        <w:rPr>
          <w:rFonts w:asciiTheme="minorEastAsia" w:hAnsiTheme="minorEastAsia" w:eastAsiaTheme="minorEastAsia"/>
          <w:b/>
          <w:bCs/>
          <w:sz w:val="28"/>
          <w:szCs w:val="28"/>
        </w:rPr>
        <w:t>赛场规则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选手统一进入赛位进行赛前准备，先确认赛场设施，再做其他除切削外的准备工作。</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赛前 10 分钟发放毛坯，赛前 5 分钟发放赛题。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选手必须在裁判长宣布竞赛开始后才能进行切削加工。</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竞赛过程中，选手须严格遵守相关安全操作规程，确保人身及设备安全，并接受裁判的监督和警示。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裁判长在竞赛结束前 15 分钟对选手做出时间提醒。</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裁判长宣布竞赛结束后，选手应立即停止操作，提交赛件、赛题等物品。</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现场裁判对选手职业素养进行评判。</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5.</w:t>
      </w:r>
      <w:r>
        <w:rPr>
          <w:rFonts w:asciiTheme="minorEastAsia" w:hAnsiTheme="minorEastAsia" w:eastAsiaTheme="minorEastAsia"/>
          <w:b/>
          <w:bCs/>
          <w:sz w:val="28"/>
          <w:szCs w:val="28"/>
        </w:rPr>
        <w:t>离场规则</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选手按</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提交物品后，再清理恢复赛位、整理自带物品。在裁判确认后，携带自带物品离开赛场。</w:t>
      </w:r>
    </w:p>
    <w:p>
      <w:pPr>
        <w:pStyle w:val="2"/>
        <w:spacing w:after="240"/>
        <w:rPr>
          <w:rFonts w:hint="eastAsia"/>
        </w:rPr>
      </w:pPr>
      <w:r>
        <w:rPr>
          <w:rFonts w:hint="eastAsia"/>
        </w:rPr>
        <w:t>七</w:t>
      </w:r>
      <w:r>
        <w:t>、技术环境</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比赛环境</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赛场的布置、器材、设备，应符合国家有关安全规定。</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赛场划分为检录区、发卷区、加工区、收件区、检测区、测试区、技术支持区、休息区、医疗区等。</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赛场提供数控车床、数控铣床等组成的赛位，赛位数量不少于</w:t>
      </w:r>
      <w:r>
        <w:rPr>
          <w:rFonts w:hint="eastAsia" w:asciiTheme="minorEastAsia" w:hAnsiTheme="minorEastAsia" w:eastAsiaTheme="minorEastAsia"/>
          <w:sz w:val="28"/>
          <w:szCs w:val="28"/>
        </w:rPr>
        <w:t>8</w:t>
      </w:r>
      <w:r>
        <w:rPr>
          <w:rFonts w:asciiTheme="minorEastAsia" w:hAnsiTheme="minorEastAsia" w:eastAsiaTheme="minorEastAsia"/>
          <w:sz w:val="28"/>
          <w:szCs w:val="28"/>
        </w:rPr>
        <w:t>个；每个赛位有足够的操作区域，并标明赛位号；每个赛位区域相对独立，确保选手比赛不受外界影响。</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每台数控机床旁边配备一台计算机和一个计算机桌，计算机与机床实现数据通讯连接；在机床正面配备一个</w:t>
      </w:r>
      <w:r>
        <w:rPr>
          <w:rFonts w:hint="eastAsia" w:asciiTheme="minorEastAsia" w:hAnsiTheme="minorEastAsia" w:eastAsiaTheme="minorEastAsia"/>
          <w:sz w:val="28"/>
          <w:szCs w:val="28"/>
        </w:rPr>
        <w:t>工具车</w:t>
      </w:r>
      <w:r>
        <w:rPr>
          <w:rFonts w:asciiTheme="minorEastAsia" w:hAnsiTheme="minorEastAsia" w:eastAsiaTheme="minorEastAsia"/>
          <w:sz w:val="28"/>
          <w:szCs w:val="28"/>
        </w:rPr>
        <w:t>，供选手摆放自带物品。</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每个赛位提供竞赛用毛坯，数控车床统一提供手动三爪卡盘和相配套的硬爪。允许选手自带没有轴向定位的开口夹套和软爪。数控铣床提供平口钳（钳口宽度160mm</w:t>
      </w:r>
      <w:r>
        <w:rPr>
          <w:rFonts w:hint="eastAsia" w:asciiTheme="minorEastAsia" w:hAnsiTheme="minorEastAsia" w:eastAsiaTheme="minorEastAsia"/>
          <w:sz w:val="28"/>
          <w:szCs w:val="28"/>
        </w:rPr>
        <w:t>，</w:t>
      </w:r>
      <w:r>
        <w:rPr>
          <w:rFonts w:asciiTheme="minorEastAsia" w:hAnsiTheme="minorEastAsia" w:eastAsiaTheme="minorEastAsia"/>
          <w:sz w:val="28"/>
          <w:szCs w:val="28"/>
        </w:rPr>
        <w:t>钳口高度</w:t>
      </w:r>
      <w:r>
        <w:rPr>
          <w:rFonts w:hint="eastAsia" w:asciiTheme="minorEastAsia" w:hAnsiTheme="minorEastAsia" w:eastAsiaTheme="minorEastAsia"/>
          <w:sz w:val="28"/>
          <w:szCs w:val="28"/>
        </w:rPr>
        <w:t>45</w:t>
      </w:r>
      <w:r>
        <w:rPr>
          <w:rFonts w:asciiTheme="minorEastAsia" w:hAnsiTheme="minorEastAsia" w:eastAsiaTheme="minorEastAsia"/>
          <w:sz w:val="28"/>
          <w:szCs w:val="28"/>
        </w:rPr>
        <w:t>mm）。</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赛场不提供刀柄、刀具、量具和工具，选手可依据公开样卷的加工要素自带相应的刀柄、刀具、量具和工具，数量不限。不允许携带二类工装夹具。</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赛场设有保安、公安、消防、设备维修和电力抢险人员待命，以防突发事件。</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赛场配备维修服务、医疗、生活补给站等公共服务设施。</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技术平台</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平床身数控车床</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CKA6150</w:t>
      </w:r>
      <w:r>
        <w:rPr>
          <w:rFonts w:hint="eastAsia" w:asciiTheme="minorEastAsia" w:hAnsiTheme="minorEastAsia" w:eastAsiaTheme="minorEastAsia"/>
          <w:sz w:val="28"/>
          <w:szCs w:val="28"/>
        </w:rPr>
        <w:t>数控车床5台，</w:t>
      </w:r>
      <w:r>
        <w:rPr>
          <w:rFonts w:asciiTheme="minorEastAsia" w:hAnsiTheme="minorEastAsia" w:eastAsiaTheme="minorEastAsia"/>
          <w:sz w:val="28"/>
          <w:szCs w:val="28"/>
        </w:rPr>
        <w:t>FANUC-0i-TF Plus</w:t>
      </w:r>
      <w:r>
        <w:rPr>
          <w:rFonts w:hint="eastAsia" w:asciiTheme="minorEastAsia" w:hAnsiTheme="minorEastAsia" w:eastAsiaTheme="minorEastAsia"/>
          <w:sz w:val="28"/>
          <w:szCs w:val="28"/>
        </w:rPr>
        <w:t>系统，通用</w:t>
      </w:r>
      <w:r>
        <w:rPr>
          <w:rFonts w:asciiTheme="minorEastAsia" w:hAnsiTheme="minorEastAsia" w:eastAsiaTheme="minorEastAsia"/>
          <w:sz w:val="28"/>
          <w:szCs w:val="28"/>
        </w:rPr>
        <w:t>技术集团</w:t>
      </w:r>
      <w:r>
        <w:rPr>
          <w:rFonts w:hint="eastAsia" w:asciiTheme="minorEastAsia" w:hAnsiTheme="minorEastAsia" w:eastAsiaTheme="minorEastAsia"/>
          <w:sz w:val="28"/>
          <w:szCs w:val="28"/>
        </w:rPr>
        <w:t>大连机床有限责任公司生产。</w:t>
      </w:r>
    </w:p>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设备</w:t>
      </w:r>
      <w:r>
        <w:rPr>
          <w:rFonts w:asciiTheme="minorEastAsia" w:hAnsiTheme="minorEastAsia" w:eastAsiaTheme="minorEastAsia"/>
          <w:sz w:val="28"/>
          <w:szCs w:val="28"/>
        </w:rPr>
        <w:t>主要参数</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3685"/>
        <w:gridCol w:w="1559"/>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项目</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内容</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单位</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主要</w:t>
            </w:r>
            <w:r>
              <w:rPr>
                <w:rFonts w:asciiTheme="minorEastAsia" w:hAnsiTheme="minorEastAsia" w:eastAsiaTheme="minorEastAsia"/>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加工</w:t>
            </w:r>
            <w:r>
              <w:rPr>
                <w:rFonts w:asciiTheme="minorEastAsia" w:hAnsiTheme="minorEastAsia" w:eastAsiaTheme="minorEastAsia"/>
                <w:sz w:val="28"/>
                <w:szCs w:val="28"/>
              </w:rPr>
              <w:t>范围</w:t>
            </w: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床身上最大工件回转直径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滑板上最大工件回转直径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最大工件车削直径</w:t>
            </w:r>
          </w:p>
        </w:tc>
        <w:tc>
          <w:tcPr>
            <w:tcW w:w="795" w:type="pct"/>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vAlign w:val="center"/>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最大</w:t>
            </w:r>
            <w:r>
              <w:rPr>
                <w:rFonts w:asciiTheme="minorEastAsia" w:hAnsiTheme="minorEastAsia" w:eastAsiaTheme="minorEastAsia"/>
                <w:sz w:val="28"/>
                <w:szCs w:val="28"/>
              </w:rPr>
              <w:t>加工长度</w:t>
            </w:r>
          </w:p>
        </w:tc>
        <w:tc>
          <w:tcPr>
            <w:tcW w:w="795"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转速范围</w:t>
            </w:r>
            <w:r>
              <w:rPr>
                <w:rFonts w:hint="eastAsia" w:asciiTheme="minorEastAsia" w:hAnsiTheme="minorEastAsia" w:eastAsiaTheme="minorEastAsia"/>
                <w:sz w:val="28"/>
                <w:szCs w:val="28"/>
              </w:rPr>
              <w:t>7</w:t>
            </w:r>
            <w:r>
              <w:rPr>
                <w:rFonts w:asciiTheme="minorEastAsia" w:hAnsiTheme="minorEastAsia" w:eastAsiaTheme="minorEastAsia"/>
                <w:sz w:val="28"/>
                <w:szCs w:val="28"/>
              </w:rPr>
              <w:t>-2200</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r/min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低</w:t>
            </w:r>
            <w:r>
              <w:rPr>
                <w:rFonts w:asciiTheme="minorEastAsia" w:hAnsiTheme="minorEastAsia" w:eastAsiaTheme="minorEastAsia"/>
                <w:sz w:val="28"/>
                <w:szCs w:val="28"/>
              </w:rPr>
              <w:t>：7～135</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中</w:t>
            </w:r>
            <w:r>
              <w:rPr>
                <w:rFonts w:asciiTheme="minorEastAsia" w:hAnsiTheme="minorEastAsia" w:eastAsiaTheme="minorEastAsia"/>
                <w:sz w:val="28"/>
                <w:szCs w:val="28"/>
              </w:rPr>
              <w:t>：30～550</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高</w:t>
            </w:r>
            <w:r>
              <w:rPr>
                <w:rFonts w:asciiTheme="minorEastAsia" w:hAnsiTheme="minorEastAsia" w:eastAsiaTheme="minorEastAsia"/>
                <w:sz w:val="28"/>
                <w:szCs w:val="28"/>
              </w:rPr>
              <w:t>：110～2200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调速方式</w:t>
            </w:r>
          </w:p>
        </w:tc>
        <w:tc>
          <w:tcPr>
            <w:tcW w:w="795" w:type="pct"/>
          </w:tcPr>
          <w:p>
            <w:pPr>
              <w:rPr>
                <w:rFonts w:hint="eastAsia" w:asciiTheme="minorEastAsia" w:hAnsiTheme="minorEastAsia" w:eastAsiaTheme="minorEastAsia"/>
                <w:sz w:val="28"/>
                <w:szCs w:val="28"/>
              </w:rPr>
            </w:pP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手动三档，档内自动无级调速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主轴通孔</w:t>
            </w:r>
            <w:r>
              <w:rPr>
                <w:rFonts w:asciiTheme="minorEastAsia" w:hAnsiTheme="minorEastAsia" w:eastAsiaTheme="minorEastAsia"/>
                <w:sz w:val="28"/>
                <w:szCs w:val="28"/>
              </w:rPr>
              <w:t>直径</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行程</w:t>
            </w: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X</w:t>
            </w:r>
            <w:r>
              <w:rPr>
                <w:rFonts w:hint="eastAsia" w:asciiTheme="minorEastAsia" w:hAnsiTheme="minorEastAsia" w:eastAsiaTheme="minorEastAsia"/>
                <w:sz w:val="28"/>
                <w:szCs w:val="28"/>
              </w:rPr>
              <w:t>轴最大行程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Z</w:t>
            </w:r>
            <w:r>
              <w:rPr>
                <w:rFonts w:hint="eastAsia" w:asciiTheme="minorEastAsia" w:hAnsiTheme="minorEastAsia" w:eastAsiaTheme="minorEastAsia"/>
                <w:sz w:val="28"/>
                <w:szCs w:val="28"/>
              </w:rPr>
              <w:t>轴最大行程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进给速度</w:t>
            </w: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X</w:t>
            </w:r>
            <w:r>
              <w:rPr>
                <w:rFonts w:hint="eastAsia" w:asciiTheme="minorEastAsia" w:hAnsiTheme="minorEastAsia" w:eastAsiaTheme="minorEastAsia"/>
                <w:sz w:val="28"/>
                <w:szCs w:val="28"/>
              </w:rPr>
              <w:t>轴最快进给速度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asciiTheme="minorEastAsia" w:hAnsiTheme="minorEastAsia" w:eastAsiaTheme="minorEastAsia"/>
                <w:sz w:val="28"/>
                <w:szCs w:val="28"/>
              </w:rPr>
              <w:t>Z</w:t>
            </w:r>
            <w:r>
              <w:rPr>
                <w:rFonts w:hint="eastAsia" w:asciiTheme="minorEastAsia" w:hAnsiTheme="minorEastAsia" w:eastAsiaTheme="minorEastAsia"/>
                <w:sz w:val="28"/>
                <w:szCs w:val="28"/>
              </w:rPr>
              <w:t>轴最快进给速度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m/min</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电机</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电机</w:t>
            </w:r>
            <w:r>
              <w:rPr>
                <w:rFonts w:hint="eastAsia" w:asciiTheme="minorEastAsia" w:hAnsiTheme="minorEastAsia" w:eastAsiaTheme="minorEastAsia"/>
                <w:sz w:val="28"/>
                <w:szCs w:val="28"/>
              </w:rPr>
              <w:t>（变频伺服）</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Kw</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刀架</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刀架</w:t>
            </w:r>
            <w:r>
              <w:rPr>
                <w:rFonts w:asciiTheme="minorEastAsia" w:hAnsiTheme="minorEastAsia" w:eastAsiaTheme="minorEastAsia"/>
                <w:sz w:val="28"/>
                <w:szCs w:val="28"/>
              </w:rPr>
              <w:t>形式</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位</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车刀</w:t>
            </w:r>
            <w:r>
              <w:rPr>
                <w:rFonts w:asciiTheme="minorEastAsia" w:hAnsiTheme="minorEastAsia" w:eastAsiaTheme="minorEastAsia"/>
                <w:sz w:val="28"/>
                <w:szCs w:val="28"/>
              </w:rPr>
              <w:t>刀柄尺寸</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restar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尾座</w:t>
            </w: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套筒</w:t>
            </w:r>
            <w:r>
              <w:rPr>
                <w:rFonts w:asciiTheme="minorEastAsia" w:hAnsiTheme="minorEastAsia" w:eastAsiaTheme="minorEastAsia"/>
                <w:sz w:val="28"/>
                <w:szCs w:val="28"/>
              </w:rPr>
              <w:t>直径</w:t>
            </w:r>
            <w:r>
              <w:rPr>
                <w:rFonts w:hint="eastAsia" w:asciiTheme="minorEastAsia" w:hAnsiTheme="minorEastAsia" w:eastAsiaTheme="minorEastAsia"/>
                <w:sz w:val="28"/>
                <w:szCs w:val="28"/>
              </w:rPr>
              <w:t>/行程</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75</w:t>
            </w:r>
            <w:r>
              <w:rPr>
                <w:rFonts w:hint="eastAsia" w:asciiTheme="minorEastAsia" w:hAnsiTheme="minorEastAsia" w:eastAsiaTheme="minorEastAsia"/>
                <w:sz w:val="28"/>
                <w:szCs w:val="28"/>
              </w:rPr>
              <w:t>/</w:t>
            </w:r>
            <w:r>
              <w:rPr>
                <w:rFonts w:asciiTheme="minorEastAsia" w:hAnsiTheme="minorEastAsia" w:eastAsiaTheme="minorEastAsia"/>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vMerge w:val="continue"/>
          </w:tcPr>
          <w:p>
            <w:pPr>
              <w:rPr>
                <w:rFonts w:hint="eastAsia" w:asciiTheme="minorEastAsia" w:hAnsiTheme="minorEastAsia" w:eastAsiaTheme="minorEastAsia"/>
                <w:sz w:val="28"/>
                <w:szCs w:val="28"/>
              </w:rPr>
            </w:pPr>
          </w:p>
        </w:tc>
        <w:tc>
          <w:tcPr>
            <w:tcW w:w="1879"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套筒</w:t>
            </w:r>
            <w:r>
              <w:rPr>
                <w:rFonts w:asciiTheme="minorEastAsia" w:hAnsiTheme="minorEastAsia" w:eastAsiaTheme="minorEastAsia"/>
                <w:sz w:val="28"/>
                <w:szCs w:val="28"/>
              </w:rPr>
              <w:t>内孔锥度</w:t>
            </w: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莫氏</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卡盘</w:t>
            </w:r>
          </w:p>
        </w:tc>
        <w:tc>
          <w:tcPr>
            <w:tcW w:w="1879" w:type="pct"/>
          </w:tcPr>
          <w:p>
            <w:pPr>
              <w:rPr>
                <w:rFonts w:hint="eastAsia" w:asciiTheme="minorEastAsia" w:hAnsiTheme="minorEastAsia" w:eastAsiaTheme="minorEastAsia"/>
                <w:sz w:val="28"/>
                <w:szCs w:val="28"/>
              </w:rPr>
            </w:pPr>
          </w:p>
        </w:tc>
        <w:tc>
          <w:tcPr>
            <w:tcW w:w="795"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mm</w:t>
            </w:r>
          </w:p>
        </w:tc>
        <w:tc>
          <w:tcPr>
            <w:tcW w:w="1620"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250 三爪手动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6" w:type="pct"/>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通讯</w:t>
            </w:r>
            <w:r>
              <w:rPr>
                <w:rFonts w:asciiTheme="minorEastAsia" w:hAnsiTheme="minorEastAsia" w:eastAsiaTheme="minorEastAsia"/>
                <w:sz w:val="28"/>
                <w:szCs w:val="28"/>
              </w:rPr>
              <w:t>形式</w:t>
            </w:r>
          </w:p>
        </w:tc>
        <w:tc>
          <w:tcPr>
            <w:tcW w:w="4294" w:type="pct"/>
            <w:gridSpan w:val="3"/>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以太网</w:t>
            </w:r>
          </w:p>
        </w:tc>
      </w:tr>
    </w:tbl>
    <w:p>
      <w:pPr>
        <w:ind w:firstLine="560" w:firstLineChars="200"/>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立式</w:t>
      </w:r>
      <w:r>
        <w:rPr>
          <w:rFonts w:hint="eastAsia" w:asciiTheme="minorEastAsia" w:hAnsiTheme="minorEastAsia" w:eastAsiaTheme="minorEastAsia"/>
          <w:sz w:val="28"/>
          <w:szCs w:val="28"/>
        </w:rPr>
        <w:t>加工中心</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VDLS850立式加工中心5台，</w:t>
      </w:r>
      <w:r>
        <w:rPr>
          <w:rFonts w:asciiTheme="minorEastAsia" w:hAnsiTheme="minorEastAsia" w:eastAsiaTheme="minorEastAsia"/>
          <w:sz w:val="28"/>
          <w:szCs w:val="28"/>
        </w:rPr>
        <w:t>FANUC</w:t>
      </w:r>
      <w:r>
        <w:rPr>
          <w:rFonts w:hint="eastAsia" w:asciiTheme="minorEastAsia" w:hAnsiTheme="minorEastAsia" w:eastAsiaTheme="minorEastAsia"/>
          <w:sz w:val="28"/>
          <w:szCs w:val="28"/>
        </w:rPr>
        <w:t>-</w:t>
      </w:r>
      <w:r>
        <w:rPr>
          <w:rFonts w:asciiTheme="minorEastAsia" w:hAnsiTheme="minorEastAsia" w:eastAsiaTheme="minorEastAsia"/>
          <w:sz w:val="28"/>
          <w:szCs w:val="28"/>
        </w:rPr>
        <w:t>0i</w:t>
      </w:r>
      <w:r>
        <w:rPr>
          <w:rFonts w:hint="eastAsia" w:asciiTheme="minorEastAsia" w:hAnsiTheme="minorEastAsia" w:eastAsiaTheme="minorEastAsia"/>
          <w:sz w:val="28"/>
          <w:szCs w:val="28"/>
        </w:rPr>
        <w:t>-</w:t>
      </w:r>
      <w:r>
        <w:rPr>
          <w:rFonts w:asciiTheme="minorEastAsia" w:hAnsiTheme="minorEastAsia" w:eastAsiaTheme="minorEastAsia"/>
          <w:sz w:val="28"/>
          <w:szCs w:val="28"/>
        </w:rPr>
        <w:t>MF PLUS</w:t>
      </w:r>
      <w:r>
        <w:rPr>
          <w:rFonts w:hint="eastAsia" w:asciiTheme="minorEastAsia" w:hAnsiTheme="minorEastAsia" w:eastAsiaTheme="minorEastAsia"/>
          <w:sz w:val="28"/>
          <w:szCs w:val="28"/>
        </w:rPr>
        <w:t>系统，通用技术集团大连机床有限责任公司生产</w:t>
      </w:r>
      <w:r>
        <w:rPr>
          <w:rFonts w:asciiTheme="minorEastAsia" w:hAnsiTheme="minorEastAsia" w:eastAsiaTheme="minorEastAsia"/>
          <w:sz w:val="28"/>
          <w:szCs w:val="28"/>
        </w:rPr>
        <w:t>。</w:t>
      </w:r>
    </w:p>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设备主要参数</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39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内容</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w:t>
            </w:r>
            <w:r>
              <w:rPr>
                <w:rFonts w:asciiTheme="minorEastAsia" w:hAnsiTheme="minorEastAsia" w:eastAsiaTheme="minorEastAsia"/>
                <w:sz w:val="28"/>
                <w:szCs w:val="28"/>
              </w:rPr>
              <w:t>型号</w:t>
            </w:r>
          </w:p>
        </w:tc>
        <w:tc>
          <w:tcPr>
            <w:tcW w:w="2977"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VDLS850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工作台</w:t>
            </w:r>
            <w:r>
              <w:rPr>
                <w:rFonts w:asciiTheme="minorEastAsia" w:hAnsiTheme="minorEastAsia" w:eastAsiaTheme="minorEastAsia"/>
                <w:sz w:val="28"/>
                <w:szCs w:val="28"/>
              </w:rPr>
              <w:t>规格</w:t>
            </w:r>
            <w:r>
              <w:rPr>
                <w:rFonts w:hint="eastAsia" w:asciiTheme="minorEastAsia" w:hAnsiTheme="minorEastAsia" w:eastAsiaTheme="minorEastAsia"/>
                <w:sz w:val="28"/>
                <w:szCs w:val="28"/>
              </w:rPr>
              <w:t>（长×宽）（mm）</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1000×500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工作台</w:t>
            </w:r>
            <w:r>
              <w:rPr>
                <w:rFonts w:asciiTheme="minorEastAsia" w:hAnsiTheme="minorEastAsia" w:eastAsiaTheme="minorEastAsia"/>
                <w:sz w:val="28"/>
                <w:szCs w:val="28"/>
              </w:rPr>
              <w:t>最大载重（</w:t>
            </w:r>
            <w:r>
              <w:rPr>
                <w:rFonts w:hint="eastAsia" w:asciiTheme="minorEastAsia" w:hAnsiTheme="minorEastAsia" w:eastAsiaTheme="minorEastAsia"/>
                <w:sz w:val="28"/>
                <w:szCs w:val="28"/>
              </w:rPr>
              <w:t>Kg</w:t>
            </w:r>
            <w:r>
              <w:rPr>
                <w:rFonts w:asciiTheme="minorEastAsia" w:hAnsiTheme="minorEastAsia" w:eastAsiaTheme="minorEastAsia"/>
                <w:sz w:val="28"/>
                <w:szCs w:val="28"/>
              </w:rPr>
              <w:t>）</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60</w:t>
            </w:r>
            <w:r>
              <w:rPr>
                <w:rFonts w:hint="eastAsia" w:asciiTheme="minorEastAsia" w:hAnsiTheme="minorEastAsia" w:eastAsiaTheme="min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4394" w:type="dxa"/>
            <w:vAlign w:val="center"/>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T型槽（槽数×槽宽×槽距）（mm）</w:t>
            </w:r>
          </w:p>
        </w:tc>
        <w:tc>
          <w:tcPr>
            <w:tcW w:w="2977" w:type="dxa"/>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5×18×100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X/Y/Z坐标行程（mm）</w:t>
            </w:r>
          </w:p>
        </w:tc>
        <w:tc>
          <w:tcPr>
            <w:tcW w:w="2977" w:type="dxa"/>
          </w:tcPr>
          <w:tbl>
            <w:tblPr>
              <w:tblStyle w:val="7"/>
              <w:tblW w:w="0" w:type="auto"/>
              <w:jc w:val="center"/>
              <w:tblLayout w:type="autofit"/>
              <w:tblCellMar>
                <w:top w:w="0" w:type="dxa"/>
                <w:left w:w="108" w:type="dxa"/>
                <w:bottom w:w="0" w:type="dxa"/>
                <w:right w:w="108" w:type="dxa"/>
              </w:tblCellMar>
            </w:tblPr>
            <w:tblGrid>
              <w:gridCol w:w="1756"/>
            </w:tblGrid>
            <w:tr>
              <w:tblPrEx>
                <w:tblCellMar>
                  <w:top w:w="0" w:type="dxa"/>
                  <w:left w:w="108" w:type="dxa"/>
                  <w:bottom w:w="0" w:type="dxa"/>
                  <w:right w:w="108" w:type="dxa"/>
                </w:tblCellMar>
              </w:tblPrEx>
              <w:trPr>
                <w:trHeight w:val="120" w:hRule="atLeast"/>
                <w:jc w:val="center"/>
              </w:trPr>
              <w:tc>
                <w:tcPr>
                  <w:tcW w:w="0" w:type="auto"/>
                  <w:vAlign w:val="center"/>
                </w:tcPr>
                <w:p>
                  <w:pPr>
                    <w:rPr>
                      <w:rFonts w:hint="eastAsia" w:asciiTheme="minorEastAsia" w:hAnsiTheme="minorEastAsia" w:eastAsiaTheme="minorEastAsia"/>
                      <w:sz w:val="28"/>
                      <w:szCs w:val="28"/>
                    </w:rPr>
                  </w:pPr>
                  <w:r>
                    <w:rPr>
                      <w:rFonts w:asciiTheme="minorEastAsia" w:hAnsiTheme="minorEastAsia" w:eastAsiaTheme="minorEastAsia"/>
                      <w:sz w:val="28"/>
                      <w:szCs w:val="28"/>
                    </w:rPr>
                    <w:t>860/510/560</w:t>
                  </w:r>
                </w:p>
              </w:tc>
            </w:tr>
          </w:tbl>
          <w:p>
            <w:pPr>
              <w:rPr>
                <w:rFonts w:hint="eastAsia" w:asciiTheme="minorEastAsia" w:hAnsiTheme="minorEastAsia" w:eastAsiaTheme="minorEastAsia"/>
                <w:sz w:val="28"/>
                <w:szCs w:val="28"/>
              </w:rPr>
            </w:pPr>
            <w:r>
              <w:rPr>
                <w:rFonts w:asciiTheme="minorEastAsia" w:hAnsiTheme="minorEastAsia" w:eastAsiaTheme="minorEastAsia"/>
                <w:sz w:val="28"/>
                <w:szCs w:val="28"/>
              </w:rPr>
              <w:t>440 540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4394" w:type="dxa"/>
          </w:tcPr>
          <w:p>
            <w:pPr>
              <w:rPr>
                <w:rFonts w:hint="eastAsia" w:asciiTheme="minorEastAsia" w:hAnsiTheme="minorEastAsia" w:eastAsiaTheme="minorEastAsia"/>
                <w:sz w:val="28"/>
                <w:szCs w:val="28"/>
                <w:lang w:val="fr-FR"/>
              </w:rPr>
            </w:pPr>
            <w:r>
              <w:rPr>
                <w:rFonts w:asciiTheme="minorEastAsia" w:hAnsiTheme="minorEastAsia" w:eastAsiaTheme="minorEastAsia"/>
                <w:sz w:val="28"/>
                <w:szCs w:val="28"/>
                <w:lang w:val="fr-FR"/>
              </w:rPr>
              <w:t>X/Y/Z</w:t>
            </w:r>
            <w:r>
              <w:rPr>
                <w:rFonts w:hint="eastAsia" w:asciiTheme="minorEastAsia" w:hAnsiTheme="minorEastAsia" w:eastAsiaTheme="minorEastAsia"/>
                <w:sz w:val="28"/>
                <w:szCs w:val="28"/>
              </w:rPr>
              <w:t>快</w:t>
            </w:r>
            <w:r>
              <w:rPr>
                <w:rFonts w:asciiTheme="minorEastAsia" w:hAnsiTheme="minorEastAsia" w:eastAsiaTheme="minorEastAsia"/>
                <w:sz w:val="28"/>
                <w:szCs w:val="28"/>
              </w:rPr>
              <w:t>移速度</w:t>
            </w:r>
            <w:r>
              <w:rPr>
                <w:rFonts w:hint="eastAsia" w:asciiTheme="minorEastAsia" w:hAnsiTheme="minorEastAsia" w:eastAsiaTheme="minorEastAsia"/>
                <w:sz w:val="28"/>
                <w:szCs w:val="28"/>
                <w:lang w:val="fr-FR"/>
              </w:rPr>
              <w:t>（m</w:t>
            </w:r>
            <w:r>
              <w:rPr>
                <w:rFonts w:asciiTheme="minorEastAsia" w:hAnsiTheme="minorEastAsia" w:eastAsiaTheme="minorEastAsia"/>
                <w:sz w:val="28"/>
                <w:szCs w:val="28"/>
                <w:lang w:val="fr-FR"/>
              </w:rPr>
              <w:t>/min</w:t>
            </w:r>
            <w:r>
              <w:rPr>
                <w:rFonts w:hint="eastAsia" w:asciiTheme="minorEastAsia" w:hAnsiTheme="minorEastAsia" w:eastAsiaTheme="minorEastAsia"/>
                <w:sz w:val="28"/>
                <w:szCs w:val="28"/>
                <w:lang w:val="fr-FR"/>
              </w:rPr>
              <w:t>）</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36/36/30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切削</w:t>
            </w:r>
            <w:r>
              <w:rPr>
                <w:rFonts w:asciiTheme="minorEastAsia" w:hAnsiTheme="minorEastAsia" w:eastAsiaTheme="minorEastAsia"/>
                <w:sz w:val="28"/>
                <w:szCs w:val="28"/>
              </w:rPr>
              <w:t>进给速度</w:t>
            </w:r>
            <w:r>
              <w:rPr>
                <w:rFonts w:hint="eastAsia" w:asciiTheme="minorEastAsia" w:hAnsiTheme="minorEastAsia" w:eastAsiaTheme="minorEastAsia"/>
                <w:sz w:val="28"/>
                <w:szCs w:val="28"/>
              </w:rPr>
              <w:t>（mm/min）</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主轴</w:t>
            </w:r>
            <w:r>
              <w:rPr>
                <w:rFonts w:asciiTheme="minorEastAsia" w:hAnsiTheme="minorEastAsia" w:eastAsiaTheme="minorEastAsia"/>
                <w:sz w:val="28"/>
                <w:szCs w:val="28"/>
              </w:rPr>
              <w:t>转速范围（</w:t>
            </w:r>
            <w:r>
              <w:rPr>
                <w:rFonts w:hint="eastAsia" w:asciiTheme="minorEastAsia" w:hAnsiTheme="minorEastAsia" w:eastAsiaTheme="minorEastAsia"/>
                <w:sz w:val="28"/>
                <w:szCs w:val="28"/>
              </w:rPr>
              <w:t>r/min</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50～8000（无级）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刀柄/拉钉型式</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BT40-45°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刀库容量/型式</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型式</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24把(刀臂式)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刀具最大重量（Kg）</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12</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刀具最大直径(</w:t>
            </w:r>
            <w:r>
              <w:rPr>
                <w:rFonts w:asciiTheme="minorEastAsia" w:hAnsiTheme="minorEastAsia" w:eastAsiaTheme="minorEastAsia"/>
                <w:sz w:val="28"/>
                <w:szCs w:val="28"/>
              </w:rPr>
              <w:t>mm</w:t>
            </w:r>
            <w:r>
              <w:rPr>
                <w:rFonts w:hint="eastAsia" w:asciiTheme="minorEastAsia" w:hAnsiTheme="minorEastAsia" w:eastAsiaTheme="minorEastAsia"/>
                <w:sz w:val="28"/>
                <w:szCs w:val="28"/>
              </w:rPr>
              <w:t>)</w:t>
            </w:r>
          </w:p>
          <w:p>
            <w:pPr>
              <w:rPr>
                <w:rFonts w:hint="eastAsia" w:asciiTheme="minorEastAsia" w:hAnsiTheme="minorEastAsia" w:eastAsiaTheme="minorEastAsia"/>
                <w:sz w:val="28"/>
                <w:szCs w:val="28"/>
              </w:rPr>
            </w:pP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φ</w:t>
            </w:r>
            <w:r>
              <w:rPr>
                <w:rFonts w:asciiTheme="minorEastAsia" w:hAnsiTheme="minorEastAsia" w:eastAsiaTheme="minorEastAsia"/>
                <w:sz w:val="28"/>
                <w:szCs w:val="28"/>
              </w:rPr>
              <w:t>155mm（邻空）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13</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刀具</w:t>
            </w:r>
            <w:r>
              <w:rPr>
                <w:rFonts w:asciiTheme="minorEastAsia" w:hAnsiTheme="minorEastAsia" w:eastAsiaTheme="minorEastAsia"/>
                <w:sz w:val="28"/>
                <w:szCs w:val="28"/>
              </w:rPr>
              <w:t>最大长度（</w:t>
            </w:r>
            <w:r>
              <w:rPr>
                <w:rFonts w:hint="eastAsia" w:asciiTheme="minorEastAsia" w:hAnsiTheme="minorEastAsia" w:eastAsiaTheme="minorEastAsia"/>
                <w:sz w:val="28"/>
                <w:szCs w:val="28"/>
              </w:rPr>
              <w:t>mm</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14</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换刀时间（刀对刀）</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2.7s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15</w:t>
            </w:r>
          </w:p>
        </w:tc>
        <w:tc>
          <w:tcPr>
            <w:tcW w:w="4394" w:type="dxa"/>
          </w:tcPr>
          <w:p>
            <w:pPr>
              <w:rPr>
                <w:rFonts w:hint="eastAsia" w:asciiTheme="minorEastAsia" w:hAnsiTheme="minorEastAsia" w:eastAsiaTheme="minorEastAsia"/>
                <w:sz w:val="28"/>
                <w:szCs w:val="28"/>
                <w:lang w:val="fr-FR"/>
              </w:rPr>
            </w:pPr>
            <w:r>
              <w:rPr>
                <w:rFonts w:hint="eastAsia" w:asciiTheme="minorEastAsia" w:hAnsiTheme="minorEastAsia" w:eastAsiaTheme="minorEastAsia"/>
                <w:sz w:val="28"/>
                <w:szCs w:val="28"/>
                <w:lang w:val="fr-FR"/>
              </w:rPr>
              <w:t>X/Y/Z</w:t>
            </w:r>
            <w:r>
              <w:rPr>
                <w:rFonts w:hint="eastAsia" w:asciiTheme="minorEastAsia" w:hAnsiTheme="minorEastAsia" w:eastAsiaTheme="minorEastAsia"/>
                <w:sz w:val="28"/>
                <w:szCs w:val="28"/>
              </w:rPr>
              <w:t>定位</w:t>
            </w:r>
            <w:r>
              <w:rPr>
                <w:rFonts w:asciiTheme="minorEastAsia" w:hAnsiTheme="minorEastAsia" w:eastAsiaTheme="minorEastAsia"/>
                <w:sz w:val="28"/>
                <w:szCs w:val="28"/>
              </w:rPr>
              <w:t>精度</w:t>
            </w:r>
            <w:r>
              <w:rPr>
                <w:rFonts w:asciiTheme="minorEastAsia" w:hAnsiTheme="minorEastAsia" w:eastAsiaTheme="minorEastAsia"/>
                <w:sz w:val="28"/>
                <w:szCs w:val="28"/>
                <w:lang w:val="fr-FR"/>
              </w:rPr>
              <w:t>（</w:t>
            </w:r>
            <w:r>
              <w:rPr>
                <w:rFonts w:hint="eastAsia" w:asciiTheme="minorEastAsia" w:hAnsiTheme="minorEastAsia" w:eastAsiaTheme="minorEastAsia"/>
                <w:sz w:val="28"/>
                <w:szCs w:val="28"/>
                <w:lang w:val="fr-FR"/>
              </w:rPr>
              <w:t>mm</w:t>
            </w:r>
            <w:r>
              <w:rPr>
                <w:rFonts w:asciiTheme="minorEastAsia" w:hAnsiTheme="minorEastAsia" w:eastAsiaTheme="minorEastAsia"/>
                <w:sz w:val="28"/>
                <w:szCs w:val="28"/>
                <w:lang w:val="fr-FR"/>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0.00</w:t>
            </w:r>
            <w:r>
              <w:rPr>
                <w:rFonts w:asciiTheme="minorEastAsia" w:hAnsiTheme="minorEastAsia" w:eastAsiaTheme="minor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16</w:t>
            </w:r>
          </w:p>
        </w:tc>
        <w:tc>
          <w:tcPr>
            <w:tcW w:w="4394" w:type="dxa"/>
          </w:tcPr>
          <w:p>
            <w:pPr>
              <w:rPr>
                <w:rFonts w:hint="eastAsia" w:asciiTheme="minorEastAsia" w:hAnsiTheme="minorEastAsia" w:eastAsiaTheme="minorEastAsia"/>
                <w:sz w:val="28"/>
                <w:szCs w:val="28"/>
                <w:lang w:val="fr-FR"/>
              </w:rPr>
            </w:pPr>
            <w:r>
              <w:rPr>
                <w:rFonts w:hint="eastAsia" w:asciiTheme="minorEastAsia" w:hAnsiTheme="minorEastAsia" w:eastAsiaTheme="minorEastAsia"/>
                <w:sz w:val="28"/>
                <w:szCs w:val="28"/>
                <w:lang w:val="fr-FR"/>
              </w:rPr>
              <w:t>X/Y/Z</w:t>
            </w:r>
            <w:r>
              <w:rPr>
                <w:rFonts w:hint="eastAsia" w:asciiTheme="minorEastAsia" w:hAnsiTheme="minorEastAsia" w:eastAsiaTheme="minorEastAsia"/>
                <w:sz w:val="28"/>
                <w:szCs w:val="28"/>
              </w:rPr>
              <w:t>重复</w:t>
            </w:r>
            <w:r>
              <w:rPr>
                <w:rFonts w:asciiTheme="minorEastAsia" w:hAnsiTheme="minorEastAsia" w:eastAsiaTheme="minorEastAsia"/>
                <w:sz w:val="28"/>
                <w:szCs w:val="28"/>
              </w:rPr>
              <w:t>定位精度</w:t>
            </w:r>
            <w:r>
              <w:rPr>
                <w:rFonts w:hint="eastAsia" w:asciiTheme="minorEastAsia" w:hAnsiTheme="minorEastAsia" w:eastAsiaTheme="minorEastAsia"/>
                <w:sz w:val="28"/>
                <w:szCs w:val="28"/>
                <w:lang w:val="fr-FR"/>
              </w:rPr>
              <w:t>（mm）</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0.00</w:t>
            </w:r>
            <w:r>
              <w:rPr>
                <w:rFonts w:asciiTheme="minorEastAsia" w:hAnsiTheme="minorEastAsia" w:eastAsia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17</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气源压力</w:t>
            </w:r>
            <w:r>
              <w:rPr>
                <w:rFonts w:asciiTheme="minorEastAsia" w:hAnsiTheme="minorEastAsia" w:eastAsiaTheme="minorEastAsia"/>
                <w:sz w:val="28"/>
                <w:szCs w:val="28"/>
              </w:rPr>
              <w:t>(MPa</w:t>
            </w:r>
            <w:r>
              <w:rPr>
                <w:rFonts w:hint="eastAsia" w:asciiTheme="minorEastAsia" w:hAnsiTheme="minorEastAsia" w:eastAsiaTheme="minorEastAsia"/>
                <w:sz w:val="28"/>
                <w:szCs w:val="28"/>
              </w:rPr>
              <w:t>)</w:t>
            </w:r>
          </w:p>
          <w:p>
            <w:pPr>
              <w:rPr>
                <w:rFonts w:hint="eastAsia" w:asciiTheme="minorEastAsia" w:hAnsiTheme="minorEastAsia" w:eastAsiaTheme="minorEastAsia"/>
                <w:sz w:val="28"/>
                <w:szCs w:val="28"/>
              </w:rPr>
            </w:pP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18</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机床轮廓尺寸（</w:t>
            </w:r>
            <w:r>
              <w:rPr>
                <w:rFonts w:asciiTheme="minorEastAsia" w:hAnsiTheme="minorEastAsia" w:eastAsiaTheme="minorEastAsia"/>
                <w:sz w:val="28"/>
                <w:szCs w:val="28"/>
              </w:rPr>
              <w:t>L×W×H</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mm</w:t>
            </w:r>
            <w:r>
              <w:rPr>
                <w:rFonts w:asciiTheme="minorEastAsia" w:hAnsiTheme="minorEastAsia" w:eastAsiaTheme="minorEastAsia"/>
                <w:sz w:val="28"/>
                <w:szCs w:val="28"/>
              </w:rPr>
              <w:t>）</w:t>
            </w:r>
          </w:p>
          <w:p>
            <w:pPr>
              <w:rPr>
                <w:rFonts w:hint="eastAsia" w:asciiTheme="minorEastAsia" w:hAnsiTheme="minorEastAsia" w:eastAsiaTheme="minorEastAsia"/>
                <w:sz w:val="28"/>
                <w:szCs w:val="28"/>
              </w:rPr>
            </w:pPr>
            <w:r>
              <w:rPr>
                <w:rFonts w:asciiTheme="minorEastAsia" w:hAnsiTheme="minorEastAsia" w:eastAsiaTheme="minorEastAsia"/>
                <w:sz w:val="28"/>
                <w:szCs w:val="28"/>
              </w:rPr>
              <w:t>L × W × H</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2496×2530×2679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19</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机床重量</w:t>
            </w:r>
            <w:r>
              <w:rPr>
                <w:rFonts w:asciiTheme="minorEastAsia" w:hAnsiTheme="minorEastAsia" w:eastAsiaTheme="minorEastAsia"/>
                <w:sz w:val="28"/>
                <w:szCs w:val="28"/>
              </w:rPr>
              <w:t>（</w:t>
            </w:r>
            <w:r>
              <w:rPr>
                <w:rFonts w:hint="eastAsia" w:asciiTheme="minorEastAsia" w:hAnsiTheme="minorEastAsia" w:eastAsiaTheme="minorEastAsia"/>
                <w:sz w:val="28"/>
                <w:szCs w:val="28"/>
              </w:rPr>
              <w:t>Kg</w:t>
            </w:r>
            <w:r>
              <w:rPr>
                <w:rFonts w:asciiTheme="minorEastAsia" w:hAnsiTheme="minorEastAsia" w:eastAsiaTheme="minorEastAsia"/>
                <w:sz w:val="28"/>
                <w:szCs w:val="28"/>
              </w:rPr>
              <w:t>）</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数控</w:t>
            </w:r>
            <w:r>
              <w:rPr>
                <w:rFonts w:asciiTheme="minorEastAsia" w:hAnsiTheme="minorEastAsia" w:eastAsiaTheme="minorEastAsia"/>
                <w:sz w:val="28"/>
                <w:szCs w:val="28"/>
              </w:rPr>
              <w:t>系统</w:t>
            </w:r>
          </w:p>
        </w:tc>
        <w:tc>
          <w:tcPr>
            <w:tcW w:w="2977"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FANUC 0i MF PLUS5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8"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21</w:t>
            </w:r>
          </w:p>
        </w:tc>
        <w:tc>
          <w:tcPr>
            <w:tcW w:w="4394"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通讯</w:t>
            </w:r>
            <w:r>
              <w:rPr>
                <w:rFonts w:asciiTheme="minorEastAsia" w:hAnsiTheme="minorEastAsia" w:eastAsiaTheme="minorEastAsia"/>
                <w:sz w:val="28"/>
                <w:szCs w:val="28"/>
              </w:rPr>
              <w:t>形式</w:t>
            </w:r>
          </w:p>
        </w:tc>
        <w:tc>
          <w:tcPr>
            <w:tcW w:w="2977"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以太网</w:t>
            </w:r>
          </w:p>
        </w:tc>
      </w:tr>
    </w:tbl>
    <w:p>
      <w:pPr>
        <w:rPr>
          <w:rFonts w:hint="eastAsia"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：蔡司</w:t>
      </w:r>
      <w:r>
        <w:rPr>
          <w:rFonts w:asciiTheme="minorEastAsia" w:hAnsiTheme="minorEastAsia" w:eastAsiaTheme="minorEastAsia"/>
          <w:sz w:val="28"/>
          <w:szCs w:val="28"/>
        </w:rPr>
        <w:t>三坐标测量机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 xml:space="preserve">测量范围 </w:t>
      </w:r>
      <w:r>
        <w:rPr>
          <w:rFonts w:hint="eastAsia" w:asciiTheme="minorEastAsia" w:hAnsiTheme="minorEastAsia" w:eastAsiaTheme="minorEastAsia"/>
          <w:sz w:val="28"/>
          <w:szCs w:val="28"/>
        </w:rPr>
        <w:t>4</w:t>
      </w:r>
      <w:r>
        <w:rPr>
          <w:rFonts w:asciiTheme="minorEastAsia" w:hAnsiTheme="minorEastAsia" w:eastAsiaTheme="minorEastAsia"/>
          <w:sz w:val="28"/>
          <w:szCs w:val="28"/>
        </w:rPr>
        <w:t>00×700×</w:t>
      </w:r>
      <w:r>
        <w:rPr>
          <w:rFonts w:hint="eastAsia" w:asciiTheme="minorEastAsia" w:hAnsiTheme="minorEastAsia" w:eastAsiaTheme="minorEastAsia"/>
          <w:sz w:val="28"/>
          <w:szCs w:val="28"/>
        </w:rPr>
        <w:t>4</w:t>
      </w:r>
      <w:r>
        <w:rPr>
          <w:rFonts w:asciiTheme="minorEastAsia" w:hAnsiTheme="minorEastAsia" w:eastAsiaTheme="minorEastAsia"/>
          <w:sz w:val="28"/>
          <w:szCs w:val="28"/>
        </w:rPr>
        <w:t>00 左右。</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其他检测设备</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常用的粗糙度仪、测高仪、手工检测量具等。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硬件技术平台</w:t>
      </w:r>
      <w:r>
        <w:rPr>
          <w:rFonts w:hint="eastAsia" w:asciiTheme="minorEastAsia" w:hAnsiTheme="minorEastAsia" w:eastAsiaTheme="minorEastAsia"/>
          <w:sz w:val="28"/>
          <w:szCs w:val="28"/>
        </w:rPr>
        <w:t>：</w:t>
      </w:r>
      <w:r>
        <w:rPr>
          <w:rFonts w:asciiTheme="minorEastAsia" w:hAnsiTheme="minorEastAsia" w:eastAsiaTheme="minorEastAsia"/>
          <w:sz w:val="28"/>
          <w:szCs w:val="28"/>
        </w:rPr>
        <w:t>计算机</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主流机型。</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软件技术平台</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赛场使用的CAD/CAM软件，由河北省装备制造职业教育集团委托赛项承办学校联系合作企业统一提供，赛场计算机预装正版软件。现场编程方式既可采用手工编程也可采用自动编程。</w:t>
      </w:r>
    </w:p>
    <w:p>
      <w:pPr>
        <w:jc w:val="center"/>
        <w:rPr>
          <w:rFonts w:hint="eastAsia" w:asciiTheme="minorEastAsia" w:hAnsiTheme="minorEastAsia" w:eastAsiaTheme="minorEastAsia"/>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77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序号</w:t>
            </w:r>
          </w:p>
        </w:tc>
        <w:tc>
          <w:tcPr>
            <w:tcW w:w="2770" w:type="dxa"/>
          </w:tcPr>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软件类型</w:t>
            </w:r>
          </w:p>
        </w:tc>
        <w:tc>
          <w:tcPr>
            <w:tcW w:w="5935" w:type="dxa"/>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软件名称与版本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770"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CAD软件</w:t>
            </w:r>
          </w:p>
        </w:tc>
        <w:tc>
          <w:tcPr>
            <w:tcW w:w="5935"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CAXA</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CAD</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电子图板</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770"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实体设计软件</w:t>
            </w:r>
          </w:p>
        </w:tc>
        <w:tc>
          <w:tcPr>
            <w:tcW w:w="5935" w:type="dxa"/>
          </w:tcPr>
          <w:p>
            <w:pPr>
              <w:rPr>
                <w:rFonts w:asciiTheme="minorEastAsia" w:hAnsiTheme="minorEastAsia" w:eastAsiaTheme="minorEastAsia"/>
                <w:sz w:val="28"/>
                <w:szCs w:val="28"/>
              </w:rPr>
            </w:pPr>
            <w:r>
              <w:rPr>
                <w:rFonts w:asciiTheme="minorEastAsia" w:hAnsiTheme="minorEastAsia" w:eastAsiaTheme="minorEastAsia"/>
                <w:sz w:val="28"/>
                <w:szCs w:val="28"/>
              </w:rPr>
              <w:t>CAXA</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3D</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实体设计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770"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车削类CAM软件</w:t>
            </w:r>
          </w:p>
        </w:tc>
        <w:tc>
          <w:tcPr>
            <w:tcW w:w="5935"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CAX</w:t>
            </w:r>
            <w:r>
              <w:rPr>
                <w:rFonts w:hint="eastAsia" w:asciiTheme="minorEastAsia" w:hAnsiTheme="minorEastAsia" w:eastAsiaTheme="minorEastAsia"/>
                <w:sz w:val="28"/>
                <w:szCs w:val="28"/>
              </w:rPr>
              <w:t xml:space="preserve">A </w:t>
            </w:r>
            <w:r>
              <w:rPr>
                <w:rFonts w:asciiTheme="minorEastAsia" w:hAnsiTheme="minorEastAsia" w:eastAsiaTheme="minorEastAsia"/>
                <w:sz w:val="28"/>
                <w:szCs w:val="28"/>
              </w:rPr>
              <w:t>CAM</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数控车</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770"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铣削类CAM软件</w:t>
            </w:r>
          </w:p>
        </w:tc>
        <w:tc>
          <w:tcPr>
            <w:tcW w:w="5935" w:type="dxa"/>
          </w:tcPr>
          <w:p>
            <w:pPr>
              <w:rPr>
                <w:rFonts w:hint="eastAsia" w:asciiTheme="minorEastAsia" w:hAnsiTheme="minorEastAsia" w:eastAsiaTheme="minorEastAsia"/>
                <w:sz w:val="28"/>
                <w:szCs w:val="28"/>
              </w:rPr>
            </w:pPr>
            <w:r>
              <w:rPr>
                <w:rFonts w:asciiTheme="minorEastAsia" w:hAnsiTheme="minorEastAsia" w:eastAsiaTheme="minorEastAsia"/>
                <w:sz w:val="28"/>
                <w:szCs w:val="28"/>
              </w:rPr>
              <w:t>CAXA</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CAM</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制造工程师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p>
        </w:tc>
      </w:tr>
    </w:tbl>
    <w:p>
      <w:pPr>
        <w:rPr>
          <w:rFonts w:asciiTheme="minorEastAsia" w:hAnsiTheme="minorEastAsia" w:eastAsiaTheme="minorEastAsia"/>
          <w:b/>
          <w:bCs/>
          <w:sz w:val="28"/>
          <w:szCs w:val="28"/>
        </w:rPr>
      </w:pPr>
    </w:p>
    <w:p>
      <w:pPr>
        <w:pStyle w:val="2"/>
        <w:spacing w:after="240"/>
        <w:rPr>
          <w:rFonts w:hint="eastAsia"/>
        </w:rPr>
      </w:pPr>
      <w:r>
        <w:rPr>
          <w:rFonts w:hint="eastAsia"/>
        </w:rPr>
        <w:t>八</w:t>
      </w:r>
      <w:r>
        <w:t>、奖项设置</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本赛项设团体一、二、三等奖。以实际参赛队总数为基数，一、二、三等奖获奖比例分别为 10%、20%、30%（小数点后四舍五入）。</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名次排序方法</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竞赛名次的排序根据参赛队最终成绩从高到低依次排定。</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参赛队最终成绩相同者，按组合赛件得分高者优先。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组合赛件得分再相同者，按批量赛件得分高者优先。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批量赛件得分再相同者，按职业素养得分高者优先。</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职业素养得分再相同者，由裁判长召开裁判会进行会评。</w:t>
      </w:r>
    </w:p>
    <w:p>
      <w:pPr>
        <w:pStyle w:val="2"/>
        <w:spacing w:after="240"/>
        <w:rPr>
          <w:rFonts w:hint="eastAsia"/>
        </w:rPr>
      </w:pPr>
      <w:r>
        <w:rPr>
          <w:rFonts w:hint="eastAsia"/>
        </w:rPr>
        <w:t>九</w:t>
      </w:r>
      <w:r>
        <w:t>、赛项预案</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应急处理</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比赛期间发生意外事故，发现者应第一时间报告赛项执委会，同时采取措施，避免事态扩大。赛项执委会应立即启动预案予以解决并向赛区执委会报告。出现安全事故，首先追究赛项相关责任人的责任。</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赛题安全预案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在赛项执委会的领导下，成立专家组长、裁判长和监督仲裁组长组成的赛题安全应急处理小组，快速有效处理赛题事故。</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赛题安全事故处理流程：</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出现由于赛题易产生安全事故，发现者应第一时间报告赛项执委会，同时采取措施，避免事态扩大。</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赛项执委会向赛区执委会报告情况，同时召集赛题安全应急处理小组，尽快仔细分析问题，提出解决方案或启用备用赛题，上报赛项执委会批准。</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赛项执委会批准后，通知裁判长和相关工作人员执行。</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事后，向赛区执委会报告详细情况。</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设备安全预案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在赛项执委会的领导下，成立专家组长、裁判长、监督仲裁组长和技术支持组成的设备安全应急处理小组，以便快速有效处理竞赛中设备设施出现的重大问题。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设备安全事故处理流程：</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比赛中出现设备安全故障（如设备不能正常运行、设备</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安全事故、停气停电、火灾等），发现者应第一时间报告裁判长，同时采取措施，避免事态扩大。</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裁判长会同裁判员和技术支持分析设备故障原因，并及时排除故障隐患，使比赛尽快正常进行。</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设备故障若是选手个人因素造成的，不予延时，情节特别严重者，由裁判组视具体情况做出处理决定；设备故障若是非选手个人因素造成的，由裁判组视具体情况做出延时处理，并由裁判长上报赛项执委会。</w:t>
      </w: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4.</w:t>
      </w:r>
      <w:r>
        <w:rPr>
          <w:rFonts w:asciiTheme="minorEastAsia" w:hAnsiTheme="minorEastAsia" w:eastAsiaTheme="minorEastAsia"/>
          <w:b/>
          <w:bCs/>
          <w:sz w:val="28"/>
          <w:szCs w:val="28"/>
        </w:rPr>
        <w:t>人身安全预案</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在赛项执委会的领导下，成立专家组长、裁判长、监督仲裁组长和承办校组成的人身安全应急处理小组，以便快速有效处理竞赛期间出现的人身安全问题。</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人身安全问题处理流程</w:t>
      </w:r>
      <w:r>
        <w:rPr>
          <w:rFonts w:hint="eastAsia" w:asciiTheme="minorEastAsia" w:hAnsiTheme="minorEastAsia" w:eastAsiaTheme="minorEastAsia"/>
          <w:sz w:val="28"/>
          <w:szCs w:val="28"/>
        </w:rPr>
        <w:t>：</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比赛期间出现人身安全问题，发现者应第一时间救助伤员，同时采取措施，避免事态扩大，并报告赛项执委会。</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赛项执委会尽快妥善救助伤员，并向赛区执委会报告情况。</w:t>
      </w:r>
    </w:p>
    <w:p>
      <w:pPr>
        <w:pStyle w:val="11"/>
        <w:numPr>
          <w:ilvl w:val="0"/>
          <w:numId w:val="1"/>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赛项执委会召集人身安全应急处理小组，仔细分析问题，提出解决方案，上报赛项执委会批准。事后，向赛区执委会报告详细情况。</w:t>
      </w:r>
    </w:p>
    <w:p>
      <w:pPr>
        <w:pStyle w:val="2"/>
        <w:spacing w:after="240"/>
        <w:rPr>
          <w:rFonts w:hint="eastAsia"/>
        </w:rPr>
      </w:pPr>
      <w:r>
        <w:t>十、竞赛须知</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asciiTheme="minorEastAsia" w:hAnsiTheme="minorEastAsia" w:eastAsiaTheme="minorEastAsia"/>
          <w:b/>
          <w:bCs/>
          <w:sz w:val="28"/>
          <w:szCs w:val="28"/>
        </w:rPr>
        <w:t>参赛选手须知</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参赛选手应严格遵守竞赛规则和竞赛纪律，服从裁判员和工作人员的指挥，自觉维护赛场秩序，不得因申诉或对处理意见不服而停止比赛，否则以弃权处理。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参赛选手在赛前熟悉机床和竞赛时间内，应该严格遵守所用设备的工艺守则和安全操作规程，杜绝出现安全事故。</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参赛选手不得将通讯工具、任何技术资料、工具书、自编电子或文字资料、笔记本电脑、通讯工具、摄像工具以及其他即插即用的硬件设备带入比赛现场，否则取消选手比赛资格。</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参赛选手应严格按竞赛流程进行比赛。</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参赛教师选手必须持本人身份证、参赛证，学生选手必须持本人学生证、身份证、参赛证，按比赛规定的时间，到指定的场地参赛。</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竞赛时间为固定连续</w:t>
      </w:r>
      <w:r>
        <w:rPr>
          <w:rFonts w:hint="eastAsia" w:asciiTheme="minorEastAsia" w:hAnsiTheme="minorEastAsia" w:eastAsiaTheme="minorEastAsia"/>
          <w:sz w:val="28"/>
          <w:szCs w:val="28"/>
        </w:rPr>
        <w:t>5</w:t>
      </w:r>
      <w:r>
        <w:rPr>
          <w:rFonts w:asciiTheme="minorEastAsia" w:hAnsiTheme="minorEastAsia" w:eastAsiaTheme="minorEastAsia"/>
          <w:sz w:val="28"/>
          <w:szCs w:val="28"/>
        </w:rPr>
        <w:t>小时，参赛选手按照裁判长指令开始、结束比赛</w:t>
      </w:r>
      <w:r>
        <w:rPr>
          <w:rFonts w:hint="eastAsia" w:asciiTheme="minorEastAsia" w:hAnsiTheme="minorEastAsia" w:eastAsiaTheme="minorEastAsia"/>
          <w:sz w:val="28"/>
          <w:szCs w:val="28"/>
        </w:rPr>
        <w:t>。</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参赛选手须按时到赛场等候检录、抽签进入赛场，并按照指定赛位号参加比赛。迟到 15 分钟者，不得参加比赛。已检录入场的参赛选手未经允许，不得擅自离开。</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参赛选手进入比赛赛位，进行赛前准备，检查并确认赛位设施是否正常，并签字确认。</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裁判长宣布比赛开始，参赛选手才能进行切削加工。</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现场不允许选手自带 U 盘，选手必须将全部数据文件存储至计算机指定盘符下，不按要求存储数据，导致数据丢失者，责任自负。</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赛位的每台数控机床配备一台计算机，供参赛队使用（都可进行通讯、编程和绘图）。在每场竞赛结束后，参赛队存储在计算机内的竞赛数据文件将被清除。</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参赛选手在比赛过程中不得擅自离开赛场，如有特殊情况，需经裁判长同意后，特殊处理。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参赛选手在比赛过程中，如遇问题，需举手向裁判员提问。不同参赛队选手之间不得发生任何交流，否则，按作弊处理。</w:t>
      </w:r>
    </w:p>
    <w:p>
      <w:pPr>
        <w:pStyle w:val="11"/>
        <w:numPr>
          <w:ilvl w:val="0"/>
          <w:numId w:val="2"/>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参赛选手在竞赛期间未经执委会的批准，不得接受其他单位和个人进行的与竞赛内容相关的采访；参赛选手不得私自公开比赛相关资料。</w:t>
      </w:r>
    </w:p>
    <w:p>
      <w:pPr>
        <w:ind w:firstLine="562" w:firstLineChars="200"/>
        <w:rPr>
          <w:rFonts w:asciiTheme="minorEastAsia" w:hAnsiTheme="minorEastAsia" w:eastAsiaTheme="minorEastAsia"/>
          <w:b/>
          <w:bCs/>
          <w:sz w:val="28"/>
          <w:szCs w:val="28"/>
        </w:rPr>
      </w:pP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2.</w:t>
      </w:r>
      <w:r>
        <w:rPr>
          <w:rFonts w:asciiTheme="minorEastAsia" w:hAnsiTheme="minorEastAsia" w:eastAsiaTheme="minorEastAsia"/>
          <w:b/>
          <w:bCs/>
          <w:sz w:val="28"/>
          <w:szCs w:val="28"/>
        </w:rPr>
        <w:t>工作人员须知</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工作人员必须服从赛项执委会统一指挥，佩戴工作人员标识，认真履行职责，做好竞赛服务工作。</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工作人员按照分工准时上岗，不得擅自离岗，应认真履行各自的工作职责，保证竞赛工作的顺利进行。</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工作人员应在规定的区域内工作，未经许可，不得擅自进入竞赛场地。如需进场，需经过裁判长同意，核准证件，有裁判跟随入场。</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如遇突发事件，须及时向裁判员报告，同时做好疏导工作，避免重大事故发生。</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竞赛期间，工作人员不得干涉及个人工作职责之外的事宜，</w:t>
      </w:r>
    </w:p>
    <w:p>
      <w:pPr>
        <w:pStyle w:val="11"/>
        <w:numPr>
          <w:ilvl w:val="0"/>
          <w:numId w:val="3"/>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不得利用工作之便，弄虚作假、徇私舞弊。如有上述现象或因工作不负责任的情况，造成竞赛程序无法继续进行，由赛项执委会视情节轻重，给予通报批评或停止工作，并通知其所在单位做出相应处理。</w:t>
      </w:r>
    </w:p>
    <w:p>
      <w:pPr>
        <w:ind w:firstLine="562" w:firstLineChars="20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asciiTheme="minorEastAsia" w:hAnsiTheme="minorEastAsia" w:eastAsiaTheme="minorEastAsia"/>
          <w:b/>
          <w:bCs/>
          <w:sz w:val="28"/>
          <w:szCs w:val="28"/>
        </w:rPr>
        <w:t>裁判员须知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裁判员执裁期间，统一着装并佩戴裁判员标识，举止文明礼貌，接受参赛人员的监督。</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严守竞赛纪律，执行竞赛规则，服从赛项执委会和裁判长的领导。按照分工开展工作，始终坚守工作岗位，不得擅自离岗。</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裁判员的工作分为检录裁判、现场执裁、加密裁判、检测裁判、检测监督裁判、数据录入裁判等。</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裁判员在工作期间严禁私自使用各种器材进行摄像或照相。</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现场执裁的裁判员负责检查选手携带的物品，违规物品一律清出赛场，比赛结束后裁判员要命令选手停止加工。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比赛中所有裁判员不得影响选手正常竞赛。</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严格执行赛场纪律，不得向参赛选手暗示或解答与竞赛有关的内容。及时制止选手的违纪行为。对裁判工作中有争议的技术问题、突发事件要及时处理、妥善解决，并及时向裁判长汇报。</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要提醒选手注意操作安全，对于选手的违规操作或有可能引发人生伤害、设备损坏等事故的行为，应立即制止并向现场负责人报告。</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严格执行竞赛项目评分标准，做到公平、公正、真实、准确，杜绝随意打分；严禁利用工作之便，弄虚作假、徇私舞弊。</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严格遵守保密纪律。裁判员不得私自与参赛选手或代表队联系，不得透露竞赛的有关情况。</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裁判员必须参加赛前培训，否则取消竞赛裁判资格。</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竞赛过程中如出现问题或异议，服从裁判长的裁决。</w:t>
      </w:r>
    </w:p>
    <w:p>
      <w:pPr>
        <w:pStyle w:val="11"/>
        <w:numPr>
          <w:ilvl w:val="0"/>
          <w:numId w:val="4"/>
        </w:numPr>
        <w:ind w:left="0"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竞赛期间，因裁判人员工作不负责任，造成竞赛程序无法继续进行或评判结果不真实的情况，由赛项执委会视情节轻重，给予通报批评或停止裁判资格，并通知其所在单位做出相应处理。</w:t>
      </w:r>
    </w:p>
    <w:p>
      <w:pPr>
        <w:pStyle w:val="2"/>
        <w:spacing w:after="240"/>
        <w:rPr>
          <w:rFonts w:hint="eastAsia"/>
        </w:rPr>
      </w:pPr>
      <w:r>
        <w:t>十五、申诉与仲裁</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参赛队对不符合竞赛规定的软硬件设备，有失公正的评判，以及对工作人员的违规行为等，均可提出申诉；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申诉时，应递交由参赛队领队亲笔签字同意的书面报告，报告应对申诉事件的现象、发生的时间、涉及的人员、申诉依据与理由等进行充分、实事求是的叙述。事实依据不充分、仅凭主观臆断的申诉不予受理；</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申诉时效：竞赛结束后</w:t>
      </w:r>
      <w:r>
        <w:rPr>
          <w:rFonts w:asciiTheme="minorEastAsia" w:hAnsiTheme="minorEastAsia" w:eastAsiaTheme="minorEastAsia"/>
          <w:sz w:val="28"/>
          <w:szCs w:val="28"/>
        </w:rPr>
        <w:t>1</w:t>
      </w:r>
      <w:r>
        <w:rPr>
          <w:rFonts w:hint="eastAsia" w:asciiTheme="minorEastAsia" w:hAnsiTheme="minorEastAsia" w:eastAsiaTheme="minorEastAsia"/>
          <w:sz w:val="28"/>
          <w:szCs w:val="28"/>
        </w:rPr>
        <w:t>小时内提出，超过时效将不予受理申诉；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申诉处理：赛场专设仲裁工作组受理申诉，收到申诉报告之后，根据申诉事由进行审查，</w:t>
      </w:r>
      <w:r>
        <w:rPr>
          <w:rFonts w:asciiTheme="minorEastAsia" w:hAnsiTheme="minorEastAsia" w:eastAsiaTheme="minorEastAsia"/>
          <w:sz w:val="28"/>
          <w:szCs w:val="28"/>
        </w:rPr>
        <w:t>3</w:t>
      </w:r>
      <w:r>
        <w:rPr>
          <w:rFonts w:hint="eastAsia" w:asciiTheme="minorEastAsia" w:hAnsiTheme="minorEastAsia" w:eastAsiaTheme="minorEastAsia"/>
          <w:sz w:val="28"/>
          <w:szCs w:val="28"/>
        </w:rPr>
        <w:t>小时内书面通知申诉方，告知申诉处理结果；</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申诉人不得无故拒不接受处理结果，不允许采取过激行为刁难、攻击工作人员，否则视为放弃申诉。</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2.仲裁</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组委会下设仲裁工作组，负责受理竞赛中出现的所有申诉并进行仲裁，以保证竞赛的顺利进行和竞赛结果公平、公正；</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仲裁工作组的裁决为最终裁决，参赛队不得因申诉或对处理意见不服而停止比赛或滋事，否则按弃权处理。</w:t>
      </w:r>
    </w:p>
    <w:p>
      <w:pPr>
        <w:pStyle w:val="2"/>
        <w:spacing w:after="240"/>
        <w:rPr>
          <w:rFonts w:hint="eastAsia"/>
        </w:rPr>
      </w:pPr>
      <w:r>
        <w:rPr>
          <w:rFonts w:hint="eastAsia"/>
        </w:rPr>
        <w:t>十六、其他参赛须知</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1.参赛院校请于</w:t>
      </w:r>
      <w:r>
        <w:rPr>
          <w:rFonts w:asciiTheme="minorEastAsia" w:hAnsiTheme="minorEastAsia" w:eastAsiaTheme="minorEastAsia"/>
          <w:sz w:val="28"/>
          <w:szCs w:val="28"/>
        </w:rPr>
        <w:t>202</w:t>
      </w:r>
      <w:r>
        <w:rPr>
          <w:rFonts w:hint="eastAsia" w:asciiTheme="minorEastAsia" w:hAnsiTheme="minorEastAsia" w:eastAsiaTheme="minorEastAsia"/>
          <w:sz w:val="28"/>
          <w:szCs w:val="28"/>
        </w:rPr>
        <w:t>4年11月25日</w:t>
      </w:r>
      <w:r>
        <w:rPr>
          <w:rFonts w:asciiTheme="minorEastAsia" w:hAnsiTheme="minorEastAsia" w:eastAsiaTheme="minorEastAsia"/>
          <w:sz w:val="28"/>
          <w:szCs w:val="28"/>
        </w:rPr>
        <w:t>17:</w:t>
      </w:r>
      <w:r>
        <w:rPr>
          <w:rFonts w:hint="eastAsia" w:asciiTheme="minorEastAsia" w:hAnsiTheme="minorEastAsia" w:eastAsiaTheme="minorEastAsia"/>
          <w:sz w:val="28"/>
          <w:szCs w:val="28"/>
        </w:rPr>
        <w:t>30时前登录</w:t>
      </w:r>
      <w:r>
        <w:rPr>
          <w:rFonts w:asciiTheme="minorEastAsia" w:hAnsiTheme="minorEastAsia" w:eastAsiaTheme="minorEastAsia"/>
          <w:sz w:val="28"/>
          <w:szCs w:val="28"/>
        </w:rPr>
        <w:t>“</w:t>
      </w:r>
      <w:r>
        <w:rPr>
          <w:rFonts w:hint="eastAsia" w:asciiTheme="minorEastAsia" w:hAnsiTheme="minorEastAsia" w:eastAsiaTheme="minorEastAsia"/>
          <w:sz w:val="28"/>
          <w:szCs w:val="28"/>
        </w:rPr>
        <w:t>河北省职业院校技能大赛</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http://hbszjs.hebtu.edu.cn/jnds/</w:t>
      </w:r>
      <w:r>
        <w:rPr>
          <w:rFonts w:hint="eastAsia" w:asciiTheme="minorEastAsia" w:hAnsiTheme="minorEastAsia" w:eastAsiaTheme="minorEastAsia"/>
          <w:sz w:val="28"/>
          <w:szCs w:val="28"/>
        </w:rPr>
        <w:t>）进行网上报名，填报</w:t>
      </w:r>
      <w:r>
        <w:rPr>
          <w:rFonts w:hint="eastAsia" w:asciiTheme="minorEastAsia" w:hAnsiTheme="minorEastAsia" w:eastAsiaTheme="minorEastAsia"/>
          <w:sz w:val="28"/>
          <w:szCs w:val="28"/>
          <w:lang w:val="en-US" w:eastAsia="zh-CN"/>
        </w:rPr>
        <w:t>选手</w:t>
      </w:r>
      <w:r>
        <w:rPr>
          <w:rFonts w:hint="eastAsia" w:asciiTheme="minorEastAsia" w:hAnsiTheme="minorEastAsia" w:eastAsiaTheme="minorEastAsia"/>
          <w:sz w:val="28"/>
          <w:szCs w:val="28"/>
        </w:rPr>
        <w:t>参赛信息。</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同时参赛院校将学生参赛基本信息回执表和选手电子照片表服装统计表发至505720757@qq.com邮箱。各队须认真核实好参赛选手姓名（必须与本人身份证一致）。信息一经上报，不得更改。如因学校上报信息不准，学校自行承担其带来的一切后果。</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各参赛队组成后，须重视相关安全管理，落实安全责任制，确定安全责任人，加强对参赛人员的安全管理及教育，并与赛场安全管理对接，确保参赛期间参赛人员的人身财产安全。各组队单位组织参赛队时，须为参赛选手购买大赛期间的人身意外伤害保险。</w:t>
      </w:r>
    </w:p>
    <w:sectPr>
      <w:pgSz w:w="11910" w:h="16840"/>
      <w:pgMar w:top="1460" w:right="1020" w:bottom="1400" w:left="1300" w:header="0" w:footer="12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firstLine="0"/>
      <w:rPr>
        <w:rFonts w:hint="eastAsia"/>
        <w:sz w:val="20"/>
      </w:rPr>
    </w:pPr>
    <w:r>
      <mc:AlternateContent>
        <mc:Choice Requires="wps">
          <w:drawing>
            <wp:anchor distT="0" distB="0" distL="0" distR="0" simplePos="0" relativeHeight="251659264" behindDoc="1" locked="0" layoutInCell="1" allowOverlap="1">
              <wp:simplePos x="0" y="0"/>
              <wp:positionH relativeFrom="page">
                <wp:posOffset>3681730</wp:posOffset>
              </wp:positionH>
              <wp:positionV relativeFrom="page">
                <wp:posOffset>9780270</wp:posOffset>
              </wp:positionV>
              <wp:extent cx="268605" cy="22352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605" cy="223520"/>
                      </a:xfrm>
                      <a:prstGeom prst="rect">
                        <a:avLst/>
                      </a:prstGeom>
                    </wps:spPr>
                    <wps:txbx>
                      <w:txbxContent>
                        <w:p>
                          <w:pPr>
                            <w:pStyle w:val="4"/>
                            <w:spacing w:before="9"/>
                            <w:ind w:left="60" w:firstLine="0"/>
                            <w:rPr>
                              <w:rFonts w:hint="eastAsia"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289.9pt;margin-top:770.1pt;height:17.6pt;width:21.15pt;mso-position-horizontal-relative:page;mso-position-vertical-relative:page;z-index:-251657216;mso-width-relative:page;mso-height-relative:page;" filled="f" stroked="f" coordsize="21600,21600" o:gfxdata="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6ZjjbAAAADQEAAA8AAAAAAAAAAQAgAAAAIgAAAGRycy9kb3ducmV2LnhtbFBLAQIUABQAAAAI&#10;AIdO4kDgPZOMsQEAAHMDAAAOAAAAAAAAAAEAIAAAACoBAABkcnMvZTJvRG9jLnhtbFBLBQYAAAAA&#10;BgAGAFkBAABNBQAAAAA=&#10;">
              <v:fill on="f" focussize="0,0"/>
              <v:stroke on="f"/>
              <v:imagedata o:title=""/>
              <o:lock v:ext="edit" aspectratio="f"/>
              <v:textbox inset="0mm,0mm,0mm,0mm">
                <w:txbxContent>
                  <w:p>
                    <w:pPr>
                      <w:pStyle w:val="4"/>
                      <w:spacing w:before="9"/>
                      <w:ind w:left="60" w:firstLine="0"/>
                      <w:rPr>
                        <w:rFonts w:hint="eastAsia"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2AA9"/>
    <w:multiLevelType w:val="multilevel"/>
    <w:tmpl w:val="418B2AA9"/>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67C83F84"/>
    <w:multiLevelType w:val="multilevel"/>
    <w:tmpl w:val="67C83F8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BD8549C"/>
    <w:multiLevelType w:val="multilevel"/>
    <w:tmpl w:val="7BD8549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CF2197C"/>
    <w:multiLevelType w:val="multilevel"/>
    <w:tmpl w:val="7CF2197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zA3MzQ2OGQ4ZmViMmRjNDc5ZGQ5MGZlNjM4ODUzNzkifQ=="/>
  </w:docVars>
  <w:rsids>
    <w:rsidRoot w:val="006B5520"/>
    <w:rsid w:val="00133FF4"/>
    <w:rsid w:val="00276E33"/>
    <w:rsid w:val="004C7ACB"/>
    <w:rsid w:val="00557D96"/>
    <w:rsid w:val="005B668B"/>
    <w:rsid w:val="00612345"/>
    <w:rsid w:val="00626D8A"/>
    <w:rsid w:val="006B5520"/>
    <w:rsid w:val="00806F37"/>
    <w:rsid w:val="00820ABE"/>
    <w:rsid w:val="00D2193D"/>
    <w:rsid w:val="00F75BC7"/>
    <w:rsid w:val="00FB705C"/>
    <w:rsid w:val="01483505"/>
    <w:rsid w:val="015252BD"/>
    <w:rsid w:val="01793E33"/>
    <w:rsid w:val="01910A08"/>
    <w:rsid w:val="020236B3"/>
    <w:rsid w:val="031C07A5"/>
    <w:rsid w:val="03B95FF4"/>
    <w:rsid w:val="045C354F"/>
    <w:rsid w:val="04706FFA"/>
    <w:rsid w:val="04974587"/>
    <w:rsid w:val="049D3B67"/>
    <w:rsid w:val="056C652A"/>
    <w:rsid w:val="05760640"/>
    <w:rsid w:val="05BC1DCB"/>
    <w:rsid w:val="06257970"/>
    <w:rsid w:val="06DC2725"/>
    <w:rsid w:val="06E93094"/>
    <w:rsid w:val="07140111"/>
    <w:rsid w:val="07261BF2"/>
    <w:rsid w:val="0797489E"/>
    <w:rsid w:val="079B438E"/>
    <w:rsid w:val="07A174CB"/>
    <w:rsid w:val="07AA2823"/>
    <w:rsid w:val="08762705"/>
    <w:rsid w:val="09774987"/>
    <w:rsid w:val="0A20501F"/>
    <w:rsid w:val="0A5D3B7D"/>
    <w:rsid w:val="0A5F5B47"/>
    <w:rsid w:val="0A636CB9"/>
    <w:rsid w:val="0A981059"/>
    <w:rsid w:val="0AA23C86"/>
    <w:rsid w:val="0AAB0D8C"/>
    <w:rsid w:val="0BAA1044"/>
    <w:rsid w:val="0C4D5E73"/>
    <w:rsid w:val="0C6C4778"/>
    <w:rsid w:val="0C7812DD"/>
    <w:rsid w:val="0F136F00"/>
    <w:rsid w:val="0F490B74"/>
    <w:rsid w:val="100E2026"/>
    <w:rsid w:val="10260EB5"/>
    <w:rsid w:val="108856CC"/>
    <w:rsid w:val="10BA738D"/>
    <w:rsid w:val="111F7DDE"/>
    <w:rsid w:val="115F642C"/>
    <w:rsid w:val="11B06C88"/>
    <w:rsid w:val="11F56D91"/>
    <w:rsid w:val="122A4C8C"/>
    <w:rsid w:val="12394ECF"/>
    <w:rsid w:val="123E5570"/>
    <w:rsid w:val="12972A13"/>
    <w:rsid w:val="12E806A4"/>
    <w:rsid w:val="12F232D0"/>
    <w:rsid w:val="12FD414F"/>
    <w:rsid w:val="13435D4B"/>
    <w:rsid w:val="13A520F1"/>
    <w:rsid w:val="13BB7B66"/>
    <w:rsid w:val="14101C60"/>
    <w:rsid w:val="14237BE5"/>
    <w:rsid w:val="14441F97"/>
    <w:rsid w:val="144B2C98"/>
    <w:rsid w:val="15016630"/>
    <w:rsid w:val="15A84347"/>
    <w:rsid w:val="15D53161"/>
    <w:rsid w:val="1602382A"/>
    <w:rsid w:val="16585B40"/>
    <w:rsid w:val="165A18B8"/>
    <w:rsid w:val="16D451C7"/>
    <w:rsid w:val="17A27073"/>
    <w:rsid w:val="183D63F9"/>
    <w:rsid w:val="185A19BE"/>
    <w:rsid w:val="18D55226"/>
    <w:rsid w:val="19865727"/>
    <w:rsid w:val="1AF20311"/>
    <w:rsid w:val="1B245FF1"/>
    <w:rsid w:val="1B2D759B"/>
    <w:rsid w:val="1CC72BE9"/>
    <w:rsid w:val="1D0E51AB"/>
    <w:rsid w:val="1DFE6FCD"/>
    <w:rsid w:val="1E7948A6"/>
    <w:rsid w:val="1ECD6373"/>
    <w:rsid w:val="1F394761"/>
    <w:rsid w:val="1FA6142B"/>
    <w:rsid w:val="1FC55FF4"/>
    <w:rsid w:val="2011123A"/>
    <w:rsid w:val="20140D2A"/>
    <w:rsid w:val="20B47E17"/>
    <w:rsid w:val="21823A71"/>
    <w:rsid w:val="21AF0D0A"/>
    <w:rsid w:val="220E1B24"/>
    <w:rsid w:val="22237002"/>
    <w:rsid w:val="2277734E"/>
    <w:rsid w:val="22833F45"/>
    <w:rsid w:val="23011F1F"/>
    <w:rsid w:val="23B720F8"/>
    <w:rsid w:val="23C465C3"/>
    <w:rsid w:val="23D26F32"/>
    <w:rsid w:val="24C176AF"/>
    <w:rsid w:val="26467763"/>
    <w:rsid w:val="27225ADA"/>
    <w:rsid w:val="273B4DEE"/>
    <w:rsid w:val="27794903"/>
    <w:rsid w:val="27F84FA1"/>
    <w:rsid w:val="280671AA"/>
    <w:rsid w:val="28812CD5"/>
    <w:rsid w:val="2A49783A"/>
    <w:rsid w:val="2AC82E3D"/>
    <w:rsid w:val="2ACB46DB"/>
    <w:rsid w:val="2AF27EBA"/>
    <w:rsid w:val="2B0D4CF3"/>
    <w:rsid w:val="2B762899"/>
    <w:rsid w:val="2BD650E5"/>
    <w:rsid w:val="2BF10171"/>
    <w:rsid w:val="2E026666"/>
    <w:rsid w:val="2ED2428A"/>
    <w:rsid w:val="2F1C3757"/>
    <w:rsid w:val="2F6A44C2"/>
    <w:rsid w:val="2FAD0853"/>
    <w:rsid w:val="300E1E42"/>
    <w:rsid w:val="3034420D"/>
    <w:rsid w:val="318178A1"/>
    <w:rsid w:val="31CB1F78"/>
    <w:rsid w:val="31CD0D39"/>
    <w:rsid w:val="32292413"/>
    <w:rsid w:val="3234700A"/>
    <w:rsid w:val="326351F9"/>
    <w:rsid w:val="32A66963"/>
    <w:rsid w:val="32BF68D3"/>
    <w:rsid w:val="332350B4"/>
    <w:rsid w:val="33435756"/>
    <w:rsid w:val="339A6CF7"/>
    <w:rsid w:val="33C341A1"/>
    <w:rsid w:val="34142C4F"/>
    <w:rsid w:val="347A51A8"/>
    <w:rsid w:val="35E4703F"/>
    <w:rsid w:val="376C68FE"/>
    <w:rsid w:val="37964902"/>
    <w:rsid w:val="37991DE9"/>
    <w:rsid w:val="38855EC9"/>
    <w:rsid w:val="394E6C03"/>
    <w:rsid w:val="3A414072"/>
    <w:rsid w:val="3A4678DA"/>
    <w:rsid w:val="3A850402"/>
    <w:rsid w:val="3AAC3BE1"/>
    <w:rsid w:val="3AB270E7"/>
    <w:rsid w:val="3AF15A98"/>
    <w:rsid w:val="3B1B0D67"/>
    <w:rsid w:val="3B4200A1"/>
    <w:rsid w:val="3B4E4C98"/>
    <w:rsid w:val="3B7566C9"/>
    <w:rsid w:val="3C0417FB"/>
    <w:rsid w:val="3C320116"/>
    <w:rsid w:val="3C6606D5"/>
    <w:rsid w:val="3CA60CB9"/>
    <w:rsid w:val="3D187D36"/>
    <w:rsid w:val="3D85696B"/>
    <w:rsid w:val="400F0959"/>
    <w:rsid w:val="401A3D7F"/>
    <w:rsid w:val="409937B5"/>
    <w:rsid w:val="40AB493B"/>
    <w:rsid w:val="41654AEA"/>
    <w:rsid w:val="417B255F"/>
    <w:rsid w:val="43086074"/>
    <w:rsid w:val="43413334"/>
    <w:rsid w:val="435979DC"/>
    <w:rsid w:val="442073EE"/>
    <w:rsid w:val="457479F1"/>
    <w:rsid w:val="459E4A6E"/>
    <w:rsid w:val="45F7724C"/>
    <w:rsid w:val="4655072D"/>
    <w:rsid w:val="46AE1659"/>
    <w:rsid w:val="46B300A5"/>
    <w:rsid w:val="46C16C66"/>
    <w:rsid w:val="47490A0A"/>
    <w:rsid w:val="47881532"/>
    <w:rsid w:val="47AD2D46"/>
    <w:rsid w:val="47E0136E"/>
    <w:rsid w:val="48376AB4"/>
    <w:rsid w:val="48483C8C"/>
    <w:rsid w:val="484D62D8"/>
    <w:rsid w:val="48561630"/>
    <w:rsid w:val="48CB5B7A"/>
    <w:rsid w:val="49801B7F"/>
    <w:rsid w:val="49F17862"/>
    <w:rsid w:val="4A534079"/>
    <w:rsid w:val="4AB12B4E"/>
    <w:rsid w:val="4AB915D4"/>
    <w:rsid w:val="4ACC3E2B"/>
    <w:rsid w:val="4BF4363A"/>
    <w:rsid w:val="4C1E4213"/>
    <w:rsid w:val="4CB6269D"/>
    <w:rsid w:val="4D2E492A"/>
    <w:rsid w:val="4D64659D"/>
    <w:rsid w:val="4D870A99"/>
    <w:rsid w:val="4D926C66"/>
    <w:rsid w:val="4DAB41CC"/>
    <w:rsid w:val="4DED6593"/>
    <w:rsid w:val="4EC512BE"/>
    <w:rsid w:val="4EEF1E97"/>
    <w:rsid w:val="4EF15C0F"/>
    <w:rsid w:val="4F247D92"/>
    <w:rsid w:val="4F2C6C47"/>
    <w:rsid w:val="4F3B1580"/>
    <w:rsid w:val="4F90367A"/>
    <w:rsid w:val="4FDE2637"/>
    <w:rsid w:val="505C7A00"/>
    <w:rsid w:val="509B0528"/>
    <w:rsid w:val="50A62A29"/>
    <w:rsid w:val="51C545D5"/>
    <w:rsid w:val="542D593B"/>
    <w:rsid w:val="545F7ABE"/>
    <w:rsid w:val="55540CA5"/>
    <w:rsid w:val="55545149"/>
    <w:rsid w:val="568A7075"/>
    <w:rsid w:val="56AF0889"/>
    <w:rsid w:val="56F72230"/>
    <w:rsid w:val="5774562F"/>
    <w:rsid w:val="57B63E99"/>
    <w:rsid w:val="580E7831"/>
    <w:rsid w:val="588E44CE"/>
    <w:rsid w:val="59284923"/>
    <w:rsid w:val="592F7A5F"/>
    <w:rsid w:val="59BB7545"/>
    <w:rsid w:val="59BE4EEC"/>
    <w:rsid w:val="59BE5287"/>
    <w:rsid w:val="59E92304"/>
    <w:rsid w:val="59F40CA9"/>
    <w:rsid w:val="5B040FBA"/>
    <w:rsid w:val="5B3F5F54"/>
    <w:rsid w:val="5CD31049"/>
    <w:rsid w:val="5D237923"/>
    <w:rsid w:val="5D550EF4"/>
    <w:rsid w:val="5DD62B9F"/>
    <w:rsid w:val="5E1C257C"/>
    <w:rsid w:val="5EF07C91"/>
    <w:rsid w:val="5FB94527"/>
    <w:rsid w:val="603D6F06"/>
    <w:rsid w:val="60D64C64"/>
    <w:rsid w:val="61273712"/>
    <w:rsid w:val="612B1454"/>
    <w:rsid w:val="614D13CA"/>
    <w:rsid w:val="62F12229"/>
    <w:rsid w:val="62FB30A8"/>
    <w:rsid w:val="63901A42"/>
    <w:rsid w:val="64F25C0B"/>
    <w:rsid w:val="65847385"/>
    <w:rsid w:val="65C17A41"/>
    <w:rsid w:val="66A870A3"/>
    <w:rsid w:val="66CB628D"/>
    <w:rsid w:val="66EA2A58"/>
    <w:rsid w:val="683E7CBF"/>
    <w:rsid w:val="6888718C"/>
    <w:rsid w:val="689C2C37"/>
    <w:rsid w:val="690507DD"/>
    <w:rsid w:val="69210439"/>
    <w:rsid w:val="69E1128B"/>
    <w:rsid w:val="69F30635"/>
    <w:rsid w:val="6A890F99"/>
    <w:rsid w:val="6C847210"/>
    <w:rsid w:val="6C8534C1"/>
    <w:rsid w:val="6D4C69DA"/>
    <w:rsid w:val="6D8D0DA1"/>
    <w:rsid w:val="6E9C129B"/>
    <w:rsid w:val="6EB365E5"/>
    <w:rsid w:val="6EE844E0"/>
    <w:rsid w:val="708E73B5"/>
    <w:rsid w:val="70B054D2"/>
    <w:rsid w:val="717B5AE0"/>
    <w:rsid w:val="718030F6"/>
    <w:rsid w:val="719200E4"/>
    <w:rsid w:val="71A30B93"/>
    <w:rsid w:val="724759C2"/>
    <w:rsid w:val="73104006"/>
    <w:rsid w:val="73306456"/>
    <w:rsid w:val="733C129F"/>
    <w:rsid w:val="737E18B7"/>
    <w:rsid w:val="741144D9"/>
    <w:rsid w:val="747D1B6F"/>
    <w:rsid w:val="748F137D"/>
    <w:rsid w:val="753A7352"/>
    <w:rsid w:val="75F45E61"/>
    <w:rsid w:val="76911902"/>
    <w:rsid w:val="77416E84"/>
    <w:rsid w:val="784F7924"/>
    <w:rsid w:val="785726D7"/>
    <w:rsid w:val="7AD87AFF"/>
    <w:rsid w:val="7BBD2838"/>
    <w:rsid w:val="7BE95D3C"/>
    <w:rsid w:val="7C3A0345"/>
    <w:rsid w:val="7CEA58C8"/>
    <w:rsid w:val="7D305BED"/>
    <w:rsid w:val="7DAE0FEB"/>
    <w:rsid w:val="7DE762AB"/>
    <w:rsid w:val="7E46779C"/>
    <w:rsid w:val="7E5A4CCF"/>
    <w:rsid w:val="7E77762F"/>
    <w:rsid w:val="7EC95623"/>
    <w:rsid w:val="7EDE76AE"/>
    <w:rsid w:val="7EF7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120" w:after="100" w:afterLines="100"/>
      <w:outlineLvl w:val="0"/>
    </w:pPr>
    <w:rPr>
      <w:rFonts w:ascii="黑体" w:hAnsi="黑体" w:eastAsia="黑体" w:cs="黑体"/>
      <w:sz w:val="32"/>
      <w:szCs w:val="32"/>
    </w:rPr>
  </w:style>
  <w:style w:type="paragraph" w:styleId="3">
    <w:name w:val="heading 2"/>
    <w:basedOn w:val="1"/>
    <w:next w:val="1"/>
    <w:qFormat/>
    <w:uiPriority w:val="1"/>
    <w:pPr>
      <w:ind w:left="1164"/>
      <w:outlineLvl w:val="1"/>
    </w:pPr>
    <w:rPr>
      <w:rFonts w:ascii="Microsoft JhengHei" w:hAnsi="Microsoft JhengHei" w:eastAsia="Microsoft JhengHei" w:cs="Microsoft JhengHei"/>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605" w:firstLine="559"/>
    </w:pPr>
    <w:rPr>
      <w:sz w:val="28"/>
      <w:szCs w:val="2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Title"/>
    <w:basedOn w:val="1"/>
    <w:qFormat/>
    <w:uiPriority w:val="1"/>
    <w:pPr>
      <w:spacing w:line="1196" w:lineRule="exact"/>
      <w:ind w:left="642" w:right="923"/>
      <w:jc w:val="center"/>
    </w:pPr>
    <w:rPr>
      <w:rFonts w:ascii="微软雅黑" w:hAnsi="微软雅黑" w:eastAsia="微软雅黑" w:cs="微软雅黑"/>
      <w:sz w:val="72"/>
      <w:szCs w:val="7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05" w:firstLine="559"/>
    </w:pPr>
  </w:style>
  <w:style w:type="paragraph" w:customStyle="1" w:styleId="12">
    <w:name w:val="Table Paragraph"/>
    <w:basedOn w:val="1"/>
    <w:qFormat/>
    <w:uiPriority w:val="1"/>
  </w:style>
  <w:style w:type="paragraph" w:customStyle="1" w:styleId="13">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1283</Words>
  <Characters>7319</Characters>
  <Lines>60</Lines>
  <Paragraphs>17</Paragraphs>
  <TotalTime>115</TotalTime>
  <ScaleCrop>false</ScaleCrop>
  <LinksUpToDate>false</LinksUpToDate>
  <CharactersWithSpaces>8585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2024-03-12T06:56:00Z</dcterms:created>
  <dc:creator>HP</dc:creator>
  <cp:lastModifiedBy>Victor</cp:lastModifiedBy>
  <dcterms:modified xsi:type="dcterms:W3CDTF">2024-11-11T23:49:25Z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WPS 文字</vt:lpwstr>
  </property>
  <property fmtid="{D5CDD505-2E9C-101B-9397-08002B2CF9AE}" pid="4" name="LastSaved">
    <vt:filetime>2024-03-12T00:00:00Z</vt:filetime>
  </property>
  <property fmtid="{D5CDD505-2E9C-101B-9397-08002B2CF9AE}" pid="5" name="SourceModified">
    <vt:lpwstr>D:20230831114001+03'40'</vt:lpwstr>
  </property>
  <property fmtid="{D5CDD505-2E9C-101B-9397-08002B2CF9AE}" pid="6" name="KSOProductBuildVer">
    <vt:lpwstr>2052-11.8.6.11825</vt:lpwstr>
  </property>
  <property fmtid="{D5CDD505-2E9C-101B-9397-08002B2CF9AE}" pid="7" name="ICV">
    <vt:lpwstr>D2F2E55E7AD24AFEB6DBA762309D8DB6_13</vt:lpwstr>
  </property>
</Properties>
</file>