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autoSpaceDE/>
        <w:autoSpaceDN/>
        <w:spacing w:before="0" w:line="240" w:lineRule="auto"/>
        <w:ind w:left="0"/>
        <w:jc w:val="center"/>
        <w:rPr>
          <w:rFonts w:hint="default" w:ascii="Arial Unicode MS" w:hAnsi="Arial Unicode MS" w:eastAsia="Arial Unicode MS" w:cs="Arial Unicode MS"/>
          <w:bCs/>
          <w:kern w:val="44"/>
          <w:sz w:val="36"/>
          <w:szCs w:val="36"/>
          <w:lang w:eastAsia="zh-CN"/>
        </w:rPr>
      </w:pPr>
      <w:bookmarkStart w:id="0" w:name="_Toc21670"/>
      <w:r>
        <w:rPr>
          <w:rFonts w:ascii="Arial Unicode MS" w:hAnsi="Arial Unicode MS" w:eastAsia="Arial Unicode MS" w:cs="Arial Unicode MS"/>
          <w:bCs/>
          <w:kern w:val="44"/>
          <w:sz w:val="36"/>
          <w:szCs w:val="36"/>
          <w:lang w:eastAsia="zh-CN"/>
        </w:rPr>
        <w:t>202</w:t>
      </w:r>
      <w:r>
        <w:rPr>
          <w:rFonts w:hint="eastAsia" w:ascii="Arial Unicode MS" w:hAnsi="Arial Unicode MS" w:eastAsia="Arial Unicode MS" w:cs="Arial Unicode MS"/>
          <w:bCs/>
          <w:kern w:val="44"/>
          <w:sz w:val="36"/>
          <w:szCs w:val="36"/>
          <w:lang w:val="en-US" w:eastAsia="zh-CN"/>
        </w:rPr>
        <w:t>5</w:t>
      </w:r>
      <w:bookmarkStart w:id="36" w:name="_GoBack"/>
      <w:bookmarkEnd w:id="36"/>
      <w:r>
        <w:rPr>
          <w:rFonts w:ascii="Arial Unicode MS" w:hAnsi="Arial Unicode MS" w:eastAsia="Arial Unicode MS" w:cs="Arial Unicode MS"/>
          <w:bCs/>
          <w:kern w:val="44"/>
          <w:sz w:val="36"/>
          <w:szCs w:val="36"/>
          <w:lang w:eastAsia="zh-CN"/>
        </w:rPr>
        <w:t>年河北省职业院校技能大赛</w:t>
      </w:r>
    </w:p>
    <w:p>
      <w:pPr>
        <w:pStyle w:val="2"/>
        <w:keepNext/>
        <w:keepLines/>
        <w:autoSpaceDE/>
        <w:autoSpaceDN/>
        <w:spacing w:before="0" w:line="240" w:lineRule="auto"/>
        <w:ind w:left="0"/>
        <w:jc w:val="center"/>
        <w:rPr>
          <w:rFonts w:hint="default" w:ascii="Arial Unicode MS" w:hAnsi="Arial Unicode MS" w:eastAsia="Arial Unicode MS" w:cs="Arial Unicode MS"/>
          <w:bCs/>
          <w:kern w:val="44"/>
          <w:sz w:val="36"/>
          <w:szCs w:val="36"/>
          <w:lang w:eastAsia="zh-CN"/>
        </w:rPr>
      </w:pPr>
      <w:r>
        <w:rPr>
          <w:rFonts w:ascii="Arial Unicode MS" w:hAnsi="Arial Unicode MS" w:eastAsia="Arial Unicode MS" w:cs="Arial Unicode MS"/>
          <w:bCs/>
          <w:kern w:val="44"/>
          <w:sz w:val="36"/>
          <w:szCs w:val="36"/>
          <w:lang w:eastAsia="zh-CN"/>
        </w:rPr>
        <w:t>中职组“智能制造设备技术应用”赛项规程</w:t>
      </w:r>
    </w:p>
    <w:p>
      <w:pPr>
        <w:rPr>
          <w:rFonts w:hint="default"/>
          <w:lang w:eastAsia="zh-CN"/>
        </w:rPr>
      </w:pPr>
    </w:p>
    <w:p>
      <w:pPr>
        <w:pStyle w:val="2"/>
        <w:keepNext/>
        <w:keepLines/>
        <w:autoSpaceDE/>
        <w:autoSpaceDN/>
        <w:spacing w:before="0"/>
        <w:ind w:left="0" w:firstLine="602" w:firstLineChars="200"/>
        <w:jc w:val="both"/>
        <w:rPr>
          <w:rFonts w:hint="default" w:ascii="Times New Roman" w:hAnsi="Times New Roman" w:eastAsia="宋体"/>
          <w:b/>
          <w:kern w:val="44"/>
          <w:sz w:val="30"/>
          <w:lang w:eastAsia="zh-CN"/>
        </w:rPr>
      </w:pPr>
      <w:r>
        <w:rPr>
          <w:rFonts w:ascii="Times New Roman" w:hAnsi="Times New Roman" w:eastAsia="宋体"/>
          <w:b/>
          <w:kern w:val="44"/>
          <w:sz w:val="30"/>
          <w:lang w:eastAsia="zh-CN"/>
        </w:rPr>
        <w:t>一、赛项信息</w:t>
      </w:r>
      <w:bookmarkEnd w:id="0"/>
    </w:p>
    <w:p>
      <w:pPr>
        <w:autoSpaceDE/>
        <w:autoSpaceDN/>
        <w:adjustRightInd w:val="0"/>
        <w:snapToGrid w:val="0"/>
        <w:ind w:firstLine="560" w:firstLineChars="200"/>
        <w:jc w:val="both"/>
        <w:rPr>
          <w:rFonts w:ascii="仿宋" w:hAnsi="仿宋" w:cs="仿宋"/>
          <w:szCs w:val="28"/>
          <w:lang w:eastAsia="zh-CN"/>
        </w:rPr>
      </w:pPr>
      <w:r>
        <w:rPr>
          <w:rFonts w:ascii="仿宋" w:hAnsi="仿宋" w:cs="仿宋"/>
          <w:szCs w:val="28"/>
          <w:lang w:eastAsia="zh-CN"/>
        </w:rPr>
        <w:t>赛项编号：ZZ</w:t>
      </w:r>
      <w:r>
        <w:rPr>
          <w:rFonts w:hint="default" w:ascii="仿宋" w:hAnsi="仿宋" w:cs="仿宋"/>
          <w:szCs w:val="28"/>
          <w:lang w:eastAsia="zh-CN"/>
        </w:rPr>
        <w:t>2024</w:t>
      </w:r>
      <w:r>
        <w:rPr>
          <w:rFonts w:ascii="仿宋" w:hAnsi="仿宋" w:cs="仿宋"/>
          <w:szCs w:val="28"/>
          <w:lang w:eastAsia="zh-CN"/>
        </w:rPr>
        <w:t>224</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赛项名称：智能制造设备技术应用</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赛项组别：中职组学生赛</w:t>
      </w:r>
    </w:p>
    <w:p>
      <w:pPr>
        <w:autoSpaceDE/>
        <w:autoSpaceDN/>
        <w:adjustRightInd w:val="0"/>
        <w:snapToGrid w:val="0"/>
        <w:ind w:firstLine="560" w:firstLineChars="200"/>
        <w:jc w:val="both"/>
        <w:rPr>
          <w:rFonts w:hint="default" w:ascii="仿宋" w:hAnsi="仿宋" w:cs="仿宋"/>
          <w:b/>
          <w:kern w:val="44"/>
          <w:szCs w:val="28"/>
          <w:lang w:eastAsia="zh-CN"/>
        </w:rPr>
      </w:pPr>
      <w:r>
        <w:rPr>
          <w:rFonts w:ascii="仿宋" w:hAnsi="仿宋" w:cs="仿宋"/>
          <w:szCs w:val="28"/>
          <w:lang w:eastAsia="zh-CN"/>
        </w:rPr>
        <w:t>竞赛形式：团体赛</w:t>
      </w:r>
    </w:p>
    <w:p>
      <w:pPr>
        <w:pStyle w:val="2"/>
        <w:keepNext/>
        <w:keepLines/>
        <w:autoSpaceDE/>
        <w:autoSpaceDN/>
        <w:spacing w:before="0"/>
        <w:ind w:left="0" w:firstLine="602" w:firstLineChars="200"/>
        <w:jc w:val="both"/>
        <w:rPr>
          <w:rFonts w:hint="default" w:ascii="Times New Roman" w:hAnsi="Times New Roman" w:eastAsia="宋体"/>
          <w:b/>
          <w:kern w:val="44"/>
          <w:sz w:val="30"/>
          <w:lang w:eastAsia="zh-CN"/>
        </w:rPr>
      </w:pPr>
      <w:bookmarkStart w:id="1" w:name="_Toc15108"/>
      <w:r>
        <w:rPr>
          <w:rFonts w:ascii="Times New Roman" w:hAnsi="Times New Roman" w:eastAsia="宋体"/>
          <w:b/>
          <w:kern w:val="44"/>
          <w:sz w:val="30"/>
          <w:lang w:eastAsia="zh-CN"/>
        </w:rPr>
        <w:t>二、竞赛目的</w:t>
      </w:r>
      <w:bookmarkEnd w:id="1"/>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为贯彻党的二十大报告要“推进新型工业化，加快建设制造强国”和国家“十四五”规划“推动制造业高端化、智能化、绿色化”等文件精神，适应高端装备制造产业数字化、网络化、智能化发展新趋势，对接新产业、新业态、新模式下高端装备制造业高质量发展对技术技能人才需求，遵循“提升职业院校师生技术技能水平、培育工匠精神”的设赛宗旨，按照《全国职业院校技能大赛执行规划（2023—2027年）》相关要求，制订“智能制造设备技术应用”赛项规程。</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内容精准对接高端装备制造业高质量发展对技能人才的需求，将工业机器人系统操作、工业机器人系统运维、智能制造设备运维、电气系统安装与调试、机械设备修理等岗位相关工作任务核心技能点进行了精心提炼与教学转化，对标工业机器人系统操作员、工业机器人系统运维员、智能制造工程技术人员等国家职业技能标准，对照工业机器人操作与运维、智能制造系统集成应用等职业技能等级标准，紧密衔接自动化类和机电设备类相关专业教学标准，有利于引导相关专业建设和教学改革，促进“岗课赛证”融通、科教融汇、育训合一和考核评价方式的提升，推进以学生为主体的理实一体化教学实践，提高职业素养、弘扬工匠精神，从而提高人才培养质量。</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2" w:name="_Toc21546"/>
      <w:r>
        <w:rPr>
          <w:rFonts w:ascii="Times New Roman" w:hAnsi="Times New Roman" w:eastAsia="宋体"/>
          <w:b/>
          <w:kern w:val="44"/>
          <w:sz w:val="30"/>
          <w:szCs w:val="22"/>
          <w:lang w:eastAsia="zh-CN"/>
        </w:rPr>
        <w:t>三、竞赛内容</w:t>
      </w:r>
      <w:bookmarkEnd w:id="2"/>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以工业机器人、智能视觉系统、输送带追踪系统等智能制造设备为核心，融合可编程控制器（PLC）、人机交互终端（HMI）、快换工具、气压驱动等先进制造技术，以工业机器人在智能制造行业中最典型的零部件装配为应用背景，开展智能制造设备的安装调试、集成应用、运行维护、质量控制等任务，同时兼顾考核选手智能制造设备中典型基础应用：码（拆）垛、涂胶、</w:t>
      </w:r>
      <w:r>
        <w:rPr>
          <w:rFonts w:eastAsia="仿宋_GB2312" w:cs="仿宋_GB2312"/>
          <w:color w:val="000000"/>
          <w:szCs w:val="28"/>
          <w:lang w:eastAsia="zh-CN"/>
        </w:rPr>
        <w:t>力控应用、上下料等任务</w:t>
      </w:r>
      <w:r>
        <w:rPr>
          <w:rFonts w:ascii="仿宋" w:hAnsi="仿宋" w:cs="仿宋"/>
          <w:szCs w:val="28"/>
          <w:lang w:eastAsia="zh-CN"/>
        </w:rPr>
        <w:t>等任务。</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竞赛为团体赛，每队2名选手，在4.5小时内完成竞赛内容，竞赛内容包含3个模块，具体内容及成绩比例如下：</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 xml:space="preserve">模块一 智能制造设备安装与调试         </w:t>
      </w:r>
      <w:r>
        <w:rPr>
          <w:rFonts w:hint="eastAsia" w:ascii="仿宋" w:hAnsi="仿宋" w:cs="仿宋"/>
          <w:szCs w:val="28"/>
          <w:lang w:eastAsia="zh-CN"/>
        </w:rPr>
        <w:t>（</w:t>
      </w:r>
      <w:r>
        <w:rPr>
          <w:rFonts w:hint="eastAsia" w:ascii="仿宋" w:hAnsi="仿宋" w:cs="仿宋"/>
          <w:szCs w:val="28"/>
          <w:lang w:val="en-US" w:eastAsia="zh-CN"/>
        </w:rPr>
        <w:t>30分</w:t>
      </w:r>
      <w:r>
        <w:rPr>
          <w:rFonts w:hint="eastAsia" w:ascii="仿宋" w:hAnsi="仿宋" w:cs="仿宋"/>
          <w:szCs w:val="28"/>
          <w:lang w:eastAsia="zh-CN"/>
        </w:rPr>
        <w:t>）</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任务一 智能制造设备的机械装调     （12分）</w:t>
      </w:r>
    </w:p>
    <w:p>
      <w:pPr>
        <w:autoSpaceDE/>
        <w:autoSpaceDN/>
        <w:adjustRightInd w:val="0"/>
        <w:snapToGrid w:val="0"/>
        <w:ind w:firstLine="1120" w:firstLineChars="400"/>
        <w:jc w:val="both"/>
        <w:rPr>
          <w:rFonts w:ascii="仿宋" w:hAnsi="仿宋" w:cs="仿宋"/>
          <w:szCs w:val="28"/>
          <w:lang w:eastAsia="zh-CN"/>
        </w:rPr>
      </w:pPr>
      <w:r>
        <w:rPr>
          <w:rFonts w:ascii="仿宋" w:hAnsi="仿宋" w:cs="仿宋"/>
          <w:szCs w:val="28"/>
          <w:lang w:eastAsia="zh-CN"/>
        </w:rPr>
        <w:t>任务二 智能制造设备的电气装调     （8 分）</w:t>
      </w:r>
    </w:p>
    <w:p>
      <w:pPr>
        <w:autoSpaceDE/>
        <w:autoSpaceDN/>
        <w:adjustRightInd w:val="0"/>
        <w:snapToGrid w:val="0"/>
        <w:ind w:firstLine="1120" w:firstLineChars="400"/>
        <w:jc w:val="both"/>
        <w:rPr>
          <w:rFonts w:hint="default" w:ascii="仿宋" w:hAnsi="仿宋" w:cs="仿宋"/>
          <w:szCs w:val="28"/>
          <w:lang w:eastAsia="zh-CN"/>
        </w:rPr>
      </w:pPr>
      <w:r>
        <w:rPr>
          <w:rFonts w:hint="eastAsia" w:ascii="仿宋" w:hAnsi="仿宋" w:cs="仿宋"/>
          <w:szCs w:val="28"/>
          <w:lang w:val="en-US" w:eastAsia="zh-CN"/>
        </w:rPr>
        <w:t>任务三智能制造设备的建模仿真</w:t>
      </w:r>
      <w:r>
        <w:rPr>
          <w:rFonts w:ascii="仿宋" w:hAnsi="仿宋" w:cs="仿宋"/>
          <w:szCs w:val="28"/>
          <w:lang w:eastAsia="zh-CN"/>
        </w:rPr>
        <w:t xml:space="preserve">  </w:t>
      </w:r>
      <w:r>
        <w:rPr>
          <w:rFonts w:hint="eastAsia" w:ascii="仿宋" w:hAnsi="仿宋" w:cs="仿宋"/>
          <w:szCs w:val="28"/>
          <w:lang w:val="en-US" w:eastAsia="zh-CN"/>
        </w:rPr>
        <w:t xml:space="preserve">  </w:t>
      </w:r>
      <w:r>
        <w:rPr>
          <w:rFonts w:ascii="仿宋" w:hAnsi="仿宋" w:cs="仿宋"/>
          <w:szCs w:val="28"/>
          <w:lang w:eastAsia="zh-CN"/>
        </w:rPr>
        <w:t xml:space="preserve">  （</w:t>
      </w:r>
      <w:r>
        <w:rPr>
          <w:rFonts w:hint="eastAsia" w:ascii="仿宋" w:hAnsi="仿宋" w:cs="仿宋"/>
          <w:szCs w:val="28"/>
          <w:lang w:val="en-US" w:eastAsia="zh-CN"/>
        </w:rPr>
        <w:t>10</w:t>
      </w:r>
      <w:r>
        <w:rPr>
          <w:rFonts w:ascii="仿宋" w:hAnsi="仿宋" w:cs="仿宋"/>
          <w:szCs w:val="28"/>
          <w:lang w:eastAsia="zh-CN"/>
        </w:rPr>
        <w:t xml:space="preserve"> 分）</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模块二 智能制造设备的维护及维修       （32分）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任务一 智能制造设备维修测试       （6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任务二 智能制造设备维护验证       （26分）</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模块三 智能制造设备的程序编制与运行   （48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任务一 产品的涂胶                 （8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任务二 产品的码垛                 （8 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任务三 产品零部件装配与仓储       （</w:t>
      </w:r>
      <w:r>
        <w:rPr>
          <w:rFonts w:hint="eastAsia" w:ascii="仿宋" w:hAnsi="仿宋" w:cs="仿宋"/>
          <w:szCs w:val="28"/>
          <w:lang w:val="en-US" w:eastAsia="zh-CN"/>
        </w:rPr>
        <w:t>1</w:t>
      </w:r>
      <w:r>
        <w:rPr>
          <w:rFonts w:ascii="仿宋" w:hAnsi="仿宋" w:cs="仿宋"/>
          <w:szCs w:val="28"/>
          <w:lang w:eastAsia="zh-CN"/>
        </w:rPr>
        <w:t>4分）</w:t>
      </w:r>
    </w:p>
    <w:p>
      <w:pPr>
        <w:autoSpaceDE/>
        <w:autoSpaceDN/>
        <w:adjustRightInd w:val="0"/>
        <w:snapToGrid w:val="0"/>
        <w:ind w:firstLine="1120" w:firstLineChars="400"/>
        <w:jc w:val="both"/>
        <w:rPr>
          <w:rFonts w:hint="default" w:ascii="仿宋" w:hAnsi="仿宋" w:cs="仿宋"/>
          <w:szCs w:val="28"/>
          <w:lang w:eastAsia="zh-CN"/>
        </w:rPr>
      </w:pPr>
      <w:r>
        <w:rPr>
          <w:rFonts w:ascii="仿宋" w:hAnsi="仿宋" w:cs="仿宋"/>
          <w:szCs w:val="28"/>
          <w:lang w:eastAsia="zh-CN"/>
        </w:rPr>
        <w:t>任务四 产品生产优化与安全         （8 分）</w:t>
      </w:r>
    </w:p>
    <w:p>
      <w:pPr>
        <w:autoSpaceDE/>
        <w:autoSpaceDN/>
        <w:adjustRightInd w:val="0"/>
        <w:snapToGrid w:val="0"/>
        <w:ind w:firstLine="560" w:firstLineChars="200"/>
        <w:jc w:val="both"/>
        <w:rPr>
          <w:rFonts w:hint="default" w:ascii="仿宋" w:hAnsi="仿宋" w:cs="仿宋"/>
          <w:szCs w:val="28"/>
          <w:lang w:eastAsia="zh-CN"/>
        </w:rPr>
      </w:pPr>
      <w:r>
        <w:rPr>
          <w:rFonts w:ascii="仿宋" w:hAnsi="仿宋" w:cs="仿宋"/>
          <w:szCs w:val="28"/>
          <w:lang w:eastAsia="zh-CN"/>
        </w:rPr>
        <w:t>赛项模块、比赛时长及分值配比见表 1</w:t>
      </w:r>
    </w:p>
    <w:p>
      <w:pPr>
        <w:autoSpaceDE/>
        <w:autoSpaceDN/>
        <w:adjustRightInd w:val="0"/>
        <w:snapToGrid w:val="0"/>
        <w:ind w:firstLine="560" w:firstLineChars="200"/>
        <w:jc w:val="center"/>
        <w:rPr>
          <w:rFonts w:hint="default" w:ascii="仿宋" w:hAnsi="仿宋" w:cs="仿宋"/>
          <w:szCs w:val="28"/>
          <w:lang w:eastAsia="zh-CN"/>
        </w:rPr>
      </w:pPr>
      <w:r>
        <w:rPr>
          <w:rFonts w:ascii="仿宋" w:hAnsi="仿宋" w:cs="仿宋"/>
          <w:szCs w:val="28"/>
          <w:lang w:eastAsia="zh-CN"/>
        </w:rPr>
        <w:t>表 1 赛项模块、比赛时长及分值配比表</w:t>
      </w:r>
    </w:p>
    <w:tbl>
      <w:tblPr>
        <w:tblStyle w:val="12"/>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29"/>
        <w:gridCol w:w="1274"/>
        <w:gridCol w:w="5614"/>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1" w:hRule="atLeast"/>
          <w:jc w:val="center"/>
        </w:trPr>
        <w:tc>
          <w:tcPr>
            <w:tcW w:w="2303" w:type="dxa"/>
            <w:gridSpan w:val="2"/>
            <w:tcBorders>
              <w:top w:val="single" w:color="auto" w:sz="4" w:space="0"/>
              <w:left w:val="single" w:color="auto" w:sz="4" w:space="0"/>
              <w:bottom w:val="single" w:color="auto" w:sz="4" w:space="0"/>
              <w:right w:val="single" w:color="auto" w:sz="4" w:space="0"/>
            </w:tcBorders>
            <w:vAlign w:val="center"/>
          </w:tcPr>
          <w:p>
            <w:pPr>
              <w:pStyle w:val="17"/>
              <w:autoSpaceDE/>
              <w:autoSpaceDN/>
              <w:ind w:right="1009"/>
              <w:jc w:val="center"/>
              <w:rPr>
                <w:rFonts w:hint="default" w:ascii="仿宋" w:hAnsi="仿宋" w:cs="仿宋"/>
                <w:b/>
                <w:w w:val="95"/>
                <w:sz w:val="24"/>
                <w:szCs w:val="24"/>
                <w:lang w:eastAsia="zh-CN"/>
              </w:rPr>
            </w:pPr>
            <w:r>
              <w:rPr>
                <w:rFonts w:ascii="仿宋" w:hAnsi="仿宋" w:cs="仿宋"/>
                <w:b/>
                <w:w w:val="95"/>
                <w:sz w:val="24"/>
                <w:szCs w:val="24"/>
                <w:lang w:eastAsia="zh-CN"/>
              </w:rPr>
              <w:t>模块</w:t>
            </w:r>
          </w:p>
        </w:tc>
        <w:tc>
          <w:tcPr>
            <w:tcW w:w="5614" w:type="dxa"/>
            <w:tcBorders>
              <w:top w:val="single" w:color="auto" w:sz="4" w:space="0"/>
              <w:left w:val="single" w:color="auto" w:sz="4" w:space="0"/>
              <w:bottom w:val="single" w:color="auto" w:sz="4" w:space="0"/>
              <w:right w:val="single" w:color="auto" w:sz="4" w:space="0"/>
            </w:tcBorders>
            <w:vAlign w:val="center"/>
          </w:tcPr>
          <w:p>
            <w:pPr>
              <w:pStyle w:val="17"/>
              <w:autoSpaceDE/>
              <w:autoSpaceDN/>
              <w:ind w:right="1823"/>
              <w:jc w:val="center"/>
              <w:rPr>
                <w:rFonts w:hint="default" w:ascii="仿宋" w:hAnsi="仿宋" w:cs="仿宋"/>
                <w:b/>
                <w:spacing w:val="-3"/>
                <w:w w:val="95"/>
                <w:sz w:val="24"/>
                <w:szCs w:val="24"/>
              </w:rPr>
            </w:pPr>
            <w:r>
              <w:rPr>
                <w:rFonts w:ascii="仿宋" w:hAnsi="仿宋" w:cs="仿宋"/>
                <w:b/>
                <w:spacing w:val="-3"/>
                <w:w w:val="95"/>
                <w:sz w:val="24"/>
                <w:szCs w:val="24"/>
              </w:rPr>
              <w:t>主要内容</w:t>
            </w:r>
          </w:p>
        </w:tc>
        <w:tc>
          <w:tcPr>
            <w:tcW w:w="847" w:type="dxa"/>
            <w:tcBorders>
              <w:top w:val="single" w:color="auto" w:sz="4" w:space="0"/>
              <w:left w:val="single" w:color="auto" w:sz="4" w:space="0"/>
              <w:bottom w:val="single" w:color="auto" w:sz="4" w:space="0"/>
              <w:right w:val="single" w:color="auto" w:sz="4" w:space="0"/>
            </w:tcBorders>
            <w:vAlign w:val="center"/>
          </w:tcPr>
          <w:p>
            <w:pPr>
              <w:pStyle w:val="17"/>
              <w:autoSpaceDE/>
              <w:autoSpaceDN/>
              <w:ind w:right="118"/>
              <w:jc w:val="center"/>
              <w:rPr>
                <w:rFonts w:hint="default" w:ascii="仿宋" w:hAnsi="仿宋" w:cs="仿宋"/>
                <w:b/>
                <w:sz w:val="24"/>
                <w:szCs w:val="24"/>
              </w:rPr>
            </w:pPr>
            <w:r>
              <w:rPr>
                <w:rFonts w:ascii="仿宋" w:hAnsi="仿宋" w:cs="仿宋"/>
                <w:b/>
                <w:w w:val="95"/>
                <w:sz w:val="24"/>
                <w:szCs w:val="24"/>
              </w:rPr>
              <w:t>分</w:t>
            </w:r>
            <w:r>
              <w:rPr>
                <w:rFonts w:ascii="仿宋" w:hAnsi="仿宋" w:cs="仿宋"/>
                <w:b/>
                <w:spacing w:val="-10"/>
                <w:sz w:val="24"/>
                <w:szCs w:val="24"/>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340" w:hRule="atLeast"/>
          <w:jc w:val="center"/>
        </w:trPr>
        <w:tc>
          <w:tcPr>
            <w:tcW w:w="1029" w:type="dxa"/>
            <w:tcBorders>
              <w:top w:val="single" w:color="auto" w:sz="4" w:space="0"/>
            </w:tcBorders>
            <w:vAlign w:val="center"/>
          </w:tcPr>
          <w:p>
            <w:pPr>
              <w:pStyle w:val="17"/>
              <w:autoSpaceDE/>
              <w:autoSpaceDN/>
              <w:ind w:right="214"/>
              <w:jc w:val="both"/>
              <w:rPr>
                <w:rFonts w:hint="default" w:ascii="仿宋" w:hAnsi="仿宋" w:cs="仿宋"/>
                <w:sz w:val="24"/>
                <w:szCs w:val="24"/>
                <w:lang w:eastAsia="zh-CN"/>
              </w:rPr>
            </w:pPr>
            <w:r>
              <w:rPr>
                <w:rFonts w:ascii="仿宋" w:hAnsi="仿宋" w:cs="仿宋"/>
                <w:spacing w:val="-4"/>
                <w:sz w:val="24"/>
                <w:szCs w:val="24"/>
              </w:rPr>
              <w:t>模块</w:t>
            </w:r>
            <w:r>
              <w:rPr>
                <w:rFonts w:ascii="仿宋" w:hAnsi="仿宋" w:cs="仿宋"/>
                <w:spacing w:val="-4"/>
                <w:sz w:val="24"/>
                <w:szCs w:val="24"/>
                <w:lang w:eastAsia="zh-CN"/>
              </w:rPr>
              <w:t>一</w:t>
            </w:r>
          </w:p>
        </w:tc>
        <w:tc>
          <w:tcPr>
            <w:tcW w:w="1274" w:type="dxa"/>
            <w:tcBorders>
              <w:top w:val="single" w:color="auto" w:sz="4" w:space="0"/>
            </w:tcBorders>
            <w:vAlign w:val="center"/>
          </w:tcPr>
          <w:p>
            <w:pPr>
              <w:pStyle w:val="17"/>
              <w:autoSpaceDE/>
              <w:autoSpaceDN/>
              <w:ind w:right="77"/>
              <w:jc w:val="center"/>
              <w:rPr>
                <w:rFonts w:hint="default" w:ascii="仿宋" w:hAnsi="仿宋" w:cs="仿宋"/>
                <w:sz w:val="24"/>
                <w:szCs w:val="24"/>
                <w:lang w:eastAsia="zh-CN"/>
              </w:rPr>
            </w:pPr>
            <w:r>
              <w:rPr>
                <w:rFonts w:ascii="仿宋" w:hAnsi="仿宋" w:cs="仿宋"/>
                <w:spacing w:val="-4"/>
                <w:sz w:val="24"/>
                <w:szCs w:val="24"/>
                <w:lang w:eastAsia="zh-CN"/>
              </w:rPr>
              <w:t>智能制造设备安装与调试</w:t>
            </w:r>
          </w:p>
        </w:tc>
        <w:tc>
          <w:tcPr>
            <w:tcW w:w="5614" w:type="dxa"/>
            <w:tcBorders>
              <w:top w:val="single" w:color="auto" w:sz="4" w:space="0"/>
            </w:tcBorders>
            <w:vAlign w:val="center"/>
          </w:tcPr>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任务一 智能制造设备的机械装调</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按照系统生产布局，完成指定单元的机械安装、气路连接和调试。</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任务二 智能制造设备的电气装调</w:t>
            </w:r>
          </w:p>
          <w:p>
            <w:pPr>
              <w:pStyle w:val="17"/>
              <w:autoSpaceDE/>
              <w:autoSpaceDN/>
              <w:ind w:right="59" w:firstLine="472" w:firstLineChars="200"/>
              <w:rPr>
                <w:rFonts w:hint="default" w:ascii="仿宋" w:hAnsi="仿宋" w:cs="仿宋"/>
                <w:sz w:val="24"/>
                <w:szCs w:val="24"/>
                <w:lang w:eastAsia="zh-CN"/>
              </w:rPr>
            </w:pPr>
            <w:r>
              <w:rPr>
                <w:rFonts w:ascii="仿宋" w:hAnsi="仿宋" w:cs="仿宋"/>
                <w:spacing w:val="-2"/>
                <w:sz w:val="24"/>
                <w:szCs w:val="24"/>
                <w:lang w:eastAsia="zh-CN"/>
              </w:rPr>
              <w:t>完成智能制造设备指定单元的电气连接和调试。</w:t>
            </w:r>
          </w:p>
        </w:tc>
        <w:tc>
          <w:tcPr>
            <w:tcW w:w="847" w:type="dxa"/>
            <w:tcBorders>
              <w:top w:val="single" w:color="auto" w:sz="4" w:space="0"/>
            </w:tcBorders>
            <w:vAlign w:val="center"/>
          </w:tcPr>
          <w:p>
            <w:pPr>
              <w:pStyle w:val="17"/>
              <w:autoSpaceDE/>
              <w:autoSpaceDN/>
              <w:ind w:right="193"/>
              <w:jc w:val="center"/>
              <w:rPr>
                <w:rFonts w:hint="default" w:ascii="仿宋" w:hAnsi="仿宋" w:cs="仿宋"/>
                <w:sz w:val="24"/>
                <w:szCs w:val="24"/>
              </w:rPr>
            </w:pPr>
            <w:r>
              <w:rPr>
                <w:rFonts w:hint="eastAsia" w:ascii="仿宋" w:hAnsi="仿宋" w:cs="仿宋"/>
                <w:sz w:val="24"/>
                <w:szCs w:val="24"/>
                <w:lang w:val="en-US" w:eastAsia="zh-CN"/>
              </w:rPr>
              <w:t>3</w:t>
            </w:r>
            <w:r>
              <w:rPr>
                <w:rFonts w:ascii="仿宋" w:hAnsi="仿宋" w:cs="仿宋"/>
                <w:sz w:val="24"/>
                <w:szCs w:val="24"/>
              </w:rPr>
              <w:t>0</w:t>
            </w:r>
            <w:r>
              <w:rPr>
                <w:rFonts w:ascii="仿宋" w:hAnsi="仿宋" w:cs="仿宋"/>
                <w:spacing w:val="-35"/>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67" w:hRule="atLeast"/>
          <w:jc w:val="center"/>
        </w:trPr>
        <w:tc>
          <w:tcPr>
            <w:tcW w:w="1029" w:type="dxa"/>
            <w:vAlign w:val="center"/>
          </w:tcPr>
          <w:p>
            <w:pPr>
              <w:pStyle w:val="17"/>
              <w:autoSpaceDE/>
              <w:autoSpaceDN/>
              <w:ind w:right="214"/>
              <w:jc w:val="center"/>
              <w:rPr>
                <w:rFonts w:hint="default" w:ascii="仿宋" w:hAnsi="仿宋" w:cs="仿宋"/>
                <w:sz w:val="24"/>
                <w:szCs w:val="24"/>
              </w:rPr>
            </w:pPr>
            <w:r>
              <w:rPr>
                <w:rFonts w:ascii="仿宋" w:hAnsi="仿宋" w:cs="仿宋"/>
                <w:spacing w:val="-4"/>
                <w:sz w:val="24"/>
                <w:szCs w:val="24"/>
              </w:rPr>
              <w:t>模块二</w:t>
            </w:r>
          </w:p>
        </w:tc>
        <w:tc>
          <w:tcPr>
            <w:tcW w:w="1274" w:type="dxa"/>
            <w:vAlign w:val="center"/>
          </w:tcPr>
          <w:p>
            <w:pPr>
              <w:pStyle w:val="17"/>
              <w:autoSpaceDE/>
              <w:autoSpaceDN/>
              <w:ind w:right="77"/>
              <w:jc w:val="center"/>
              <w:rPr>
                <w:rFonts w:hint="default" w:ascii="仿宋" w:hAnsi="仿宋" w:cs="仿宋"/>
                <w:sz w:val="24"/>
                <w:szCs w:val="24"/>
                <w:lang w:eastAsia="zh-CN"/>
              </w:rPr>
            </w:pPr>
            <w:r>
              <w:rPr>
                <w:rFonts w:ascii="仿宋" w:hAnsi="仿宋" w:cs="仿宋"/>
                <w:spacing w:val="-4"/>
                <w:sz w:val="24"/>
                <w:szCs w:val="24"/>
                <w:lang w:eastAsia="zh-CN"/>
              </w:rPr>
              <w:t>智能制造设备的维</w:t>
            </w:r>
            <w:r>
              <w:rPr>
                <w:rFonts w:ascii="仿宋" w:hAnsi="仿宋" w:cs="仿宋"/>
                <w:spacing w:val="-3"/>
                <w:sz w:val="24"/>
                <w:szCs w:val="24"/>
                <w:lang w:eastAsia="zh-CN"/>
              </w:rPr>
              <w:t>护及维修</w:t>
            </w:r>
          </w:p>
        </w:tc>
        <w:tc>
          <w:tcPr>
            <w:tcW w:w="5614" w:type="dxa"/>
            <w:vAlign w:val="center"/>
          </w:tcPr>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任务一  智能制造设备维修测试</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完成机器人的零点标定、工具TCP标定、工件坐标系标定等。</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任务二  智能制造设备维护验证</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完成智能制造设备的力控、视觉分拣、输送线跟踪、RFID读写等功能的验证。</w:t>
            </w:r>
          </w:p>
        </w:tc>
        <w:tc>
          <w:tcPr>
            <w:tcW w:w="847" w:type="dxa"/>
            <w:vAlign w:val="center"/>
          </w:tcPr>
          <w:p>
            <w:pPr>
              <w:pStyle w:val="17"/>
              <w:autoSpaceDE/>
              <w:autoSpaceDN/>
              <w:ind w:right="193"/>
              <w:jc w:val="center"/>
              <w:rPr>
                <w:rFonts w:hint="default" w:ascii="仿宋" w:hAnsi="仿宋" w:cs="仿宋"/>
                <w:sz w:val="24"/>
                <w:szCs w:val="24"/>
              </w:rPr>
            </w:pPr>
            <w:r>
              <w:rPr>
                <w:rFonts w:ascii="仿宋" w:hAnsi="仿宋" w:cs="仿宋"/>
                <w:sz w:val="24"/>
                <w:szCs w:val="24"/>
                <w:lang w:eastAsia="zh-CN"/>
              </w:rPr>
              <w:t>32</w:t>
            </w:r>
            <w:r>
              <w:rPr>
                <w:rFonts w:ascii="仿宋" w:hAnsi="仿宋" w:cs="仿宋"/>
                <w:spacing w:val="-35"/>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867" w:hRule="atLeast"/>
          <w:jc w:val="center"/>
        </w:trPr>
        <w:tc>
          <w:tcPr>
            <w:tcW w:w="1029" w:type="dxa"/>
            <w:vAlign w:val="center"/>
          </w:tcPr>
          <w:p>
            <w:pPr>
              <w:pStyle w:val="17"/>
              <w:autoSpaceDE/>
              <w:autoSpaceDN/>
              <w:ind w:right="214"/>
              <w:jc w:val="center"/>
              <w:rPr>
                <w:rFonts w:hint="default" w:ascii="仿宋" w:hAnsi="仿宋" w:cs="仿宋"/>
                <w:spacing w:val="-4"/>
                <w:sz w:val="24"/>
                <w:szCs w:val="24"/>
              </w:rPr>
            </w:pPr>
            <w:r>
              <w:rPr>
                <w:rFonts w:ascii="仿宋" w:hAnsi="仿宋" w:cs="仿宋"/>
                <w:spacing w:val="-4"/>
                <w:sz w:val="24"/>
                <w:szCs w:val="24"/>
                <w:lang w:eastAsia="zh-CN"/>
              </w:rPr>
              <w:t>模块三</w:t>
            </w:r>
          </w:p>
        </w:tc>
        <w:tc>
          <w:tcPr>
            <w:tcW w:w="1274" w:type="dxa"/>
            <w:vAlign w:val="center"/>
          </w:tcPr>
          <w:p>
            <w:pPr>
              <w:pStyle w:val="17"/>
              <w:autoSpaceDE/>
              <w:autoSpaceDN/>
              <w:ind w:right="77"/>
              <w:jc w:val="center"/>
              <w:rPr>
                <w:rFonts w:hint="default" w:ascii="仿宋" w:hAnsi="仿宋" w:cs="仿宋"/>
                <w:spacing w:val="-4"/>
                <w:sz w:val="24"/>
                <w:szCs w:val="24"/>
                <w:lang w:eastAsia="zh-CN"/>
              </w:rPr>
            </w:pPr>
            <w:r>
              <w:rPr>
                <w:rFonts w:ascii="仿宋" w:hAnsi="仿宋" w:cs="仿宋"/>
                <w:spacing w:val="-4"/>
                <w:sz w:val="24"/>
                <w:szCs w:val="24"/>
                <w:lang w:eastAsia="zh-CN"/>
              </w:rPr>
              <w:t>智能制造设备的程序编制与运行</w:t>
            </w:r>
          </w:p>
        </w:tc>
        <w:tc>
          <w:tcPr>
            <w:tcW w:w="5614" w:type="dxa"/>
            <w:vAlign w:val="center"/>
          </w:tcPr>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任务一 产品涂胶</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通过工业机器人、PLC、触摸屏的程序编写与调试，完成产品的基础涂胶、定制涂胶工艺流程。</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任务二 产品码垛</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通过工业机器人、PLC、触摸屏的程序编写与调试，完成产品的基础码垛、定制码垛工艺流程。</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任务三 产品零部件装配与仓储</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根据任务完成一套柔性加工装配智能制造设备的安装调试，需要完成PLC、触摸屏、视觉及工业机器人程序编写与调试，实现产品零件检测、装配、加盖、锁螺丝、出入库任务。</w:t>
            </w:r>
          </w:p>
          <w:p>
            <w:pPr>
              <w:pStyle w:val="17"/>
              <w:autoSpaceDE/>
              <w:autoSpaceDN/>
              <w:ind w:right="59"/>
              <w:rPr>
                <w:rFonts w:hint="default" w:ascii="仿宋" w:hAnsi="仿宋" w:cs="仿宋"/>
                <w:spacing w:val="-2"/>
                <w:sz w:val="24"/>
                <w:szCs w:val="24"/>
                <w:lang w:eastAsia="zh-CN"/>
              </w:rPr>
            </w:pPr>
            <w:r>
              <w:rPr>
                <w:rFonts w:ascii="仿宋" w:hAnsi="仿宋" w:cs="仿宋"/>
                <w:spacing w:val="-2"/>
                <w:sz w:val="24"/>
                <w:szCs w:val="24"/>
                <w:lang w:eastAsia="zh-CN"/>
              </w:rPr>
              <w:t>任务四 产品生产优化与安全</w:t>
            </w:r>
          </w:p>
          <w:p>
            <w:pPr>
              <w:pStyle w:val="17"/>
              <w:autoSpaceDE/>
              <w:autoSpaceDN/>
              <w:ind w:right="59" w:firstLine="472" w:firstLineChars="200"/>
              <w:rPr>
                <w:rFonts w:hint="default" w:ascii="仿宋" w:hAnsi="仿宋" w:cs="仿宋"/>
                <w:spacing w:val="-2"/>
                <w:sz w:val="24"/>
                <w:szCs w:val="24"/>
                <w:lang w:eastAsia="zh-CN"/>
              </w:rPr>
            </w:pPr>
            <w:r>
              <w:rPr>
                <w:rFonts w:ascii="仿宋" w:hAnsi="仿宋" w:cs="仿宋"/>
                <w:spacing w:val="-2"/>
                <w:sz w:val="24"/>
                <w:szCs w:val="24"/>
                <w:lang w:eastAsia="zh-CN"/>
              </w:rPr>
              <w:t>对智能制造设备的工艺流程、生产效率进行优化，实现全自动化生产。根据使用安全要求开发检测光栅和急停报警功能。</w:t>
            </w:r>
          </w:p>
        </w:tc>
        <w:tc>
          <w:tcPr>
            <w:tcW w:w="847" w:type="dxa"/>
            <w:vAlign w:val="center"/>
          </w:tcPr>
          <w:p>
            <w:pPr>
              <w:pStyle w:val="17"/>
              <w:autoSpaceDE/>
              <w:autoSpaceDN/>
              <w:ind w:right="193"/>
              <w:jc w:val="center"/>
              <w:rPr>
                <w:rFonts w:hint="default" w:ascii="仿宋" w:hAnsi="仿宋" w:cs="仿宋"/>
                <w:sz w:val="24"/>
                <w:szCs w:val="24"/>
                <w:lang w:eastAsia="zh-CN"/>
              </w:rPr>
            </w:pPr>
            <w:r>
              <w:rPr>
                <w:rFonts w:hint="eastAsia" w:ascii="仿宋" w:hAnsi="仿宋" w:cs="仿宋"/>
                <w:sz w:val="24"/>
                <w:szCs w:val="24"/>
                <w:lang w:val="en-US" w:eastAsia="zh-CN"/>
              </w:rPr>
              <w:t>3</w:t>
            </w:r>
            <w:r>
              <w:rPr>
                <w:rFonts w:ascii="仿宋" w:hAnsi="仿宋" w:cs="仿宋"/>
                <w:sz w:val="24"/>
                <w:szCs w:val="24"/>
                <w:lang w:eastAsia="zh-CN"/>
              </w:rPr>
              <w:t>8分</w:t>
            </w:r>
          </w:p>
        </w:tc>
      </w:tr>
    </w:tbl>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竞赛日程如表2所示，各参赛队按照竞赛流程图完成竞赛。</w:t>
      </w:r>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说明：如果采用多场次，竞赛日程可能延长，且需要设计场次竞赛日程表，具体日程以《竞赛指南》为准。</w:t>
      </w:r>
    </w:p>
    <w:p>
      <w:pPr>
        <w:pStyle w:val="5"/>
        <w:tabs>
          <w:tab w:val="left" w:pos="909"/>
        </w:tabs>
        <w:autoSpaceDE/>
        <w:autoSpaceDN/>
        <w:ind w:left="0" w:right="338" w:firstLine="560" w:firstLineChars="200"/>
        <w:jc w:val="center"/>
        <w:rPr>
          <w:rFonts w:hint="default" w:ascii="仿宋" w:hAnsi="仿宋" w:cs="仿宋"/>
          <w:spacing w:val="-12"/>
          <w:szCs w:val="28"/>
        </w:rPr>
      </w:pPr>
      <w:r>
        <w:rPr>
          <w:rFonts w:ascii="仿宋" w:hAnsi="仿宋" w:cs="仿宋"/>
          <w:szCs w:val="28"/>
        </w:rPr>
        <w:t>表</w:t>
      </w:r>
      <w:r>
        <w:rPr>
          <w:rFonts w:ascii="仿宋" w:hAnsi="仿宋" w:cs="仿宋"/>
          <w:spacing w:val="-71"/>
          <w:szCs w:val="28"/>
        </w:rPr>
        <w:t xml:space="preserve"> </w:t>
      </w:r>
      <w:r>
        <w:rPr>
          <w:rFonts w:ascii="仿宋" w:hAnsi="仿宋" w:cs="仿宋"/>
          <w:spacing w:val="-10"/>
          <w:szCs w:val="28"/>
        </w:rPr>
        <w:t>2</w:t>
      </w:r>
      <w:r>
        <w:rPr>
          <w:rFonts w:ascii="仿宋" w:hAnsi="仿宋" w:cs="仿宋"/>
          <w:szCs w:val="28"/>
        </w:rPr>
        <w:t xml:space="preserve"> </w:t>
      </w:r>
      <w:r>
        <w:rPr>
          <w:rFonts w:ascii="仿宋" w:hAnsi="仿宋" w:cs="仿宋"/>
          <w:spacing w:val="-2"/>
          <w:szCs w:val="28"/>
        </w:rPr>
        <w:t>竞赛流程安</w:t>
      </w:r>
      <w:r>
        <w:rPr>
          <w:rFonts w:ascii="仿宋" w:hAnsi="仿宋" w:cs="仿宋"/>
          <w:spacing w:val="-12"/>
          <w:szCs w:val="28"/>
        </w:rPr>
        <w:t>排</w:t>
      </w:r>
    </w:p>
    <w:tbl>
      <w:tblPr>
        <w:tblStyle w:val="12"/>
        <w:tblW w:w="93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9"/>
        <w:gridCol w:w="1454"/>
        <w:gridCol w:w="2746"/>
        <w:gridCol w:w="1036"/>
        <w:gridCol w:w="3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99"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日期</w:t>
            </w:r>
          </w:p>
        </w:tc>
        <w:tc>
          <w:tcPr>
            <w:tcW w:w="1454"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时间</w:t>
            </w:r>
          </w:p>
        </w:tc>
        <w:tc>
          <w:tcPr>
            <w:tcW w:w="2746"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事项</w:t>
            </w:r>
          </w:p>
        </w:tc>
        <w:tc>
          <w:tcPr>
            <w:tcW w:w="1036"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地点</w:t>
            </w:r>
          </w:p>
        </w:tc>
        <w:tc>
          <w:tcPr>
            <w:tcW w:w="3352" w:type="dxa"/>
            <w:vAlign w:val="center"/>
          </w:tcPr>
          <w:p>
            <w:pPr>
              <w:pStyle w:val="17"/>
              <w:adjustRightInd w:val="0"/>
              <w:snapToGrid w:val="0"/>
              <w:jc w:val="center"/>
              <w:rPr>
                <w:rFonts w:hint="default" w:ascii="仿宋" w:hAnsi="仿宋" w:cs="仿宋"/>
                <w:b/>
                <w:bCs/>
                <w:kern w:val="2"/>
                <w:sz w:val="24"/>
                <w:szCs w:val="24"/>
              </w:rPr>
            </w:pPr>
            <w:r>
              <w:rPr>
                <w:rFonts w:ascii="仿宋" w:hAnsi="仿宋" w:cs="仿宋"/>
                <w:b/>
                <w:bCs/>
                <w:kern w:val="2"/>
                <w:sz w:val="24"/>
                <w:szCs w:val="24"/>
              </w:rPr>
              <w:t>参加人员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jc w:val="center"/>
        </w:trPr>
        <w:tc>
          <w:tcPr>
            <w:tcW w:w="799" w:type="dxa"/>
            <w:vMerge w:val="restart"/>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第一天</w:t>
            </w:r>
          </w:p>
        </w:tc>
        <w:tc>
          <w:tcPr>
            <w:tcW w:w="1454" w:type="dxa"/>
            <w:vAlign w:val="center"/>
          </w:tcPr>
          <w:p>
            <w:pPr>
              <w:pStyle w:val="17"/>
              <w:adjustRightInd w:val="0"/>
              <w:snapToGrid w:val="0"/>
              <w:jc w:val="center"/>
              <w:rPr>
                <w:rFonts w:hint="default" w:ascii="仿宋" w:hAnsi="仿宋" w:cs="仿宋"/>
                <w:kern w:val="2"/>
                <w:sz w:val="24"/>
                <w:szCs w:val="24"/>
              </w:rPr>
            </w:pPr>
            <w:r>
              <w:rPr>
                <w:rFonts w:hint="default" w:ascii="仿宋" w:hAnsi="仿宋" w:cs="仿宋"/>
                <w:kern w:val="2"/>
                <w:sz w:val="24"/>
                <w:szCs w:val="24"/>
              </w:rPr>
              <w:t>8</w:t>
            </w:r>
            <w:r>
              <w:rPr>
                <w:rFonts w:ascii="仿宋" w:hAnsi="仿宋" w:cs="仿宋"/>
                <w:kern w:val="2"/>
                <w:sz w:val="24"/>
                <w:szCs w:val="24"/>
              </w:rPr>
              <w:t>:00-1</w:t>
            </w:r>
            <w:r>
              <w:rPr>
                <w:rFonts w:hint="default" w:ascii="仿宋" w:hAnsi="仿宋" w:cs="仿宋"/>
                <w:kern w:val="2"/>
                <w:sz w:val="24"/>
                <w:szCs w:val="24"/>
              </w:rPr>
              <w:t>8</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参赛队报到</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住宿酒店</w:t>
            </w:r>
          </w:p>
        </w:tc>
        <w:tc>
          <w:tcPr>
            <w:tcW w:w="3352"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参赛队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5" w:hRule="atLeast"/>
          <w:jc w:val="center"/>
        </w:trPr>
        <w:tc>
          <w:tcPr>
            <w:tcW w:w="799" w:type="dxa"/>
            <w:vMerge w:val="continue"/>
            <w:tcBorders>
              <w:top w:val="nil"/>
            </w:tcBorders>
            <w:vAlign w:val="center"/>
          </w:tcPr>
          <w:p>
            <w:pPr>
              <w:widowControl/>
              <w:adjustRightInd w:val="0"/>
              <w:snapToGrid w:val="0"/>
              <w:jc w:val="center"/>
              <w:rPr>
                <w:rFonts w:hint="default" w:ascii="仿宋" w:hAnsi="仿宋" w:cs="仿宋"/>
                <w:sz w:val="24"/>
                <w:szCs w:val="24"/>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hint="default" w:ascii="仿宋" w:hAnsi="仿宋" w:cs="仿宋"/>
                <w:kern w:val="2"/>
                <w:sz w:val="24"/>
                <w:szCs w:val="24"/>
              </w:rPr>
              <w:t>6</w:t>
            </w:r>
            <w:r>
              <w:rPr>
                <w:rFonts w:ascii="仿宋" w:hAnsi="仿宋" w:cs="仿宋"/>
                <w:kern w:val="2"/>
                <w:sz w:val="24"/>
                <w:szCs w:val="24"/>
              </w:rPr>
              <w:t>:30-1</w:t>
            </w:r>
            <w:r>
              <w:rPr>
                <w:rFonts w:hint="default" w:ascii="仿宋" w:hAnsi="仿宋" w:cs="仿宋"/>
                <w:kern w:val="2"/>
                <w:sz w:val="24"/>
                <w:szCs w:val="24"/>
              </w:rPr>
              <w:t>7</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领队会、场次抽检</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会议室</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参赛队、裁判长、监督长、仲裁长、加密裁判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jc w:val="center"/>
        </w:trPr>
        <w:tc>
          <w:tcPr>
            <w:tcW w:w="799" w:type="dxa"/>
            <w:vMerge w:val="continue"/>
            <w:tcBorders>
              <w:top w:val="nil"/>
            </w:tcBorders>
            <w:vAlign w:val="center"/>
          </w:tcPr>
          <w:p>
            <w:pPr>
              <w:widowControl/>
              <w:adjustRightInd w:val="0"/>
              <w:snapToGrid w:val="0"/>
              <w:jc w:val="center"/>
              <w:rPr>
                <w:rFonts w:hint="default" w:ascii="仿宋" w:hAnsi="仿宋" w:cs="仿宋"/>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hint="default" w:ascii="仿宋" w:hAnsi="仿宋" w:cs="仿宋"/>
                <w:kern w:val="2"/>
                <w:sz w:val="24"/>
                <w:szCs w:val="24"/>
              </w:rPr>
              <w:t>7</w:t>
            </w:r>
            <w:r>
              <w:rPr>
                <w:rFonts w:ascii="仿宋" w:hAnsi="仿宋" w:cs="仿宋"/>
                <w:kern w:val="2"/>
                <w:sz w:val="24"/>
                <w:szCs w:val="24"/>
              </w:rPr>
              <w:t>:30-1</w:t>
            </w:r>
            <w:r>
              <w:rPr>
                <w:rFonts w:hint="default" w:ascii="仿宋" w:hAnsi="仿宋" w:cs="仿宋"/>
                <w:kern w:val="2"/>
                <w:sz w:val="24"/>
                <w:szCs w:val="24"/>
              </w:rPr>
              <w:t>8</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熟悉赛场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参赛队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jc w:val="center"/>
        </w:trPr>
        <w:tc>
          <w:tcPr>
            <w:tcW w:w="799" w:type="dxa"/>
            <w:vMerge w:val="continue"/>
            <w:tcBorders>
              <w:top w:val="nil"/>
            </w:tcBorders>
            <w:vAlign w:val="center"/>
          </w:tcPr>
          <w:p>
            <w:pPr>
              <w:widowControl/>
              <w:adjustRightInd w:val="0"/>
              <w:snapToGrid w:val="0"/>
              <w:jc w:val="center"/>
              <w:rPr>
                <w:rFonts w:hint="default" w:ascii="仿宋" w:hAnsi="仿宋" w:cs="仿宋"/>
                <w:sz w:val="24"/>
                <w:szCs w:val="24"/>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hint="default" w:ascii="仿宋" w:hAnsi="仿宋" w:cs="仿宋"/>
                <w:kern w:val="2"/>
                <w:sz w:val="24"/>
                <w:szCs w:val="24"/>
              </w:rPr>
              <w:t>8</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封闭赛场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裁判长、监督长、仲裁长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jc w:val="center"/>
        </w:trPr>
        <w:tc>
          <w:tcPr>
            <w:tcW w:w="799" w:type="dxa"/>
            <w:vMerge w:val="restart"/>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第二天</w:t>
            </w: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竞赛相关人员到达竞赛场地并完成参赛队检录（第一场一次加密）</w:t>
            </w:r>
          </w:p>
        </w:tc>
        <w:tc>
          <w:tcPr>
            <w:tcW w:w="1036" w:type="dxa"/>
            <w:vAlign w:val="center"/>
          </w:tcPr>
          <w:p>
            <w:pPr>
              <w:pStyle w:val="17"/>
              <w:adjustRightInd w:val="0"/>
              <w:snapToGrid w:val="0"/>
              <w:jc w:val="center"/>
              <w:rPr>
                <w:rFonts w:hint="default" w:ascii="仿宋" w:hAnsi="仿宋" w:cs="仿宋"/>
                <w:kern w:val="2"/>
                <w:sz w:val="24"/>
                <w:szCs w:val="24"/>
                <w:lang w:eastAsia="zh-CN"/>
              </w:rPr>
            </w:pPr>
          </w:p>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竞赛队伍抽签（第一场二次加密）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:00-1</w:t>
            </w:r>
            <w:r>
              <w:rPr>
                <w:rFonts w:ascii="仿宋" w:hAnsi="仿宋" w:cs="仿宋"/>
                <w:kern w:val="2"/>
                <w:sz w:val="24"/>
                <w:szCs w:val="24"/>
                <w:lang w:eastAsia="zh-CN"/>
              </w:rPr>
              <w:t>2</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竞赛相关人员到达竞赛场地并完成参赛队检录（第二场一次加密）</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:30-1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竞赛队伍抽签（第二场二次加密）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3</w:t>
            </w:r>
            <w:r>
              <w:rPr>
                <w:rFonts w:ascii="仿宋" w:hAnsi="仿宋" w:cs="仿宋"/>
                <w:kern w:val="2"/>
                <w:sz w:val="24"/>
                <w:szCs w:val="24"/>
              </w:rPr>
              <w:t>:00-</w:t>
            </w: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18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2</w:t>
            </w:r>
            <w:r>
              <w:rPr>
                <w:rFonts w:ascii="仿宋" w:hAnsi="仿宋" w:cs="仿宋"/>
                <w:kern w:val="2"/>
                <w:sz w:val="24"/>
                <w:szCs w:val="24"/>
                <w:lang w:eastAsia="zh-CN"/>
              </w:rPr>
              <w:t>0</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封闭赛场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裁判长、监督长、仲裁长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restart"/>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第三天</w:t>
            </w: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竞赛相关人员到达竞赛场地并完成参赛队检录（第一场一次加密）</w:t>
            </w:r>
          </w:p>
        </w:tc>
        <w:tc>
          <w:tcPr>
            <w:tcW w:w="1036" w:type="dxa"/>
            <w:vAlign w:val="center"/>
          </w:tcPr>
          <w:p>
            <w:pPr>
              <w:pStyle w:val="17"/>
              <w:adjustRightInd w:val="0"/>
              <w:snapToGrid w:val="0"/>
              <w:jc w:val="center"/>
              <w:rPr>
                <w:rFonts w:hint="default" w:ascii="仿宋" w:hAnsi="仿宋" w:cs="仿宋"/>
                <w:kern w:val="2"/>
                <w:sz w:val="24"/>
                <w:szCs w:val="24"/>
                <w:lang w:eastAsia="zh-CN"/>
              </w:rPr>
            </w:pPr>
          </w:p>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7</w:t>
            </w:r>
            <w:r>
              <w:rPr>
                <w:rFonts w:ascii="仿宋" w:hAnsi="仿宋" w:cs="仿宋"/>
                <w:kern w:val="2"/>
                <w:sz w:val="24"/>
                <w:szCs w:val="24"/>
              </w:rPr>
              <w:t>:</w:t>
            </w:r>
            <w:r>
              <w:rPr>
                <w:rFonts w:ascii="仿宋" w:hAnsi="仿宋" w:cs="仿宋"/>
                <w:kern w:val="2"/>
                <w:sz w:val="24"/>
                <w:szCs w:val="24"/>
                <w:lang w:eastAsia="zh-CN"/>
              </w:rPr>
              <w:t>3</w:t>
            </w:r>
            <w:r>
              <w:rPr>
                <w:rFonts w:ascii="仿宋" w:hAnsi="仿宋" w:cs="仿宋"/>
                <w:kern w:val="2"/>
                <w:sz w:val="24"/>
                <w:szCs w:val="24"/>
              </w:rPr>
              <w:t>0-</w:t>
            </w: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竞赛队伍抽签（第一场二次加密）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1</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:00-1</w:t>
            </w:r>
            <w:r>
              <w:rPr>
                <w:rFonts w:ascii="仿宋" w:hAnsi="仿宋" w:cs="仿宋"/>
                <w:kern w:val="2"/>
                <w:sz w:val="24"/>
                <w:szCs w:val="24"/>
                <w:lang w:eastAsia="zh-CN"/>
              </w:rPr>
              <w:t>2</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竞赛相关人员到达竞赛场地并完成参赛队检录（第二场一次加密）</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一次加密裁判、工作人员、监督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2</w:t>
            </w:r>
            <w:r>
              <w:rPr>
                <w:rFonts w:ascii="仿宋" w:hAnsi="仿宋" w:cs="仿宋"/>
                <w:kern w:val="2"/>
                <w:sz w:val="24"/>
                <w:szCs w:val="24"/>
              </w:rPr>
              <w:t>:30-1</w:t>
            </w:r>
            <w:r>
              <w:rPr>
                <w:rFonts w:ascii="仿宋" w:hAnsi="仿宋" w:cs="仿宋"/>
                <w:kern w:val="2"/>
                <w:sz w:val="24"/>
                <w:szCs w:val="24"/>
                <w:lang w:eastAsia="zh-CN"/>
              </w:rPr>
              <w:t>3</w:t>
            </w:r>
            <w:r>
              <w:rPr>
                <w:rFonts w:ascii="仿宋" w:hAnsi="仿宋" w:cs="仿宋"/>
                <w:kern w:val="2"/>
                <w:sz w:val="24"/>
                <w:szCs w:val="24"/>
              </w:rPr>
              <w:t>:00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竞赛队伍抽签（第二场二次加密） 赛前准备</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二次加密裁判、工作人员、监督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w:t>
            </w:r>
            <w:r>
              <w:rPr>
                <w:rFonts w:ascii="仿宋" w:hAnsi="仿宋" w:cs="仿宋"/>
                <w:kern w:val="2"/>
                <w:sz w:val="24"/>
                <w:szCs w:val="24"/>
                <w:lang w:eastAsia="zh-CN"/>
              </w:rPr>
              <w:t>3</w:t>
            </w:r>
            <w:r>
              <w:rPr>
                <w:rFonts w:ascii="仿宋" w:hAnsi="仿宋" w:cs="仿宋"/>
                <w:kern w:val="2"/>
                <w:sz w:val="24"/>
                <w:szCs w:val="24"/>
              </w:rPr>
              <w:t>:00-</w:t>
            </w: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正式比赛</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裁判长、现场裁判、技术人员、监督、仲裁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lang w:eastAsia="zh-CN"/>
              </w:rPr>
              <w:t>16</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r>
              <w:rPr>
                <w:rFonts w:ascii="仿宋" w:hAnsi="仿宋" w:cs="仿宋"/>
                <w:kern w:val="2"/>
                <w:sz w:val="24"/>
                <w:szCs w:val="24"/>
                <w:lang w:eastAsia="zh-CN"/>
              </w:rPr>
              <w:t>18</w:t>
            </w:r>
            <w:r>
              <w:rPr>
                <w:rFonts w:ascii="仿宋" w:hAnsi="仿宋" w:cs="仿宋"/>
                <w:kern w:val="2"/>
                <w:sz w:val="24"/>
                <w:szCs w:val="24"/>
              </w:rPr>
              <w:t>:</w:t>
            </w:r>
            <w:r>
              <w:rPr>
                <w:rFonts w:ascii="仿宋" w:hAnsi="仿宋" w:cs="仿宋"/>
                <w:kern w:val="2"/>
                <w:sz w:val="24"/>
                <w:szCs w:val="24"/>
                <w:lang w:eastAsia="zh-CN"/>
              </w:rPr>
              <w:t>0</w:t>
            </w:r>
            <w:r>
              <w:rPr>
                <w:rFonts w:ascii="仿宋" w:hAnsi="仿宋" w:cs="仿宋"/>
                <w:kern w:val="2"/>
                <w:sz w:val="24"/>
                <w:szCs w:val="24"/>
              </w:rPr>
              <w:t>0</w:t>
            </w:r>
          </w:p>
        </w:tc>
        <w:tc>
          <w:tcPr>
            <w:tcW w:w="2746" w:type="dxa"/>
            <w:vAlign w:val="center"/>
          </w:tcPr>
          <w:p>
            <w:pPr>
              <w:pStyle w:val="17"/>
              <w:adjustRightInd w:val="0"/>
              <w:snapToGrid w:val="0"/>
              <w:jc w:val="center"/>
              <w:rPr>
                <w:rFonts w:hint="default" w:ascii="仿宋" w:hAnsi="仿宋" w:cs="仿宋"/>
                <w:kern w:val="2"/>
                <w:sz w:val="24"/>
                <w:szCs w:val="24"/>
                <w:lang w:eastAsia="zh-CN"/>
              </w:rPr>
            </w:pPr>
            <w:r>
              <w:rPr>
                <w:rFonts w:ascii="仿宋" w:hAnsi="仿宋" w:cs="仿宋"/>
                <w:kern w:val="2"/>
                <w:sz w:val="24"/>
                <w:szCs w:val="24"/>
                <w:lang w:eastAsia="zh-CN"/>
              </w:rPr>
              <w:t>参赛队退场、等待评分、裁判评分、设备恢复</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裁判长、技术人员、监督、仲裁、评分裁判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Merge w:val="continue"/>
            <w:vAlign w:val="center"/>
          </w:tcPr>
          <w:p>
            <w:pPr>
              <w:pStyle w:val="17"/>
              <w:adjustRightInd w:val="0"/>
              <w:snapToGrid w:val="0"/>
              <w:jc w:val="center"/>
              <w:rPr>
                <w:rFonts w:hint="default" w:ascii="仿宋" w:hAnsi="仿宋" w:cs="仿宋"/>
                <w:kern w:val="2"/>
                <w:sz w:val="24"/>
                <w:szCs w:val="24"/>
                <w:lang w:eastAsia="zh-CN"/>
              </w:rPr>
            </w:pP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2</w:t>
            </w:r>
            <w:r>
              <w:rPr>
                <w:rFonts w:ascii="仿宋" w:hAnsi="仿宋" w:cs="仿宋"/>
                <w:kern w:val="2"/>
                <w:sz w:val="24"/>
                <w:szCs w:val="24"/>
                <w:lang w:eastAsia="zh-CN"/>
              </w:rPr>
              <w:t>0</w:t>
            </w:r>
            <w:r>
              <w:rPr>
                <w:rFonts w:ascii="仿宋" w:hAnsi="仿宋" w:cs="仿宋"/>
                <w:kern w:val="2"/>
                <w:sz w:val="24"/>
                <w:szCs w:val="24"/>
              </w:rPr>
              <w:t>:30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封闭赛场</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竞赛场地</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裁判长、监督长、仲裁长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jc w:val="center"/>
        </w:trPr>
        <w:tc>
          <w:tcPr>
            <w:tcW w:w="799"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第</w:t>
            </w:r>
            <w:r>
              <w:rPr>
                <w:rFonts w:ascii="仿宋" w:hAnsi="仿宋" w:cs="仿宋"/>
                <w:kern w:val="2"/>
                <w:sz w:val="24"/>
                <w:szCs w:val="24"/>
                <w:lang w:eastAsia="zh-CN"/>
              </w:rPr>
              <w:t>四</w:t>
            </w:r>
            <w:r>
              <w:rPr>
                <w:rFonts w:ascii="仿宋" w:hAnsi="仿宋" w:cs="仿宋"/>
                <w:kern w:val="2"/>
                <w:sz w:val="24"/>
                <w:szCs w:val="24"/>
              </w:rPr>
              <w:t>天</w:t>
            </w:r>
          </w:p>
        </w:tc>
        <w:tc>
          <w:tcPr>
            <w:tcW w:w="1454"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10:00-11:00</w:t>
            </w:r>
          </w:p>
        </w:tc>
        <w:tc>
          <w:tcPr>
            <w:tcW w:w="274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闭赛式</w:t>
            </w:r>
          </w:p>
        </w:tc>
        <w:tc>
          <w:tcPr>
            <w:tcW w:w="1036" w:type="dxa"/>
            <w:vAlign w:val="center"/>
          </w:tcPr>
          <w:p>
            <w:pPr>
              <w:pStyle w:val="17"/>
              <w:adjustRightInd w:val="0"/>
              <w:snapToGrid w:val="0"/>
              <w:jc w:val="center"/>
              <w:rPr>
                <w:rFonts w:hint="default" w:ascii="仿宋" w:hAnsi="仿宋" w:cs="仿宋"/>
                <w:kern w:val="2"/>
                <w:sz w:val="24"/>
                <w:szCs w:val="24"/>
              </w:rPr>
            </w:pPr>
            <w:r>
              <w:rPr>
                <w:rFonts w:ascii="仿宋" w:hAnsi="仿宋" w:cs="仿宋"/>
                <w:kern w:val="2"/>
                <w:sz w:val="24"/>
                <w:szCs w:val="24"/>
              </w:rPr>
              <w:t>报告厅</w:t>
            </w:r>
          </w:p>
        </w:tc>
        <w:tc>
          <w:tcPr>
            <w:tcW w:w="3352" w:type="dxa"/>
            <w:vAlign w:val="center"/>
          </w:tcPr>
          <w:p>
            <w:pPr>
              <w:widowControl/>
              <w:adjustRightInd w:val="0"/>
              <w:snapToGrid w:val="0"/>
              <w:jc w:val="center"/>
              <w:rPr>
                <w:rFonts w:hint="default" w:ascii="仿宋" w:hAnsi="仿宋" w:cs="仿宋"/>
                <w:sz w:val="24"/>
                <w:szCs w:val="24"/>
                <w:lang w:eastAsia="zh-CN"/>
              </w:rPr>
            </w:pPr>
            <w:r>
              <w:rPr>
                <w:rFonts w:ascii="仿宋" w:hAnsi="仿宋" w:cs="仿宋"/>
                <w:sz w:val="24"/>
                <w:szCs w:val="24"/>
                <w:lang w:eastAsia="zh-CN"/>
              </w:rPr>
              <w:t>参赛队、裁判组、监督组、专家组、工作人员</w:t>
            </w:r>
          </w:p>
        </w:tc>
      </w:tr>
    </w:tbl>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5"/>
        <w:tabs>
          <w:tab w:val="left" w:pos="909"/>
        </w:tabs>
        <w:autoSpaceDE/>
        <w:autoSpaceDN/>
        <w:ind w:left="0" w:right="338" w:firstLine="512" w:firstLineChars="200"/>
        <w:jc w:val="center"/>
        <w:rPr>
          <w:rFonts w:hint="default" w:ascii="仿宋" w:hAnsi="仿宋" w:cs="仿宋"/>
          <w:spacing w:val="-12"/>
          <w:szCs w:val="28"/>
          <w:lang w:eastAsia="zh-CN"/>
        </w:rPr>
      </w:pPr>
    </w:p>
    <w:p>
      <w:pPr>
        <w:pStyle w:val="2"/>
        <w:keepNext/>
        <w:keepLines/>
        <w:autoSpaceDE/>
        <w:autoSpaceDN/>
        <w:spacing w:before="0"/>
        <w:ind w:left="0" w:firstLine="640" w:firstLineChars="200"/>
        <w:jc w:val="center"/>
        <w:rPr>
          <w:rFonts w:hint="default"/>
        </w:rPr>
      </w:pPr>
      <w:bookmarkStart w:id="3" w:name="_Toc2534"/>
      <w:r>
        <w:drawing>
          <wp:inline distT="0" distB="0" distL="114300" distR="114300">
            <wp:extent cx="2293620" cy="5143500"/>
            <wp:effectExtent l="0" t="0" r="762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2293620" cy="5143500"/>
                    </a:xfrm>
                    <a:prstGeom prst="rect">
                      <a:avLst/>
                    </a:prstGeom>
                    <a:noFill/>
                    <a:ln>
                      <a:noFill/>
                    </a:ln>
                  </pic:spPr>
                </pic:pic>
              </a:graphicData>
            </a:graphic>
          </wp:inline>
        </w:drawing>
      </w:r>
    </w:p>
    <w:p>
      <w:pPr>
        <w:pStyle w:val="5"/>
        <w:autoSpaceDE/>
        <w:autoSpaceDN/>
        <w:adjustRightInd w:val="0"/>
        <w:snapToGrid w:val="0"/>
        <w:ind w:left="0" w:firstLine="560" w:firstLineChars="200"/>
        <w:jc w:val="center"/>
        <w:rPr>
          <w:rFonts w:hint="default" w:ascii="仿宋" w:hAnsi="仿宋" w:cs="仿宋"/>
          <w:szCs w:val="28"/>
          <w:lang w:eastAsia="zh-CN"/>
        </w:rPr>
      </w:pPr>
      <w:r>
        <w:rPr>
          <w:rFonts w:ascii="仿宋" w:hAnsi="仿宋" w:cs="仿宋"/>
          <w:szCs w:val="28"/>
          <w:lang w:eastAsia="zh-CN"/>
        </w:rPr>
        <w:t>图1竞赛流程</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r>
        <w:rPr>
          <w:rFonts w:ascii="Times New Roman" w:hAnsi="Times New Roman" w:eastAsia="宋体"/>
          <w:b/>
          <w:kern w:val="44"/>
          <w:sz w:val="30"/>
          <w:szCs w:val="22"/>
          <w:lang w:eastAsia="zh-CN"/>
        </w:rPr>
        <w:t>四、竞赛方式</w:t>
      </w:r>
      <w:bookmarkEnd w:id="3"/>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（一）竞赛以团体赛方式线下进行。每支参赛队2名选手。</w:t>
      </w:r>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（二）不得跨校组队，同一所学校参赛队不超过</w:t>
      </w:r>
      <w:r>
        <w:rPr>
          <w:rFonts w:hint="eastAsia" w:ascii="仿宋" w:hAnsi="仿宋" w:cs="仿宋"/>
          <w:szCs w:val="28"/>
          <w:lang w:val="en-US" w:eastAsia="zh-CN"/>
        </w:rPr>
        <w:t>2</w:t>
      </w:r>
      <w:r>
        <w:rPr>
          <w:rFonts w:ascii="仿宋" w:hAnsi="仿宋" w:cs="仿宋"/>
          <w:szCs w:val="28"/>
          <w:lang w:eastAsia="zh-CN"/>
        </w:rPr>
        <w:t>支；指导教师须为本校专兼职教师，每队限报2名指导教师。</w:t>
      </w:r>
    </w:p>
    <w:p>
      <w:pPr>
        <w:pStyle w:val="5"/>
        <w:autoSpaceDE/>
        <w:autoSpaceDN/>
        <w:adjustRightInd w:val="0"/>
        <w:snapToGrid w:val="0"/>
        <w:ind w:left="0" w:firstLine="560" w:firstLineChars="200"/>
        <w:jc w:val="both"/>
        <w:rPr>
          <w:rFonts w:hint="default" w:ascii="仿宋" w:hAnsi="仿宋" w:cs="仿宋"/>
          <w:szCs w:val="28"/>
          <w:lang w:eastAsia="zh-CN"/>
        </w:rPr>
      </w:pPr>
      <w:r>
        <w:rPr>
          <w:rFonts w:ascii="仿宋" w:hAnsi="仿宋" w:cs="仿宋"/>
          <w:szCs w:val="28"/>
          <w:lang w:eastAsia="zh-CN"/>
        </w:rPr>
        <w:t>（三）凡在往届全国职业院校技能大赛中获一等奖的选手，不能再参加同一项目同一组别的比赛。</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4" w:name="_Toc29529"/>
      <w:r>
        <w:rPr>
          <w:rFonts w:ascii="Times New Roman" w:hAnsi="Times New Roman" w:eastAsia="宋体"/>
          <w:b/>
          <w:kern w:val="44"/>
          <w:sz w:val="30"/>
          <w:szCs w:val="22"/>
          <w:lang w:eastAsia="zh-CN"/>
        </w:rPr>
        <w:t>五、竞赛试题</w:t>
      </w:r>
      <w:bookmarkEnd w:id="4"/>
    </w:p>
    <w:p>
      <w:pPr>
        <w:pStyle w:val="5"/>
        <w:autoSpaceDE/>
        <w:autoSpaceDN/>
        <w:adjustRightInd w:val="0"/>
        <w:snapToGrid w:val="0"/>
        <w:ind w:left="0" w:firstLine="560" w:firstLineChars="200"/>
        <w:jc w:val="both"/>
        <w:rPr>
          <w:rFonts w:hint="default" w:ascii="仿宋" w:hAnsi="仿宋" w:cs="仿宋"/>
          <w:szCs w:val="28"/>
          <w:lang w:eastAsia="zh-CN"/>
        </w:rPr>
      </w:pPr>
      <w:bookmarkStart w:id="5" w:name="_Toc11388"/>
      <w:r>
        <w:rPr>
          <w:rFonts w:ascii="仿宋" w:hAnsi="仿宋" w:cs="仿宋"/>
          <w:szCs w:val="28"/>
          <w:lang w:eastAsia="zh-CN"/>
        </w:rPr>
        <w:t>赛项专家组负责本赛项赛题的编制工作。赛题编制遵从公开、公平、公正原则。赛项样题于赛前15天公布。正式赛题与样题形式上保持一致，难度相当。</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r>
        <w:rPr>
          <w:rFonts w:ascii="Times New Roman" w:hAnsi="Times New Roman" w:eastAsia="宋体"/>
          <w:b/>
          <w:kern w:val="44"/>
          <w:sz w:val="30"/>
          <w:szCs w:val="22"/>
          <w:lang w:eastAsia="zh-CN"/>
        </w:rPr>
        <w:t>六、竞赛规则</w:t>
      </w:r>
      <w:bookmarkEnd w:id="5"/>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6" w:name="_Toc8270"/>
      <w:r>
        <w:rPr>
          <w:rFonts w:asciiTheme="majorEastAsia" w:hAnsiTheme="majorEastAsia" w:eastAsiaTheme="majorEastAsia" w:cstheme="majorEastAsia"/>
          <w:b/>
          <w:bCs/>
          <w:szCs w:val="28"/>
          <w:lang w:eastAsia="zh-CN"/>
        </w:rPr>
        <w:t>（一）选手报名</w:t>
      </w:r>
      <w:bookmarkEnd w:id="6"/>
    </w:p>
    <w:p>
      <w:pPr>
        <w:autoSpaceDE/>
        <w:autoSpaceDN/>
        <w:adjustRightInd w:val="0"/>
        <w:snapToGrid w:val="0"/>
        <w:ind w:firstLine="560" w:firstLineChars="200"/>
        <w:jc w:val="both"/>
        <w:rPr>
          <w:rFonts w:hint="default" w:ascii="仿宋" w:hAnsi="仿宋" w:cs="仿宋"/>
          <w:snapToGrid w:val="0"/>
          <w:szCs w:val="28"/>
          <w:lang w:eastAsia="zh-CN"/>
        </w:rPr>
      </w:pPr>
      <w:bookmarkStart w:id="7" w:name="_Toc10262"/>
      <w:r>
        <w:rPr>
          <w:rFonts w:ascii="仿宋" w:hAnsi="仿宋" w:cs="仿宋"/>
          <w:snapToGrid w:val="0"/>
          <w:szCs w:val="28"/>
          <w:lang w:eastAsia="zh-CN"/>
        </w:rPr>
        <w:t>1.每支参赛队由2名比赛选手组成，性别不限，年龄不限，其中队长1名，同一所学校参赛队不超过</w:t>
      </w:r>
      <w:r>
        <w:rPr>
          <w:rFonts w:hint="eastAsia" w:ascii="仿宋" w:hAnsi="仿宋" w:cs="仿宋"/>
          <w:snapToGrid w:val="0"/>
          <w:szCs w:val="28"/>
          <w:lang w:val="en-US" w:eastAsia="zh-CN"/>
        </w:rPr>
        <w:t>2</w:t>
      </w:r>
      <w:r>
        <w:rPr>
          <w:rFonts w:ascii="仿宋" w:hAnsi="仿宋" w:cs="仿宋"/>
          <w:snapToGrid w:val="0"/>
          <w:szCs w:val="28"/>
          <w:lang w:eastAsia="zh-CN"/>
        </w:rPr>
        <w:t>支。参赛选手须为中等职业学校在职教师。</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2.凡在往届全国职业院校技能大赛中获一等奖的选手，不能再参加同一项目同一组别的比赛。</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3.各地区选手资格审查工作由市级教育行政部门负责。大赛执委会办公室行使抽查的权利。</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r>
        <w:rPr>
          <w:rFonts w:asciiTheme="majorEastAsia" w:hAnsiTheme="majorEastAsia" w:eastAsiaTheme="majorEastAsia" w:cstheme="majorEastAsia"/>
          <w:b/>
          <w:bCs/>
          <w:szCs w:val="28"/>
          <w:lang w:eastAsia="zh-CN"/>
        </w:rPr>
        <w:t>（二）熟悉场地</w:t>
      </w:r>
      <w:bookmarkEnd w:id="7"/>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在比赛日前一天，参赛队在工作人员带领下，携带身份证件，按照规定路线有序进入赛场。任何人员只能在指定区域观察，不得进入赛位，不得触碰赛位内物品。</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8" w:name="_Toc25653"/>
      <w:r>
        <w:rPr>
          <w:rFonts w:asciiTheme="majorEastAsia" w:hAnsiTheme="majorEastAsia" w:eastAsiaTheme="majorEastAsia" w:cstheme="majorEastAsia"/>
          <w:b/>
          <w:bCs/>
          <w:szCs w:val="28"/>
          <w:lang w:eastAsia="zh-CN"/>
        </w:rPr>
        <w:t>（三）正式比赛</w:t>
      </w:r>
      <w:bookmarkEnd w:id="8"/>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1.赛程开始前，裁判长会集中所有选手宣布竞赛注意事项和竞赛安全要求，并当众解封竞赛任务书，由现场裁判发放竞赛任务书。</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2.赛程前十分钟选手经裁判长允许进入工位，按设备清单检查竞赛设备、机械电气元件、工具、耗材、文具用品等，不得做与竞赛任务相关的事情。</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所有人员在赛场内不得有影响选手完成工作任务的行为。参赛选手未经现场裁判许可不得随意离开赛位，使用文明用语，不得言语攻击裁判和赛场工作人员。参赛选手须严格遵守安全操作规程，确保人身及设备安全。参赛选手因个人误操作造成人身安全事故和设备损坏时，裁判长有权中止该参赛队比赛。如非选手个人因素出现设备故障而无法比赛，由裁判长视具体情况做出裁决，若裁判长确定设备故障可由技术支持人员排除后继续比赛，则按规定酌情补时；若无法排除则予以启用备用设备。</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4.每个赛程选手退场时不得将任务书、草稿纸、耗材工具等赛位物品带出赛场。</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5.为确保竞赛流程顺畅，智能制造设备技术应用任务在独立平台中进行，采用独立封闭竞赛环境，由2位参赛选手同时完成。</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9" w:name="_Toc32228"/>
      <w:r>
        <w:rPr>
          <w:rFonts w:asciiTheme="majorEastAsia" w:hAnsiTheme="majorEastAsia" w:eastAsiaTheme="majorEastAsia" w:cstheme="majorEastAsia"/>
          <w:b/>
          <w:bCs/>
          <w:szCs w:val="28"/>
          <w:lang w:eastAsia="zh-CN"/>
        </w:rPr>
        <w:t>（四）成绩评定</w:t>
      </w:r>
      <w:bookmarkEnd w:id="9"/>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成绩评定过程中，选手根据裁判要求展示竞赛成果和任务完成情况。裁判严格按照评分表，依照选手实际完成情况完成评定，确保公平公正。选手不得围观和议论其他选手评定情况。</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裁判不得将选手表现和评定结果泄露。工作人员根据裁判要求配合评定工作，不得擅自进入赛位影响评判过程。</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0" w:name="_Toc11624"/>
      <w:r>
        <w:rPr>
          <w:rFonts w:asciiTheme="majorEastAsia" w:hAnsiTheme="majorEastAsia" w:eastAsiaTheme="majorEastAsia" w:cstheme="majorEastAsia"/>
          <w:b/>
          <w:bCs/>
          <w:szCs w:val="28"/>
          <w:lang w:eastAsia="zh-CN"/>
        </w:rPr>
        <w:t>（五）结果公布</w:t>
      </w:r>
      <w:bookmarkEnd w:id="10"/>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记分员将解密后的各参赛队结果汇总，经裁判长、监督仲裁组长签字后，按照赛项指南中明确的地点、时间进行公布。公示时间为2小时。结果公布无异议后，由监督仲裁组长在汇总结果单上签字，在闭赛式上公布。</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11" w:name="_Toc13587"/>
      <w:r>
        <w:rPr>
          <w:rFonts w:ascii="Times New Roman" w:hAnsi="Times New Roman" w:eastAsia="宋体"/>
          <w:b/>
          <w:kern w:val="44"/>
          <w:sz w:val="30"/>
          <w:szCs w:val="22"/>
          <w:lang w:eastAsia="zh-CN"/>
        </w:rPr>
        <w:t>七、竞赛环境</w:t>
      </w:r>
      <w:bookmarkEnd w:id="11"/>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2" w:name="_Toc30615"/>
      <w:r>
        <w:rPr>
          <w:rFonts w:asciiTheme="majorEastAsia" w:hAnsiTheme="majorEastAsia" w:eastAsiaTheme="majorEastAsia" w:cstheme="majorEastAsia"/>
          <w:b/>
          <w:bCs/>
          <w:szCs w:val="28"/>
          <w:lang w:eastAsia="zh-CN"/>
        </w:rPr>
        <w:t>（一）整体环境要求</w:t>
      </w:r>
      <w:bookmarkEnd w:id="12"/>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1.竞赛场地平整、明亮、通风良好、温度适宜，设有监控。</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2.赛场设有医疗站、灭火器和备用电源。</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3.场地面积应不低于1200㎡。</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3" w:name="_Toc3825"/>
      <w:r>
        <w:rPr>
          <w:rFonts w:asciiTheme="majorEastAsia" w:hAnsiTheme="majorEastAsia" w:eastAsiaTheme="majorEastAsia" w:cstheme="majorEastAsia"/>
          <w:b/>
          <w:bCs/>
          <w:szCs w:val="28"/>
          <w:lang w:eastAsia="zh-CN"/>
        </w:rPr>
        <w:t>（二）竞赛工位要求</w:t>
      </w:r>
      <w:bookmarkEnd w:id="13"/>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单个竞赛工位面积不小于20㎡（5m*4m），标有竞赛工位号码，各个工位有隔断分开，工位过道间距至少2m以上，设立不少于2个备用工位。</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4" w:name="_Toc10727"/>
      <w:r>
        <w:rPr>
          <w:rFonts w:asciiTheme="majorEastAsia" w:hAnsiTheme="majorEastAsia" w:eastAsiaTheme="majorEastAsia" w:cstheme="majorEastAsia"/>
          <w:b/>
          <w:bCs/>
          <w:szCs w:val="28"/>
          <w:lang w:eastAsia="zh-CN"/>
        </w:rPr>
        <w:t>（三）工装器具技术规格</w:t>
      </w:r>
      <w:bookmarkEnd w:id="14"/>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万用表1个、内六角扳手1套、螺钉旋具1套、双头钟表旋具1套、公制卷尺1、水口钳1把、尖嘴钳1把、斜口钳1把等。</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5" w:name="_Toc31973"/>
      <w:r>
        <w:rPr>
          <w:rFonts w:asciiTheme="majorEastAsia" w:hAnsiTheme="majorEastAsia" w:eastAsiaTheme="majorEastAsia" w:cstheme="majorEastAsia"/>
          <w:b/>
          <w:bCs/>
          <w:szCs w:val="28"/>
          <w:lang w:eastAsia="zh-CN"/>
        </w:rPr>
        <w:t>（四）软件版本信息</w:t>
      </w:r>
      <w:bookmarkEnd w:id="15"/>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1.PLC编程软件。</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2.HMI编程软件。</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3.工业机器人编程软件。</w:t>
      </w:r>
    </w:p>
    <w:p>
      <w:pPr>
        <w:pStyle w:val="2"/>
        <w:keepNext/>
        <w:keepLines/>
        <w:autoSpaceDE/>
        <w:autoSpaceDN/>
        <w:spacing w:before="0"/>
        <w:ind w:left="0" w:firstLine="602" w:firstLineChars="200"/>
        <w:jc w:val="both"/>
        <w:rPr>
          <w:rFonts w:hint="default" w:ascii="Times New Roman" w:hAnsi="Times New Roman" w:eastAsia="宋体"/>
          <w:b/>
          <w:kern w:val="44"/>
          <w:sz w:val="30"/>
          <w:szCs w:val="22"/>
          <w:lang w:eastAsia="zh-CN"/>
        </w:rPr>
      </w:pPr>
      <w:bookmarkStart w:id="16" w:name="_Toc889"/>
      <w:r>
        <w:rPr>
          <w:rFonts w:ascii="Times New Roman" w:hAnsi="Times New Roman" w:eastAsia="宋体"/>
          <w:b/>
          <w:kern w:val="44"/>
          <w:sz w:val="30"/>
          <w:szCs w:val="22"/>
          <w:lang w:eastAsia="zh-CN"/>
        </w:rPr>
        <w:t>八、技术规范</w:t>
      </w:r>
      <w:bookmarkEnd w:id="16"/>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7" w:name="_Toc28549"/>
      <w:r>
        <w:rPr>
          <w:rFonts w:asciiTheme="majorEastAsia" w:hAnsiTheme="majorEastAsia" w:eastAsiaTheme="majorEastAsia" w:cstheme="majorEastAsia"/>
          <w:b/>
          <w:bCs/>
          <w:szCs w:val="28"/>
          <w:lang w:eastAsia="zh-CN"/>
        </w:rPr>
        <w:t>（一）相关知识与技能</w:t>
      </w:r>
      <w:bookmarkEnd w:id="17"/>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1.工业机器人技术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2.机电设备安装与调试</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3.传感器技术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4.PLC 自动控制技术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5.气动控制技术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6.运动控制技术及精确定位控制技术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7.视觉检测、识别及定位技术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8.HMI人机组态技术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9.网络总线技术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10.RFID检测技术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11.结构化编程及虚拟仿真技术</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12.伺服驱动系统原理与应用</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13.智能装备与产线单元模块的现场安装和调试</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8" w:name="_Toc28854"/>
      <w:r>
        <w:rPr>
          <w:rFonts w:asciiTheme="majorEastAsia" w:hAnsiTheme="majorEastAsia" w:eastAsiaTheme="majorEastAsia" w:cstheme="majorEastAsia"/>
          <w:b/>
          <w:bCs/>
          <w:szCs w:val="28"/>
          <w:lang w:eastAsia="zh-CN"/>
        </w:rPr>
        <w:t>（二）参考相关职业标准和技术标准</w:t>
      </w:r>
      <w:bookmarkEnd w:id="18"/>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1.机械设备安装工国家职业标准（职业编码6-29-03-01）</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2.电气设备安装工国家职业标准（职业编码6-29-03-02）</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3.工业机器人系统运维员国家职业技能标准（职业编码6-31-07-01）</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4.工业机器人系统操作员国家职业技能标准（职业编码6-31-07-03）</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5.工业控制系统信息安全GB/T 30976.1-30976.2</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6.工业机器人坐标系和运动命名原则GB/T 16977-2005</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7.工业机器人编程和操作图形用户接口GB/T 19399-2003</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8.工业机器人安全规范GB/T11291-1997</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9.工业机器人通用技术标准GB/T 14284-1993</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10.电气设备用图形符号GB/T 5465.2-1996</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11.机械安全机械电气设备第1部分GB 5226.1-2002</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12.工业通信网络现场总线规范第2部分：物流层规范和服务定义GB/T 16657.2-2008</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13.教学仪器设备安全要求总则GB 21746-2008</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14.世界技能大赛机电一体化项目专业技术规范</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15.工业机器人集成应用职业技能等级标准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16.工业机器人操作与运维职业技能等级标准</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19" w:name="_Toc3863"/>
      <w:r>
        <w:rPr>
          <w:rFonts w:asciiTheme="majorEastAsia" w:hAnsiTheme="majorEastAsia" w:eastAsiaTheme="majorEastAsia" w:cstheme="majorEastAsia"/>
          <w:b/>
          <w:bCs/>
          <w:szCs w:val="28"/>
          <w:lang w:eastAsia="zh-CN"/>
        </w:rPr>
        <w:t>（三）专业教学标准</w:t>
      </w:r>
      <w:bookmarkEnd w:id="19"/>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1.《职业教育专业简介》（2021年版）</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2.《中等职业学校专业教学标准》</w:t>
      </w:r>
    </w:p>
    <w:p>
      <w:pPr>
        <w:autoSpaceDE/>
        <w:autoSpaceDN/>
        <w:adjustRightInd w:val="0"/>
        <w:snapToGrid w:val="0"/>
        <w:ind w:firstLine="602" w:firstLineChars="200"/>
        <w:outlineLvl w:val="0"/>
        <w:rPr>
          <w:rFonts w:hint="default"/>
          <w:b/>
          <w:bCs/>
          <w:sz w:val="32"/>
          <w:szCs w:val="32"/>
          <w:lang w:eastAsia="zh-CN"/>
        </w:rPr>
      </w:pPr>
      <w:bookmarkStart w:id="20" w:name="_Toc14407"/>
      <w:r>
        <w:rPr>
          <w:rFonts w:ascii="Times New Roman" w:hAnsi="Times New Roman" w:eastAsia="宋体"/>
          <w:b/>
          <w:kern w:val="44"/>
          <w:sz w:val="30"/>
          <w:szCs w:val="22"/>
          <w:lang w:eastAsia="zh-CN"/>
        </w:rPr>
        <w:t>九、竞赛平台</w:t>
      </w:r>
      <w:bookmarkEnd w:id="20"/>
    </w:p>
    <w:p>
      <w:pPr>
        <w:snapToGrid w:val="0"/>
        <w:ind w:firstLine="560" w:firstLineChars="200"/>
        <w:rPr>
          <w:rFonts w:hint="default" w:eastAsia="仿宋_GB2312" w:cs="仿宋_GB2312"/>
          <w:szCs w:val="28"/>
          <w:lang w:eastAsia="zh-CN"/>
        </w:rPr>
      </w:pPr>
      <w:bookmarkStart w:id="21" w:name="_Toc12592"/>
      <w:r>
        <w:rPr>
          <w:rFonts w:eastAsia="仿宋_GB2312" w:cs="仿宋_GB2312"/>
          <w:szCs w:val="28"/>
          <w:lang w:eastAsia="zh-CN"/>
        </w:rPr>
        <w:t>1.选用六轴工业机器人，轴数不少于6个自由度，负载不低于3kg，重复定位精度不低于0.02mm。</w:t>
      </w:r>
    </w:p>
    <w:p>
      <w:pPr>
        <w:snapToGrid w:val="0"/>
        <w:ind w:firstLine="560" w:firstLineChars="200"/>
        <w:rPr>
          <w:rFonts w:hint="default" w:eastAsia="仿宋_GB2312" w:cs="仿宋_GB2312"/>
          <w:szCs w:val="28"/>
          <w:lang w:eastAsia="zh-CN"/>
        </w:rPr>
      </w:pPr>
      <w:r>
        <w:rPr>
          <w:rFonts w:eastAsia="仿宋_GB2312" w:cs="仿宋_GB2312"/>
          <w:szCs w:val="28"/>
          <w:lang w:eastAsia="zh-CN"/>
        </w:rPr>
        <w:t>2.选用高性能PLC实现集成控制，支持模块拓展，支持Profinet、Modbus TCP、以太网通信。</w:t>
      </w:r>
    </w:p>
    <w:p>
      <w:pPr>
        <w:snapToGrid w:val="0"/>
        <w:ind w:firstLine="560" w:firstLineChars="200"/>
        <w:rPr>
          <w:rFonts w:hint="default" w:eastAsia="仿宋_GB2312" w:cs="仿宋_GB2312"/>
          <w:szCs w:val="28"/>
          <w:lang w:eastAsia="zh-CN"/>
        </w:rPr>
      </w:pPr>
      <w:r>
        <w:rPr>
          <w:rFonts w:eastAsia="仿宋_GB2312" w:cs="仿宋_GB2312"/>
          <w:szCs w:val="28"/>
          <w:lang w:eastAsia="zh-CN"/>
        </w:rPr>
        <w:t>3.选用高性能人机界面，支持提供以太网与外部设备通讯。</w:t>
      </w:r>
    </w:p>
    <w:p>
      <w:pPr>
        <w:snapToGrid w:val="0"/>
        <w:ind w:firstLine="560" w:firstLineChars="200"/>
        <w:rPr>
          <w:rFonts w:hint="default" w:eastAsia="仿宋_GB2312" w:cs="仿宋_GB2312"/>
          <w:szCs w:val="28"/>
          <w:lang w:eastAsia="zh-CN"/>
        </w:rPr>
      </w:pPr>
      <w:r>
        <w:rPr>
          <w:rFonts w:eastAsia="仿宋_GB2312" w:cs="仿宋_GB2312"/>
          <w:szCs w:val="28"/>
          <w:lang w:eastAsia="zh-CN"/>
        </w:rPr>
        <w:t>4.选用视觉检测系统，提供稳定视觉光源，支持多种通讯方式。</w:t>
      </w:r>
    </w:p>
    <w:p>
      <w:pPr>
        <w:snapToGrid w:val="0"/>
        <w:ind w:firstLine="560" w:firstLineChars="200"/>
        <w:rPr>
          <w:rFonts w:hint="default" w:eastAsia="仿宋_GB2312" w:cs="仿宋_GB2312"/>
          <w:szCs w:val="28"/>
          <w:lang w:eastAsia="zh-CN"/>
        </w:rPr>
      </w:pPr>
      <w:r>
        <w:rPr>
          <w:rFonts w:eastAsia="仿宋_GB2312" w:cs="仿宋_GB2312"/>
          <w:szCs w:val="28"/>
          <w:lang w:eastAsia="zh-CN"/>
        </w:rPr>
        <w:t>5.搭配涂胶应用单元，包含直线、圆形、复杂曲线等轨迹。</w:t>
      </w:r>
    </w:p>
    <w:p>
      <w:pPr>
        <w:snapToGrid w:val="0"/>
        <w:ind w:firstLine="560" w:firstLineChars="200"/>
        <w:rPr>
          <w:rFonts w:hint="default" w:eastAsia="仿宋_GB2312" w:cs="仿宋_GB2312"/>
          <w:szCs w:val="28"/>
          <w:lang w:eastAsia="zh-CN"/>
        </w:rPr>
      </w:pPr>
      <w:r>
        <w:rPr>
          <w:rFonts w:eastAsia="仿宋_GB2312" w:cs="仿宋_GB2312"/>
          <w:szCs w:val="28"/>
          <w:lang w:eastAsia="zh-CN"/>
        </w:rPr>
        <w:t>6.搭配码垛单元，提供不少于6个码垛物料，可实现多种形式码垛功能。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7.搭配输送线跟踪单元，可实现输送线动态跟踪抓取、装配、涂胶等功能。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8.搭配多类型零部件、料盒、零件供料机构等单元，可实现复杂零件分拣、装配等功能。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9.搭配螺丝供料机、螺丝枪单元，可实现锁螺丝功能。</w:t>
      </w:r>
    </w:p>
    <w:p>
      <w:pPr>
        <w:snapToGrid w:val="0"/>
        <w:ind w:firstLine="560" w:firstLineChars="200"/>
        <w:rPr>
          <w:rFonts w:hint="default" w:eastAsia="仿宋_GB2312" w:cs="仿宋_GB2312"/>
          <w:szCs w:val="28"/>
          <w:lang w:eastAsia="zh-CN"/>
        </w:rPr>
      </w:pPr>
      <w:r>
        <w:rPr>
          <w:rFonts w:eastAsia="仿宋_GB2312" w:cs="仿宋_GB2312"/>
          <w:szCs w:val="28"/>
          <w:lang w:eastAsia="zh-CN"/>
        </w:rPr>
        <w:t>10.搭配工具快换系统，可实现机器人自动切换不同类型工具，包含胶枪、夹爪、多类型吸盘、锁螺丝等快换工具。</w:t>
      </w:r>
    </w:p>
    <w:p>
      <w:pPr>
        <w:snapToGrid w:val="0"/>
        <w:ind w:firstLine="560" w:firstLineChars="200"/>
        <w:rPr>
          <w:rFonts w:hint="default" w:eastAsia="仿宋_GB2312" w:cs="仿宋_GB2312"/>
          <w:szCs w:val="28"/>
          <w:lang w:eastAsia="zh-CN"/>
        </w:rPr>
      </w:pPr>
      <w:r>
        <w:rPr>
          <w:rFonts w:eastAsia="仿宋_GB2312" w:cs="仿宋_GB2312"/>
          <w:szCs w:val="28"/>
          <w:lang w:eastAsia="zh-CN"/>
        </w:rPr>
        <w:t>11.搭配机器人标定工具等，可进行机器人维护与测量。</w:t>
      </w:r>
    </w:p>
    <w:p>
      <w:pPr>
        <w:snapToGrid w:val="0"/>
        <w:ind w:firstLine="560" w:firstLineChars="200"/>
        <w:rPr>
          <w:rFonts w:hint="default" w:eastAsia="仿宋_GB2312" w:cs="仿宋_GB2312"/>
          <w:szCs w:val="28"/>
          <w:lang w:eastAsia="zh-CN"/>
        </w:rPr>
      </w:pPr>
      <w:r>
        <w:rPr>
          <w:rFonts w:eastAsia="仿宋_GB2312" w:cs="仿宋_GB2312"/>
          <w:szCs w:val="28"/>
          <w:lang w:eastAsia="zh-CN"/>
        </w:rPr>
        <w:t>12.搭配多口工业级交换机，网线不少于7根。</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r>
        <w:rPr>
          <w:rFonts w:ascii="Times New Roman" w:hAnsi="Times New Roman" w:eastAsia="宋体"/>
          <w:b/>
          <w:kern w:val="44"/>
          <w:sz w:val="30"/>
          <w:szCs w:val="22"/>
          <w:lang w:eastAsia="zh-CN"/>
        </w:rPr>
        <w:t>十、成绩评定</w:t>
      </w:r>
      <w:bookmarkEnd w:id="21"/>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2" w:name="_Toc9395"/>
      <w:r>
        <w:rPr>
          <w:rFonts w:asciiTheme="majorEastAsia" w:hAnsiTheme="majorEastAsia" w:eastAsiaTheme="majorEastAsia" w:cstheme="majorEastAsia"/>
          <w:b/>
          <w:bCs/>
          <w:szCs w:val="28"/>
          <w:lang w:eastAsia="zh-CN"/>
        </w:rPr>
        <w:t>（一）</w:t>
      </w:r>
      <w:bookmarkEnd w:id="22"/>
      <w:bookmarkStart w:id="23" w:name="_Toc15455"/>
      <w:r>
        <w:rPr>
          <w:rFonts w:asciiTheme="majorEastAsia" w:hAnsiTheme="majorEastAsia" w:eastAsiaTheme="majorEastAsia" w:cstheme="majorEastAsia"/>
          <w:b/>
          <w:bCs/>
          <w:szCs w:val="28"/>
          <w:lang w:eastAsia="zh-CN"/>
        </w:rPr>
        <w:t>评分方式</w:t>
      </w:r>
      <w:bookmarkEnd w:id="23"/>
      <w:r>
        <w:rPr>
          <w:rFonts w:asciiTheme="majorEastAsia" w:hAnsiTheme="majorEastAsia" w:eastAsiaTheme="majorEastAsia" w:cstheme="majorEastAsia"/>
          <w:b/>
          <w:bCs/>
          <w:szCs w:val="28"/>
          <w:lang w:eastAsia="zh-CN"/>
        </w:rPr>
        <w:t xml:space="preserve"> </w:t>
      </w:r>
      <w:bookmarkStart w:id="24" w:name="_Hlk148446963"/>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1.裁判员组成要求</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赛项下设专家组、裁判组、监督仲裁组等工作机构。具体要求与分工如下：</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（1）裁判组实行“裁判长负责制”，设裁判长1名，全面负责赛项的裁判管理工作并处理比赛中出现的争议问题。</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（3）监督仲裁组对裁判组的工作进行全程监督，并对竞赛成绩抽检复核。</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（4）监督仲裁组负责接受由参赛队领队提出的对裁判结果的申诉，组织复议并及时反馈复议结果。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2.成绩评分方法</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评判记分采用纸质记分与信息化相结合方式，过程评分由裁判在纸质文件进行评分记录，也可以利用竞赛信息系统作为竞赛评价工具，选手信息、赛程安排、评分标准、分数统计、各项成绩排名，均实现数字化。</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（2）采取现场操作评价方式依据客观数据评判的，由裁判长按2至3名裁判员一组组成评判小组。</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（3）选手与裁判共同对功能实现部分的评价项目进行结果评分。运行过程中不得用手帮忙；出现卡塞、掉落等情况，给予第二次评分机会，否则评分到此结束。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（4）裁判按照评分表对各评价项目进行结果评分，职业素养部分进行全过程评分。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（5）在竞赛时段，参赛选手有不服从裁判、扰乱赛场秩序等行为情节严重的，取消参赛队评奖资格。有作弊行为的，取消参赛队评奖资格。裁判宣布竞赛时间到，选手仍强行操作的，取消参赛队奖项评奖资格。</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（6）选手有下列情形，需从比赛成绩中扣分：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①违反比赛规定，提前进行操作或比赛终止仍继续操作的，由现场裁判员负责记录，并酌情扣1-5分。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②在竞赛过程中，违反赛场纪律，由裁判员现场记录参赛选手违纪情节，依据情节扣1-5分。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③在完成工作任务的过程中违反操作规程或因操作不当，造成设备损坏或影响其他选手比赛的，扣5-10分；因操作不当导致人身或设备安全事故，扣10-20分；情况严重者报赛项执委会批准，由裁判长宣布终止该选手的比赛，竞赛成绩以0分计算。</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④损坏赛场提供的设备，污染赛场环境等不符合职业规范的行为，视情节扣分。</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5" w:name="_Toc14319"/>
      <w:r>
        <w:rPr>
          <w:rFonts w:asciiTheme="majorEastAsia" w:hAnsiTheme="majorEastAsia" w:eastAsiaTheme="majorEastAsia" w:cstheme="majorEastAsia"/>
          <w:b/>
          <w:bCs/>
          <w:szCs w:val="28"/>
          <w:lang w:eastAsia="zh-CN"/>
        </w:rPr>
        <w:t>（</w:t>
      </w:r>
      <w:r>
        <w:rPr>
          <w:rFonts w:hint="eastAsia" w:asciiTheme="majorEastAsia" w:hAnsiTheme="majorEastAsia" w:eastAsiaTheme="majorEastAsia" w:cstheme="majorEastAsia"/>
          <w:b/>
          <w:bCs/>
          <w:szCs w:val="28"/>
          <w:lang w:val="en-US" w:eastAsia="zh-CN"/>
        </w:rPr>
        <w:t>二</w:t>
      </w:r>
      <w:r>
        <w:rPr>
          <w:rFonts w:asciiTheme="majorEastAsia" w:hAnsiTheme="majorEastAsia" w:eastAsiaTheme="majorEastAsia" w:cstheme="majorEastAsia"/>
          <w:b/>
          <w:bCs/>
          <w:szCs w:val="28"/>
          <w:lang w:eastAsia="zh-CN"/>
        </w:rPr>
        <w:t>）成绩审核与公布</w:t>
      </w:r>
      <w:bookmarkEnd w:id="25"/>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1.抽检复核</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（1）为保障成绩评判的准确性，监督仲裁组对赛项总成绩排名前30%的所有参赛队伍（选手）的成绩进行复核；对其余成绩进行抽检复核，抽检覆盖率不得低于15%。</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（2）监督仲裁组需将复检中发现的错误以书面方式及时告知裁判长，由裁判长更正成绩并签字确认。</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（3）复核、抽检错误率超过5%的，则认定为非小概率事件，裁判组需对所有成绩进行复核。</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2.公布</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（1）录入。由承办单位信息员将裁判长提交的赛项总成绩的最终结果录入赛务管理系统。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（2）审核。承办单位信息员对成绩数据审核后，将赛务系统中录入的成绩导出打印，经赛项裁判长、监督仲裁组审核无误后签字。</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（3）报送。由承办单位信息员将确认的电子版赛项成绩信息上传赛务管理系统。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公布。记分员将解密后的各参赛队伍（选手）成绩汇总成最终成绩单，经裁判长、监督仲裁组签字后进行公示。公示时间为2小时。成绩公示无异议后，由监督仲裁组长在成绩单上签字，并在闭赛式上宣布竞赛成绩。</w:t>
      </w:r>
    </w:p>
    <w:bookmarkEnd w:id="24"/>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26" w:name="_Toc29176"/>
      <w:r>
        <w:rPr>
          <w:rFonts w:ascii="Times New Roman" w:hAnsi="Times New Roman" w:eastAsia="宋体"/>
          <w:b/>
          <w:kern w:val="44"/>
          <w:sz w:val="30"/>
          <w:szCs w:val="22"/>
          <w:lang w:eastAsia="zh-CN"/>
        </w:rPr>
        <w:t>十一、申诉与仲裁</w:t>
      </w:r>
      <w:bookmarkEnd w:id="26"/>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河北省职业院校技能大赛采用两级仲裁方式解决赛项有关异议。分设的两级监督仲裁机构为“竞赛基地仲裁委员会”和“赛项监督仲裁工作组”。</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7" w:name="_Toc8291"/>
      <w:r>
        <w:rPr>
          <w:rFonts w:asciiTheme="majorEastAsia" w:hAnsiTheme="majorEastAsia" w:eastAsiaTheme="majorEastAsia" w:cstheme="majorEastAsia"/>
          <w:b/>
          <w:bCs/>
          <w:szCs w:val="28"/>
          <w:lang w:eastAsia="zh-CN"/>
        </w:rPr>
        <w:t>（一）一级申诉及复议</w:t>
      </w:r>
      <w:bookmarkEnd w:id="27"/>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1.参赛队对赛事过程公平公正存疑的,应当场比赛结束后1小时内提出申诉；对于成绩计算、统分存疑的，在成绩公示或公布后1小时内提出申诉。</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申诉应在事实清楚,证据充分的前提下，由参赛队领队以书面形式向赛项监督仲裁工作组提出申诉。报告应对申诉事件的现象、发生时间、涉及人员、申诉依据等进行充分、实事求是的叙述。非书面申诉不予受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2.赛项监督仲裁工作组在接到申诉报告后的2小时内组织复议，并及时将复议结果以书面形式告知申诉方。</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28" w:name="_Toc6017"/>
      <w:r>
        <w:rPr>
          <w:rFonts w:asciiTheme="majorEastAsia" w:hAnsiTheme="majorEastAsia" w:eastAsiaTheme="majorEastAsia" w:cstheme="majorEastAsia"/>
          <w:b/>
          <w:bCs/>
          <w:szCs w:val="28"/>
          <w:lang w:eastAsia="zh-CN"/>
        </w:rPr>
        <w:t>（二）二级申诉及仲裁</w:t>
      </w:r>
      <w:bookmarkEnd w:id="28"/>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1.代表队对赛项监督仲裁工作组复议结果不服的，代表队可由所在学校校长，向竞赛基地仲裁委员会提出书面申诉。</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2.竞赛基地仲裁委员会本着公平、公正原则，在充分了解情况后，书面告知仲裁结果，此仲裁结果为最终结果。事后，竞赛基地仲裁委员会须将申诉事项经过及仲裁结果情况及时报大赛办。</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（三）申诉其他要求</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申诉方必须提供真实的申诉信息并严格遵守申诉程序，不得以任何理由采取过激行为扰乱赛场秩序。如出现以下情况的：（1）越级申诉；（2）拒绝接受仲裁结果；（3）采取过激行为扰乱赛场秩序；（4）擅自在网络或社交平台上发表不当言论等，大赛组委会将采取限制该代表队参加下一年度大赛相关赛项的参赛名额等措施。</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2.申诉方可随时提出放弃申诉。如在约定时间和地点申诉人离开，视为撤诉。</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29" w:name="_Toc9016"/>
      <w:r>
        <w:rPr>
          <w:rFonts w:ascii="Times New Roman" w:hAnsi="Times New Roman" w:eastAsia="宋体"/>
          <w:b/>
          <w:kern w:val="44"/>
          <w:sz w:val="30"/>
          <w:szCs w:val="22"/>
          <w:lang w:eastAsia="zh-CN"/>
        </w:rPr>
        <w:t>十二、竞赛观摩</w:t>
      </w:r>
      <w:bookmarkEnd w:id="29"/>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1.由于赛项特点及赛场条件限制，本赛项不设置观摩环节。</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2.新闻媒体等进入赛场必须经过赛项执委会允许，由专人陪同并听从现场工作人员的安排和管理，不能影响比赛进行。</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3.赛项合理安排现场直播方式的公开观摩。</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30" w:name="_Toc1109"/>
      <w:r>
        <w:rPr>
          <w:rFonts w:ascii="Times New Roman" w:hAnsi="Times New Roman" w:eastAsia="宋体"/>
          <w:b/>
          <w:kern w:val="44"/>
          <w:sz w:val="30"/>
          <w:szCs w:val="22"/>
          <w:lang w:eastAsia="zh-CN"/>
        </w:rPr>
        <w:t>十三、竞赛视频</w:t>
      </w:r>
      <w:bookmarkEnd w:id="30"/>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1.赛场内部署无盲点录像设备，能实时录制并播送赛场情况。</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2.赛场外设置有专门的观摩室，同步显示赛场内竞赛状况。</w:t>
      </w:r>
    </w:p>
    <w:p>
      <w:pPr>
        <w:autoSpaceDE/>
        <w:autoSpaceDN/>
        <w:adjustRightInd w:val="0"/>
        <w:snapToGrid w:val="0"/>
        <w:ind w:firstLine="602" w:firstLineChars="200"/>
        <w:outlineLvl w:val="0"/>
        <w:rPr>
          <w:rFonts w:hint="default" w:ascii="Times New Roman" w:hAnsi="Times New Roman" w:eastAsia="宋体"/>
          <w:b/>
          <w:kern w:val="44"/>
          <w:sz w:val="30"/>
          <w:szCs w:val="22"/>
          <w:lang w:eastAsia="zh-CN"/>
        </w:rPr>
      </w:pPr>
      <w:bookmarkStart w:id="31" w:name="_Toc3556"/>
      <w:r>
        <w:rPr>
          <w:rFonts w:ascii="Times New Roman" w:hAnsi="Times New Roman" w:eastAsia="宋体"/>
          <w:b/>
          <w:kern w:val="44"/>
          <w:sz w:val="30"/>
          <w:szCs w:val="22"/>
          <w:lang w:eastAsia="zh-CN"/>
        </w:rPr>
        <w:t>十四、其他</w:t>
      </w:r>
      <w:bookmarkEnd w:id="31"/>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2" w:name="_Toc32112"/>
      <w:r>
        <w:rPr>
          <w:rFonts w:asciiTheme="majorEastAsia" w:hAnsiTheme="majorEastAsia" w:eastAsiaTheme="majorEastAsia" w:cstheme="majorEastAsia"/>
          <w:b/>
          <w:bCs/>
          <w:szCs w:val="28"/>
          <w:lang w:eastAsia="zh-CN"/>
        </w:rPr>
        <w:t>（一）参赛队须知</w:t>
      </w:r>
      <w:bookmarkEnd w:id="32"/>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1.参赛队名称统一使用规定的院校代表队名称，不使用其他组织、团体名称。</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参赛队选手在报名获得确认后，原则上不再更换，如筹备过程中，选手因故不能参赛，所在院校需出具书面说明并按相关参赛选手资格补充人员并接受审核。竞赛开始后，参赛队不得更换参赛选手，允许队员缺席竞赛。</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3.参赛队按照大赛赛程安排凭大赛组委会颁发的参赛证和有效身份证参加比赛及相关活动。</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4.各参赛队按赛项组委会统一安排参加比赛前熟悉场地环境的活动。</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5.各参赛队按赛项组委会统一要求，准时参加赛前领队会和抽签仪式。</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6.各参赛队在比赛期间，应保证所有参赛选手的安全，防止交通事故和其它意外事故的发生，为参赛选手购买人身意外保险。</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7.各参赛队要发扬良好道德风尚，听从指挥，服从裁判，不弄虚作假。</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3" w:name="_Toc4436"/>
      <w:r>
        <w:rPr>
          <w:rFonts w:asciiTheme="majorEastAsia" w:hAnsiTheme="majorEastAsia" w:eastAsiaTheme="majorEastAsia" w:cstheme="majorEastAsia"/>
          <w:b/>
          <w:bCs/>
          <w:szCs w:val="28"/>
          <w:lang w:eastAsia="zh-CN"/>
        </w:rPr>
        <w:t>（二）指导教师须知</w:t>
      </w:r>
      <w:bookmarkEnd w:id="33"/>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1.各指导教师要发扬良好道德风尚，听从指挥，服从裁判，不弄虚作假。</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2.指导教师应认真研究和掌握本赛项比赛的技术规则和赛场要求，指导选手做好赛前的一切准备工作。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3.指导教师应在赛后做好技术总结和工作总结。</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4" w:name="_Toc22656"/>
      <w:r>
        <w:rPr>
          <w:rFonts w:asciiTheme="majorEastAsia" w:hAnsiTheme="majorEastAsia" w:eastAsiaTheme="majorEastAsia" w:cstheme="majorEastAsia"/>
          <w:b/>
          <w:bCs/>
          <w:szCs w:val="28"/>
          <w:lang w:eastAsia="zh-CN"/>
        </w:rPr>
        <w:t>（三）参赛选手须知</w:t>
      </w:r>
      <w:bookmarkEnd w:id="34"/>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1.任务书如出现缺页、字迹不清等问题，须及时向裁判示意，并进行更换；比赛结束后，所提供的所有纸质材料均须留在赛场，不得带离赛场，一经发现视为作弊处理。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2.设备的安装配置请严格按照任务书的要求及工艺规范进行操作。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3.参赛团队应在规定时间内完成任务书要求的内容，任务实现 过程中形成的文件资料必须存储到任务书指定的位置，未存储到指定位置造成裁判组无法检查结果，相应部分不得分。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比赛过程中，选手认定设备或器件有故障可向裁判员提出更换；如器件或设备经测定完好属误判时，器件或设备的认定时间计入比赛时间；如果器件或设备经测定确有故障，则当场更换设备，此过程中（设备测定开始到更换完成）造成的时间损失， 比赛时间结束后经裁判组讨论，酌情对该小组进行等量的时间延迟补偿。</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5.竞赛时间以现场的时钟为准。赛场统一提供饮水和食品，选手休息、饮食等时间都算在竞赛时间内。</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6.比赛过程中由于选手操作失误原因造成器件损坏，选手可提出更换申请，并做好记录，裁判组统一协商后视情节扣分。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7.在裁判组宣布比赛结束后，请选手立即停止对竞赛设备与计算机的任何操作，否则视为作弊处理。</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8.在完成大赛过程中，因操作不当导致设备破坏性损坏或造成事故，视情节扣分，情况严重者取消比赛资格。</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9.衣着不整、污染赛场环境、扰乱赛场秩序、干扰裁判工作等违反职业规范的行为，视情节扣2分，情节严重者取消大赛资格。</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10.设备第一次上电，参赛选手须举手示意裁判请求通电，并由 参赛选手现场完成上电检测，参赛选手确认检测无误且裁判许可后方可通电；参赛选手对检测结果负责。</w:t>
      </w:r>
    </w:p>
    <w:p>
      <w:pPr>
        <w:pStyle w:val="5"/>
        <w:autoSpaceDE/>
        <w:autoSpaceDN/>
        <w:adjustRightInd w:val="0"/>
        <w:snapToGrid w:val="0"/>
        <w:ind w:left="0" w:firstLine="562" w:firstLineChars="200"/>
        <w:jc w:val="both"/>
        <w:outlineLvl w:val="1"/>
        <w:rPr>
          <w:rFonts w:hint="default" w:asciiTheme="majorEastAsia" w:hAnsiTheme="majorEastAsia" w:eastAsiaTheme="majorEastAsia" w:cstheme="majorEastAsia"/>
          <w:b/>
          <w:bCs/>
          <w:szCs w:val="28"/>
          <w:lang w:eastAsia="zh-CN"/>
        </w:rPr>
      </w:pPr>
      <w:bookmarkStart w:id="35" w:name="_Toc15139"/>
      <w:r>
        <w:rPr>
          <w:rFonts w:asciiTheme="majorEastAsia" w:hAnsiTheme="majorEastAsia" w:eastAsiaTheme="majorEastAsia" w:cstheme="majorEastAsia"/>
          <w:b/>
          <w:bCs/>
          <w:szCs w:val="28"/>
          <w:lang w:eastAsia="zh-CN"/>
        </w:rPr>
        <w:t>（四）工作人员须知</w:t>
      </w:r>
      <w:bookmarkEnd w:id="35"/>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1.工作人员必须服从赛项组委会统一指挥，佩戴工作人员标识，认真履行职责，做好大赛服务工作。</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2.工作人员按照分工准时上岗，不得擅自离岗，应认真履行各自的工作职责，保证大赛工作的顺利进行。</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3.工作人员应在规定的区域内工作，未经许可，不得擅自进入 大赛场地。如需进场，需经过裁判长同意，核准证件， 由裁判跟随入场。</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4.如遇突发事件，须及时向裁判员报告，同时做好疏导工作，避免重大事故发生，确保大赛圆满成功。</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5.大赛期间，工作人员不得干涉职责之外的事宜，不得利用工作之便，弄虚作假、徇私舞弊。如有上述现象或因工作不负责任的 情况，造成大赛程序无法继续进行，由赛项执委会视情节轻重，给予通报批评或停止工作，并通知其所在单位做出相应处理。</w:t>
      </w:r>
    </w:p>
    <w:p>
      <w:pPr>
        <w:pStyle w:val="2"/>
        <w:keepNext/>
        <w:keepLines/>
        <w:autoSpaceDE/>
        <w:autoSpaceDN/>
        <w:spacing w:before="0"/>
        <w:ind w:left="0" w:firstLine="602" w:firstLineChars="200"/>
        <w:jc w:val="both"/>
        <w:rPr>
          <w:rFonts w:hint="default" w:ascii="Times New Roman" w:hAnsi="Times New Roman" w:eastAsia="宋体"/>
          <w:b/>
          <w:kern w:val="44"/>
          <w:sz w:val="30"/>
          <w:lang w:eastAsia="zh-CN"/>
        </w:rPr>
      </w:pPr>
      <w:r>
        <w:rPr>
          <w:rFonts w:ascii="Times New Roman" w:hAnsi="Times New Roman" w:eastAsia="宋体"/>
          <w:b/>
          <w:kern w:val="44"/>
          <w:sz w:val="30"/>
          <w:lang w:eastAsia="zh-CN"/>
        </w:rPr>
        <w:t xml:space="preserve">十五、赛项预案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 xml:space="preserve">1.竞赛现场配置专业电工维修人员，保障供电正常。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 xml:space="preserve">2.竞赛现场配置安全通道，当出现火情或其他灾害情况，工作人员应立即向保卫组汇报，保卫组接报后要火速到达现场并配合消防队员和公安干警，指挥人员疏散到安全区域并及时处置现场状况。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 xml:space="preserve">3.竞赛现场配置医务人员和常用药品，当出现人员受伤时做到及时救护。 </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4.发生突发事件时，全体人员必须服从命令、听从指挥，以大局为重，不得顶撞、拖延或临时逃脱。安全出口执勤人员，接到指令后立即打开出口门，疏导参赛人员有序撤离现场。</w:t>
      </w:r>
    </w:p>
    <w:p>
      <w:pPr>
        <w:autoSpaceDE/>
        <w:autoSpaceDN/>
        <w:adjustRightInd w:val="0"/>
        <w:snapToGrid w:val="0"/>
        <w:ind w:firstLine="560" w:firstLineChars="200"/>
        <w:jc w:val="both"/>
        <w:rPr>
          <w:rFonts w:hint="default" w:ascii="仿宋" w:hAnsi="仿宋" w:cs="仿宋"/>
          <w:snapToGrid w:val="0"/>
          <w:szCs w:val="28"/>
          <w:lang w:eastAsia="zh-CN"/>
        </w:rPr>
      </w:pPr>
      <w:r>
        <w:rPr>
          <w:rFonts w:ascii="仿宋" w:hAnsi="仿宋" w:cs="仿宋"/>
          <w:snapToGrid w:val="0"/>
          <w:szCs w:val="28"/>
          <w:lang w:eastAsia="zh-CN"/>
        </w:rPr>
        <w:t>5.比赛期间发生意外事故，发现者应在第一时间报告赛项执委会，同时采取措施，避免事态扩大。赛项执委会应立即启动预案予以解决并向赛区执委会报告。出现重大安全问题可以停赛，是否停赛由赛区组委会决定。事后，赛区执委会向大赛执委会报告详细情况。</w:t>
      </w:r>
    </w:p>
    <w:p>
      <w:pPr>
        <w:autoSpaceDE/>
        <w:autoSpaceDN/>
        <w:adjustRightInd w:val="0"/>
        <w:snapToGrid w:val="0"/>
        <w:ind w:firstLine="560" w:firstLineChars="200"/>
        <w:jc w:val="both"/>
        <w:rPr>
          <w:rFonts w:hint="default" w:ascii="仿宋" w:hAnsi="仿宋" w:cs="仿宋"/>
          <w:snapToGrid w:val="0"/>
          <w:szCs w:val="28"/>
          <w:lang w:eastAsia="zh-CN"/>
        </w:rPr>
      </w:pPr>
    </w:p>
    <w:sectPr>
      <w:footerReference r:id="rId5" w:type="default"/>
      <w:pgSz w:w="11910" w:h="16840"/>
      <w:pgMar w:top="1922" w:right="1060" w:bottom="1281" w:left="1298" w:header="0" w:footer="879" w:gutter="0"/>
      <w:cols w:space="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Unicode MS">
    <w:altName w:val="等线"/>
    <w:panose1 w:val="020B0604020202020204"/>
    <w:charset w:val="86"/>
    <w:family w:val="auto"/>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rFonts w:hint="default" w:eastAsia="仿宋_GB2312"/>
        <w:sz w:val="20"/>
      </w:rPr>
    </w:pPr>
    <w:r>
      <w:rPr>
        <w:rFonts w:hint="default" w:eastAsia="仿宋_GB2312"/>
      </w:rPr>
      <mc:AlternateContent>
        <mc:Choice Requires="wps">
          <w:drawing>
            <wp:anchor distT="0" distB="0" distL="114300" distR="114300" simplePos="0" relativeHeight="251659264" behindDoc="1" locked="0" layoutInCell="1" allowOverlap="1">
              <wp:simplePos x="0" y="0"/>
              <wp:positionH relativeFrom="page">
                <wp:posOffset>3651250</wp:posOffset>
              </wp:positionH>
              <wp:positionV relativeFrom="page">
                <wp:posOffset>9943465</wp:posOffset>
              </wp:positionV>
              <wp:extent cx="267970" cy="2159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267970" cy="215900"/>
                      </a:xfrm>
                      <a:prstGeom prst="rect">
                        <a:avLst/>
                      </a:prstGeom>
                      <a:noFill/>
                      <a:ln w="9525">
                        <a:noFill/>
                      </a:ln>
                    </wps:spPr>
                    <wps:txbx>
                      <w:txbxContent>
                        <w:p>
                          <w:pPr>
                            <w:spacing w:line="340" w:lineRule="exact"/>
                            <w:ind w:left="60"/>
                            <w:rPr>
                              <w:rFonts w:hint="default" w:eastAsia="仿宋_GB2312"/>
                              <w:sz w:val="30"/>
                            </w:rPr>
                          </w:pPr>
                          <w:r>
                            <w:rPr>
                              <w:rFonts w:eastAsia="仿宋_GB2312"/>
                              <w:sz w:val="30"/>
                            </w:rPr>
                            <w:fldChar w:fldCharType="begin"/>
                          </w:r>
                          <w:r>
                            <w:rPr>
                              <w:rFonts w:eastAsia="仿宋_GB2312"/>
                              <w:sz w:val="30"/>
                            </w:rPr>
                            <w:instrText xml:space="preserve"> PAGE </w:instrText>
                          </w:r>
                          <w:r>
                            <w:rPr>
                              <w:rFonts w:eastAsia="仿宋_GB2312"/>
                              <w:sz w:val="30"/>
                            </w:rPr>
                            <w:fldChar w:fldCharType="separate"/>
                          </w:r>
                          <w:r>
                            <w:rPr>
                              <w:rFonts w:eastAsia="仿宋_GB2312"/>
                              <w:sz w:val="30"/>
                            </w:rPr>
                            <w:t>19</w:t>
                          </w:r>
                          <w:r>
                            <w:rPr>
                              <w:rFonts w:eastAsia="仿宋_GB2312"/>
                              <w:sz w:val="30"/>
                            </w:rPr>
                            <w:fldChar w:fldCharType="end"/>
                          </w:r>
                        </w:p>
                      </w:txbxContent>
                    </wps:txbx>
                    <wps:bodyPr wrap="square" lIns="0" tIns="0" rIns="0" bIns="0" upright="1"/>
                  </wps:wsp>
                </a:graphicData>
              </a:graphic>
            </wp:anchor>
          </w:drawing>
        </mc:Choice>
        <mc:Fallback>
          <w:pict>
            <v:shape id="文本框 2" o:spid="_x0000_s1026" o:spt="202" type="#_x0000_t202" style="position:absolute;left:0pt;margin-left:287.5pt;margin-top:782.95pt;height:17pt;width:21.1pt;mso-position-horizontal-relative:page;mso-position-vertical-relative:page;z-index:-251657216;mso-width-relative:page;mso-height-relative:page;" filled="f" stroked="f" coordsize="21600,21600" o:gfxdata="UEsDBAoAAAAAAIdO4kAAAAAAAAAAAAAAAAAEAAAAZHJzL1BLAwQUAAAACACHTuJA2WYwY9sAAAAN&#10;AQAADwAAAGRycy9kb3ducmV2LnhtbE2PzU7DMBCE70h9B2srcaNOKiXFIU6FEJyQEGk4cHRiN7Ea&#10;r0Ps/vD2bE/0uDOj2W/K7cWN7GTmYD1KSFcJMIOd1xZ7CV/N28MjsBAVajV6NBJ+TYBttbgrVaH9&#10;GWtz2sWeUQmGQkkYYpwKzkM3GKfCyk8Gydv72alI59xzPaszlbuRr5Mk505ZpA+DmszLYLrD7ugk&#10;PH9j/Wp/PtrPel/bphEJvucHKe+XafIELJpL/A/DFZ/QoSKm1h9RBzZKyDYZbYlkZHkmgFEkTzdr&#10;YO1VEkIAr0p+u6L6A1BLAwQUAAAACACHTuJA25VBUssBAACIAwAADgAAAGRycy9lMm9Eb2MueG1s&#10;rVPNjtMwEL4j8Q6W7zRppO7SqOlKqFqEhABp4QFcx2ks+Y8Zt0lfAN6AExfuPFefg7GbdtFy2QMX&#10;Zzw/38z3jbO6G61hBwWovWv4fFZyppz0rXa7hn/5fP/qNWcYhWuF8U41/KiQ361fvlgNoVaV771p&#10;FTACcVgPoeF9jKEuCpS9sgJnPihHwc6DFZGusCtaEAOhW1NUZXlTDB7aAF4qRPJuzkE+IcJzAH3X&#10;aak2Xu6tcvGMCsqISJSw1wH5Ok/bdUrGj12HKjLTcGIa80lNyN6ms1ivRL0DEXotpxHEc0Z4wskK&#10;7ajpFWojomB70P9AWS3Bo+/iTHpbnIlkRYjFvHyizUMvgspcSGoMV9Hx/8HKD4dPwHRLL4EzJywt&#10;/PTj++nn79Ovb6xK8gwBa8p6CJQXxzd+TKmTH8mZWI8d2PQlPoziJO7xKq4aI5PkrG5ul7cUkRSq&#10;5otlmcUvHosDYHyrvGXJaDjQ7rKk4vAeIzWk1EtK6uX8vTYm7884NjR8uagWueAaoQrjqDBROI+a&#10;rDhux2n+rW+PRGug/Tccv+4FKM7MO0cCp8dyMeBibC/GPoDe9TRlliI3oAXlGafHlF7A3/c8xuMP&#10;tP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2WYwY9sAAAANAQAADwAAAAAAAAABACAAAAAiAAAA&#10;ZHJzL2Rvd25yZXYueG1sUEsBAhQAFAAAAAgAh07iQNuVQVLLAQAAiAMAAA4AAAAAAAAAAQAgAAAA&#10;KgEAAGRycy9lMm9Eb2MueG1sUEsFBgAAAAAGAAYAWQEAAGcFAAAAAA==&#10;">
              <v:fill on="f" focussize="0,0"/>
              <v:stroke on="f"/>
              <v:imagedata o:title=""/>
              <o:lock v:ext="edit" aspectratio="f"/>
              <v:textbox inset="0mm,0mm,0mm,0mm">
                <w:txbxContent>
                  <w:p>
                    <w:pPr>
                      <w:spacing w:line="340" w:lineRule="exact"/>
                      <w:ind w:left="60"/>
                      <w:rPr>
                        <w:rFonts w:hint="default" w:eastAsia="仿宋_GB2312"/>
                        <w:sz w:val="30"/>
                      </w:rPr>
                    </w:pPr>
                    <w:r>
                      <w:rPr>
                        <w:rFonts w:eastAsia="仿宋_GB2312"/>
                        <w:sz w:val="30"/>
                      </w:rPr>
                      <w:fldChar w:fldCharType="begin"/>
                    </w:r>
                    <w:r>
                      <w:rPr>
                        <w:rFonts w:eastAsia="仿宋_GB2312"/>
                        <w:sz w:val="30"/>
                      </w:rPr>
                      <w:instrText xml:space="preserve"> PAGE </w:instrText>
                    </w:r>
                    <w:r>
                      <w:rPr>
                        <w:rFonts w:eastAsia="仿宋_GB2312"/>
                        <w:sz w:val="30"/>
                      </w:rPr>
                      <w:fldChar w:fldCharType="separate"/>
                    </w:r>
                    <w:r>
                      <w:rPr>
                        <w:rFonts w:eastAsia="仿宋_GB2312"/>
                        <w:sz w:val="30"/>
                      </w:rPr>
                      <w:t>19</w:t>
                    </w:r>
                    <w:r>
                      <w:rPr>
                        <w:rFonts w:eastAsia="仿宋_GB2312"/>
                        <w:sz w:val="30"/>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4033F6"/>
    <w:multiLevelType w:val="singleLevel"/>
    <w:tmpl w:val="144033F6"/>
    <w:lvl w:ilvl="0" w:tentative="0">
      <w:start w:val="1"/>
      <w:numFmt w:val="chineseCounting"/>
      <w:pStyle w:val="25"/>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4NjM1NmQ5NzM4ZjI4ZDgwNDJlZGNlYmIxODdkYmIifQ=="/>
  </w:docVars>
  <w:rsids>
    <w:rsidRoot w:val="00172A27"/>
    <w:rsid w:val="000F5C27"/>
    <w:rsid w:val="00172A27"/>
    <w:rsid w:val="002146B0"/>
    <w:rsid w:val="00491423"/>
    <w:rsid w:val="00513BAF"/>
    <w:rsid w:val="00683B0B"/>
    <w:rsid w:val="00712D16"/>
    <w:rsid w:val="007B592C"/>
    <w:rsid w:val="0082447C"/>
    <w:rsid w:val="00914117"/>
    <w:rsid w:val="00B65989"/>
    <w:rsid w:val="00C71CD6"/>
    <w:rsid w:val="00F812EA"/>
    <w:rsid w:val="018E5B60"/>
    <w:rsid w:val="0205540C"/>
    <w:rsid w:val="07A71260"/>
    <w:rsid w:val="07A83EFE"/>
    <w:rsid w:val="0A656ED5"/>
    <w:rsid w:val="0C5401CD"/>
    <w:rsid w:val="0C934BD2"/>
    <w:rsid w:val="0DC3019B"/>
    <w:rsid w:val="0E963517"/>
    <w:rsid w:val="0ED54871"/>
    <w:rsid w:val="11BD08DA"/>
    <w:rsid w:val="12F94837"/>
    <w:rsid w:val="139C6BDA"/>
    <w:rsid w:val="14252E3D"/>
    <w:rsid w:val="17B414E6"/>
    <w:rsid w:val="17C33BC1"/>
    <w:rsid w:val="18303D2C"/>
    <w:rsid w:val="19524DE9"/>
    <w:rsid w:val="1C422BD3"/>
    <w:rsid w:val="1D386B20"/>
    <w:rsid w:val="1D4B0A78"/>
    <w:rsid w:val="1DA06EBC"/>
    <w:rsid w:val="1DD04207"/>
    <w:rsid w:val="1DE9577C"/>
    <w:rsid w:val="1EF435CA"/>
    <w:rsid w:val="206D001A"/>
    <w:rsid w:val="210712AD"/>
    <w:rsid w:val="21596723"/>
    <w:rsid w:val="233D3F39"/>
    <w:rsid w:val="23E539CB"/>
    <w:rsid w:val="258B25E4"/>
    <w:rsid w:val="25F6001E"/>
    <w:rsid w:val="26BA56CA"/>
    <w:rsid w:val="28AF389A"/>
    <w:rsid w:val="2C90798A"/>
    <w:rsid w:val="2F9170E8"/>
    <w:rsid w:val="344B54FC"/>
    <w:rsid w:val="35C75FCC"/>
    <w:rsid w:val="366C413C"/>
    <w:rsid w:val="37D8692C"/>
    <w:rsid w:val="3C9C47DF"/>
    <w:rsid w:val="3DC74CA5"/>
    <w:rsid w:val="3E774BAE"/>
    <w:rsid w:val="3E7A3FF6"/>
    <w:rsid w:val="406C6468"/>
    <w:rsid w:val="41D72C26"/>
    <w:rsid w:val="44022126"/>
    <w:rsid w:val="46CD505E"/>
    <w:rsid w:val="487B4AE7"/>
    <w:rsid w:val="49DE4851"/>
    <w:rsid w:val="4E415129"/>
    <w:rsid w:val="4E710E15"/>
    <w:rsid w:val="4FB70C06"/>
    <w:rsid w:val="51F338E3"/>
    <w:rsid w:val="51F53C68"/>
    <w:rsid w:val="52A21C6C"/>
    <w:rsid w:val="5410473E"/>
    <w:rsid w:val="54986140"/>
    <w:rsid w:val="54CA0B9A"/>
    <w:rsid w:val="552D5E6F"/>
    <w:rsid w:val="55927609"/>
    <w:rsid w:val="581E5FFE"/>
    <w:rsid w:val="59932E57"/>
    <w:rsid w:val="599A6093"/>
    <w:rsid w:val="5CD10EF4"/>
    <w:rsid w:val="5D6879E4"/>
    <w:rsid w:val="5F512C42"/>
    <w:rsid w:val="609068CD"/>
    <w:rsid w:val="6114568F"/>
    <w:rsid w:val="612400C6"/>
    <w:rsid w:val="645F19D3"/>
    <w:rsid w:val="64D47E5D"/>
    <w:rsid w:val="685D1798"/>
    <w:rsid w:val="69672446"/>
    <w:rsid w:val="6CE00307"/>
    <w:rsid w:val="6D8E471D"/>
    <w:rsid w:val="6EDD1D92"/>
    <w:rsid w:val="70172135"/>
    <w:rsid w:val="72E86DDB"/>
    <w:rsid w:val="730176A3"/>
    <w:rsid w:val="7A911BDA"/>
    <w:rsid w:val="7FCF71DB"/>
    <w:rsid w:val="7FE97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1" w:semiHidden="0" w:name="Normal"/>
    <w:lsdException w:qFormat="1" w:uiPriority="1" w:semiHidden="0" w:name="heading 1"/>
    <w:lsdException w:qFormat="1" w:uiPriority="1"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spacing w:line="360" w:lineRule="auto"/>
    </w:pPr>
    <w:rPr>
      <w:rFonts w:hint="eastAsia" w:ascii="仿宋_GB2312" w:hAnsi="仿宋_GB2312" w:eastAsia="仿宋" w:cstheme="minorBidi"/>
      <w:sz w:val="28"/>
      <w:lang w:val="en-US" w:eastAsia="en-US" w:bidi="ar-SA"/>
    </w:rPr>
  </w:style>
  <w:style w:type="paragraph" w:styleId="2">
    <w:name w:val="heading 1"/>
    <w:basedOn w:val="1"/>
    <w:next w:val="1"/>
    <w:link w:val="19"/>
    <w:unhideWhenUsed/>
    <w:qFormat/>
    <w:uiPriority w:val="1"/>
    <w:pPr>
      <w:spacing w:before="31"/>
      <w:ind w:left="460"/>
      <w:outlineLvl w:val="0"/>
    </w:pPr>
    <w:rPr>
      <w:rFonts w:ascii="黑体" w:hAnsi="黑体" w:eastAsia="黑体"/>
      <w:sz w:val="32"/>
    </w:rPr>
  </w:style>
  <w:style w:type="paragraph" w:styleId="3">
    <w:name w:val="heading 2"/>
    <w:basedOn w:val="1"/>
    <w:next w:val="1"/>
    <w:link w:val="20"/>
    <w:autoRedefine/>
    <w:unhideWhenUsed/>
    <w:qFormat/>
    <w:uiPriority w:val="1"/>
    <w:pPr>
      <w:ind w:left="1019"/>
      <w:outlineLvl w:val="1"/>
    </w:pPr>
    <w:rPr>
      <w:rFonts w:ascii="楷体" w:hAnsi="楷体" w:eastAsia="楷体"/>
      <w:b/>
    </w:rPr>
  </w:style>
  <w:style w:type="character" w:default="1" w:styleId="13">
    <w:name w:val="Default Paragraph Font"/>
    <w:autoRedefine/>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toa heading"/>
    <w:basedOn w:val="1"/>
    <w:next w:val="1"/>
    <w:autoRedefine/>
    <w:qFormat/>
    <w:uiPriority w:val="0"/>
    <w:pPr>
      <w:spacing w:before="120"/>
      <w:ind w:firstLine="480" w:firstLineChars="200"/>
    </w:pPr>
    <w:rPr>
      <w:sz w:val="24"/>
    </w:rPr>
  </w:style>
  <w:style w:type="paragraph" w:styleId="5">
    <w:name w:val="Body Text"/>
    <w:basedOn w:val="1"/>
    <w:link w:val="21"/>
    <w:autoRedefine/>
    <w:unhideWhenUsed/>
    <w:qFormat/>
    <w:uiPriority w:val="1"/>
    <w:pPr>
      <w:ind w:left="460"/>
    </w:pPr>
  </w:style>
  <w:style w:type="paragraph" w:styleId="6">
    <w:name w:val="footer"/>
    <w:basedOn w:val="1"/>
    <w:link w:val="22"/>
    <w:autoRedefine/>
    <w:unhideWhenUsed/>
    <w:qFormat/>
    <w:uiPriority w:val="99"/>
    <w:pPr>
      <w:tabs>
        <w:tab w:val="center" w:pos="4153"/>
        <w:tab w:val="right" w:pos="8306"/>
      </w:tabs>
      <w:snapToGrid w:val="0"/>
    </w:pPr>
    <w:rPr>
      <w:sz w:val="18"/>
    </w:rPr>
  </w:style>
  <w:style w:type="paragraph" w:styleId="7">
    <w:name w:val="header"/>
    <w:basedOn w:val="1"/>
    <w:link w:val="23"/>
    <w:autoRedefine/>
    <w:unhideWhenUsed/>
    <w:qFormat/>
    <w:uiPriority w:val="99"/>
    <w:pPr>
      <w:pBdr>
        <w:bottom w:val="single" w:color="auto" w:sz="6" w:space="1"/>
      </w:pBdr>
      <w:tabs>
        <w:tab w:val="center" w:pos="4153"/>
        <w:tab w:val="right" w:pos="8306"/>
      </w:tabs>
      <w:snapToGrid w:val="0"/>
      <w:jc w:val="center"/>
    </w:pPr>
    <w:rPr>
      <w:sz w:val="18"/>
    </w:rPr>
  </w:style>
  <w:style w:type="paragraph" w:styleId="8">
    <w:name w:val="toc 1"/>
    <w:basedOn w:val="1"/>
    <w:next w:val="1"/>
    <w:autoRedefine/>
    <w:unhideWhenUsed/>
    <w:qFormat/>
    <w:uiPriority w:val="39"/>
  </w:style>
  <w:style w:type="paragraph" w:styleId="9">
    <w:name w:val="toc 2"/>
    <w:basedOn w:val="1"/>
    <w:next w:val="1"/>
    <w:autoRedefine/>
    <w:unhideWhenUsed/>
    <w:qFormat/>
    <w:uiPriority w:val="39"/>
    <w:pPr>
      <w:ind w:left="420" w:leftChars="200"/>
    </w:pPr>
  </w:style>
  <w:style w:type="paragraph" w:styleId="10">
    <w:name w:val="Normal (Web)"/>
    <w:basedOn w:val="1"/>
    <w:autoRedefine/>
    <w:unhideWhenUsed/>
    <w:qFormat/>
    <w:uiPriority w:val="0"/>
    <w:pPr>
      <w:spacing w:beforeAutospacing="1" w:afterAutospacing="1"/>
    </w:pPr>
    <w:rPr>
      <w:sz w:val="24"/>
    </w:rPr>
  </w:style>
  <w:style w:type="paragraph" w:styleId="11">
    <w:name w:val="Title"/>
    <w:basedOn w:val="1"/>
    <w:qFormat/>
    <w:uiPriority w:val="1"/>
    <w:pPr>
      <w:ind w:left="1772" w:right="2013" w:firstLine="316"/>
    </w:pPr>
    <w:rPr>
      <w:rFonts w:ascii="Arial Unicode MS" w:hAnsi="Arial Unicode MS" w:eastAsia="Arial Unicode MS" w:cs="Arial Unicode MS"/>
      <w:sz w:val="36"/>
      <w:szCs w:val="36"/>
      <w:lang w:eastAsia="zh-CN"/>
    </w:rPr>
  </w:style>
  <w:style w:type="character" w:styleId="14">
    <w:name w:val="Hyperlink"/>
    <w:basedOn w:val="13"/>
    <w:autoRedefine/>
    <w:unhideWhenUsed/>
    <w:qFormat/>
    <w:uiPriority w:val="99"/>
    <w:rPr>
      <w:rFonts w:hint="default" w:ascii="Times New Roman"/>
      <w:color w:val="0000FF"/>
      <w:sz w:val="24"/>
      <w:u w:val="single"/>
    </w:rPr>
  </w:style>
  <w:style w:type="paragraph" w:customStyle="1" w:styleId="15">
    <w:name w:val="Default"/>
    <w:autoRedefine/>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16">
    <w:name w:val="List Paragraph"/>
    <w:basedOn w:val="1"/>
    <w:autoRedefine/>
    <w:unhideWhenUsed/>
    <w:qFormat/>
    <w:uiPriority w:val="1"/>
    <w:pPr>
      <w:ind w:left="460" w:firstLine="559"/>
    </w:pPr>
  </w:style>
  <w:style w:type="paragraph" w:customStyle="1" w:styleId="17">
    <w:name w:val="Table Paragraph"/>
    <w:basedOn w:val="1"/>
    <w:autoRedefine/>
    <w:unhideWhenUsed/>
    <w:qFormat/>
    <w:uiPriority w:val="1"/>
  </w:style>
  <w:style w:type="paragraph" w:customStyle="1" w:styleId="18">
    <w:name w:val="规程正文"/>
    <w:basedOn w:val="1"/>
    <w:autoRedefine/>
    <w:unhideWhenUsed/>
    <w:qFormat/>
    <w:uiPriority w:val="0"/>
    <w:pPr>
      <w:tabs>
        <w:tab w:val="left" w:pos="1233"/>
      </w:tabs>
      <w:spacing w:line="520" w:lineRule="exact"/>
      <w:ind w:firstLine="536" w:firstLineChars="200"/>
      <w:jc w:val="both"/>
    </w:pPr>
    <w:rPr>
      <w:spacing w:val="-6"/>
      <w:lang w:eastAsia="zh-CN"/>
    </w:rPr>
  </w:style>
  <w:style w:type="character" w:customStyle="1" w:styleId="19">
    <w:name w:val="标题 1 字符"/>
    <w:basedOn w:val="13"/>
    <w:link w:val="2"/>
    <w:autoRedefine/>
    <w:unhideWhenUsed/>
    <w:qFormat/>
    <w:uiPriority w:val="1"/>
    <w:rPr>
      <w:rFonts w:hint="eastAsia" w:ascii="黑体" w:hAnsi="黑体" w:eastAsia="黑体"/>
      <w:sz w:val="32"/>
      <w:lang w:eastAsia="en-US"/>
    </w:rPr>
  </w:style>
  <w:style w:type="character" w:customStyle="1" w:styleId="20">
    <w:name w:val="标题 2 字符"/>
    <w:basedOn w:val="13"/>
    <w:link w:val="3"/>
    <w:autoRedefine/>
    <w:unhideWhenUsed/>
    <w:qFormat/>
    <w:uiPriority w:val="1"/>
    <w:rPr>
      <w:rFonts w:hint="eastAsia" w:ascii="楷体" w:hAnsi="楷体" w:eastAsia="楷体"/>
      <w:b/>
      <w:sz w:val="28"/>
      <w:lang w:eastAsia="en-US"/>
    </w:rPr>
  </w:style>
  <w:style w:type="character" w:customStyle="1" w:styleId="21">
    <w:name w:val="正文文本 字符"/>
    <w:basedOn w:val="13"/>
    <w:link w:val="5"/>
    <w:autoRedefine/>
    <w:unhideWhenUsed/>
    <w:qFormat/>
    <w:uiPriority w:val="1"/>
    <w:rPr>
      <w:rFonts w:hint="eastAsia" w:ascii="仿宋_GB2312" w:hAnsi="仿宋_GB2312" w:eastAsia="仿宋"/>
      <w:sz w:val="28"/>
      <w:lang w:eastAsia="en-US"/>
    </w:rPr>
  </w:style>
  <w:style w:type="character" w:customStyle="1" w:styleId="22">
    <w:name w:val="页脚 字符"/>
    <w:basedOn w:val="13"/>
    <w:link w:val="6"/>
    <w:autoRedefine/>
    <w:unhideWhenUsed/>
    <w:qFormat/>
    <w:uiPriority w:val="99"/>
    <w:rPr>
      <w:rFonts w:hint="eastAsia" w:ascii="仿宋_GB2312" w:hAnsi="仿宋_GB2312" w:eastAsia="仿宋"/>
      <w:sz w:val="18"/>
      <w:lang w:eastAsia="en-US"/>
    </w:rPr>
  </w:style>
  <w:style w:type="character" w:customStyle="1" w:styleId="23">
    <w:name w:val="页眉 字符"/>
    <w:basedOn w:val="13"/>
    <w:link w:val="7"/>
    <w:autoRedefine/>
    <w:unhideWhenUsed/>
    <w:qFormat/>
    <w:uiPriority w:val="99"/>
    <w:rPr>
      <w:rFonts w:hint="eastAsia" w:ascii="仿宋_GB2312" w:hAnsi="仿宋_GB2312" w:eastAsia="仿宋"/>
      <w:sz w:val="18"/>
      <w:lang w:eastAsia="en-US"/>
    </w:rPr>
  </w:style>
  <w:style w:type="table" w:customStyle="1" w:styleId="24">
    <w:name w:val="Table Normal"/>
    <w:autoRedefine/>
    <w:semiHidden/>
    <w:unhideWhenUsed/>
    <w:qFormat/>
    <w:uiPriority w:val="2"/>
    <w:tblPr>
      <w:tblCellMar>
        <w:top w:w="0" w:type="dxa"/>
        <w:left w:w="0" w:type="dxa"/>
        <w:bottom w:w="0" w:type="dxa"/>
        <w:right w:w="0" w:type="dxa"/>
      </w:tblCellMar>
    </w:tblPr>
  </w:style>
  <w:style w:type="paragraph" w:customStyle="1" w:styleId="25">
    <w:name w:val="二级标题"/>
    <w:next w:val="1"/>
    <w:autoRedefine/>
    <w:qFormat/>
    <w:uiPriority w:val="0"/>
    <w:pPr>
      <w:numPr>
        <w:ilvl w:val="0"/>
        <w:numId w:val="1"/>
      </w:numPr>
      <w:spacing w:line="360" w:lineRule="auto"/>
    </w:pPr>
    <w:rPr>
      <w:rFonts w:hint="eastAsia" w:ascii="宋体" w:hAnsi="宋体" w:eastAsia="仿宋_GB2312" w:cs="宋体"/>
      <w:b/>
      <w:sz w:val="24"/>
      <w:szCs w:val="7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1600</Words>
  <Characters>9126</Characters>
  <Lines>76</Lines>
  <Paragraphs>21</Paragraphs>
  <TotalTime>14</TotalTime>
  <ScaleCrop>false</ScaleCrop>
  <LinksUpToDate>false</LinksUpToDate>
  <CharactersWithSpaces>10705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2023-10-18T11:49:00Z</dcterms:created>
  <dc:creator>IR-WangYao</dc:creator>
  <cp:lastModifiedBy>值得拥有</cp:lastModifiedBy>
  <cp:lastPrinted>2023-12-07T13:31:00Z</cp:lastPrinted>
  <dcterms:modified xsi:type="dcterms:W3CDTF">2024-11-13T01:21:52Z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8D3E1AE711A644969626B018B72C69B5_12</vt:lpwstr>
  </property>
</Properties>
</file>