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563E9">
      <w:pPr>
        <w:widowControl w:val="0"/>
        <w:kinsoku/>
        <w:autoSpaceDE/>
        <w:autoSpaceDN/>
        <w:adjustRightInd/>
        <w:snapToGrid/>
        <w:jc w:val="center"/>
        <w:textAlignment w:val="auto"/>
        <w:outlineLvl w:val="0"/>
        <w:rPr>
          <w:rFonts w:ascii="黑体" w:hAnsi="黑体" w:eastAsia="黑体" w:cs="Helvetica"/>
          <w:b/>
          <w:bCs/>
          <w:snapToGrid/>
          <w:color w:val="000000"/>
          <w:kern w:val="2"/>
          <w:sz w:val="32"/>
          <w:szCs w:val="32"/>
          <w:highlight w:val="none"/>
          <w:lang w:eastAsia="zh-CN"/>
        </w:rPr>
      </w:pPr>
      <w:r>
        <w:rPr>
          <w:rFonts w:hint="eastAsia" w:ascii="黑体" w:hAnsi="黑体" w:eastAsia="黑体" w:cs="Helvetica"/>
          <w:b/>
          <w:bCs/>
          <w:snapToGrid/>
          <w:color w:val="000000"/>
          <w:kern w:val="2"/>
          <w:sz w:val="32"/>
          <w:szCs w:val="32"/>
          <w:highlight w:val="none"/>
          <w:lang w:val="en-US" w:eastAsia="zh-CN"/>
        </w:rPr>
        <w:t>2025年</w:t>
      </w:r>
      <w:r>
        <w:rPr>
          <w:rFonts w:ascii="黑体" w:hAnsi="黑体" w:eastAsia="黑体" w:cs="Helvetica"/>
          <w:b/>
          <w:bCs/>
          <w:snapToGrid/>
          <w:color w:val="000000"/>
          <w:kern w:val="2"/>
          <w:sz w:val="32"/>
          <w:szCs w:val="32"/>
          <w:highlight w:val="none"/>
          <w:lang w:eastAsia="zh-CN"/>
        </w:rPr>
        <w:t>河北省职业院校技能大赛</w:t>
      </w:r>
    </w:p>
    <w:p w14:paraId="081785D3">
      <w:pPr>
        <w:widowControl w:val="0"/>
        <w:kinsoku/>
        <w:autoSpaceDE/>
        <w:autoSpaceDN/>
        <w:adjustRightInd/>
        <w:snapToGrid/>
        <w:jc w:val="center"/>
        <w:textAlignment w:val="auto"/>
        <w:outlineLvl w:val="0"/>
        <w:rPr>
          <w:rFonts w:ascii="黑体" w:hAnsi="黑体" w:eastAsia="黑体" w:cs="Helvetica"/>
          <w:b/>
          <w:bCs/>
          <w:snapToGrid/>
          <w:color w:val="000000"/>
          <w:kern w:val="2"/>
          <w:sz w:val="32"/>
          <w:szCs w:val="32"/>
          <w:highlight w:val="none"/>
          <w:lang w:eastAsia="zh-CN"/>
        </w:rPr>
      </w:pPr>
      <w:r>
        <w:rPr>
          <w:rFonts w:ascii="黑体" w:hAnsi="黑体" w:eastAsia="黑体" w:cs="Helvetica"/>
          <w:b/>
          <w:bCs/>
          <w:snapToGrid/>
          <w:color w:val="000000"/>
          <w:kern w:val="2"/>
          <w:sz w:val="32"/>
          <w:szCs w:val="32"/>
          <w:highlight w:val="none"/>
          <w:lang w:eastAsia="zh-CN"/>
        </w:rPr>
        <w:t>（高职组）多信息智能识别控制的技术与应用赛项规程</w:t>
      </w:r>
    </w:p>
    <w:p w14:paraId="7E295132">
      <w:pPr>
        <w:widowControl w:val="0"/>
        <w:kinsoku/>
        <w:autoSpaceDE/>
        <w:autoSpaceDN/>
        <w:adjustRightInd/>
        <w:snapToGrid/>
        <w:jc w:val="center"/>
        <w:textAlignment w:val="auto"/>
        <w:outlineLvl w:val="0"/>
        <w:rPr>
          <w:rFonts w:ascii="黑体" w:hAnsi="黑体" w:eastAsia="黑体" w:cs="Helvetica"/>
          <w:b/>
          <w:bCs/>
          <w:snapToGrid/>
          <w:color w:val="000000"/>
          <w:kern w:val="2"/>
          <w:sz w:val="32"/>
          <w:szCs w:val="32"/>
          <w:highlight w:val="none"/>
          <w:lang w:eastAsia="zh-CN"/>
        </w:rPr>
      </w:pPr>
    </w:p>
    <w:p w14:paraId="79C7FE11">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ascii="Times New Roman" w:hAnsi="Times New Roman" w:eastAsia="黑体" w:cs="Times New Roman"/>
          <w:snapToGrid/>
          <w:kern w:val="2"/>
          <w:sz w:val="28"/>
          <w:szCs w:val="32"/>
          <w:highlight w:val="none"/>
          <w:lang w:eastAsia="zh-CN"/>
        </w:rPr>
      </w:pPr>
      <w:r>
        <w:rPr>
          <w:rFonts w:hint="eastAsia" w:ascii="Times New Roman" w:hAnsi="Times New Roman" w:eastAsia="黑体" w:cs="Times New Roman"/>
          <w:snapToGrid/>
          <w:kern w:val="2"/>
          <w:sz w:val="28"/>
          <w:szCs w:val="32"/>
          <w:highlight w:val="none"/>
          <w:lang w:eastAsia="zh-CN"/>
        </w:rPr>
        <w:t>一、赛项名称</w:t>
      </w:r>
    </w:p>
    <w:p w14:paraId="203B1C4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napToGrid/>
          <w:kern w:val="2"/>
          <w:sz w:val="28"/>
          <w:szCs w:val="28"/>
          <w:highlight w:val="none"/>
          <w:lang w:eastAsia="zh-CN"/>
        </w:rPr>
        <w:t>赛项名称：多信息智能识别控制的技术与应用</w:t>
      </w:r>
    </w:p>
    <w:p w14:paraId="04CDC5B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napToGrid/>
          <w:kern w:val="2"/>
          <w:sz w:val="28"/>
          <w:szCs w:val="28"/>
          <w:highlight w:val="none"/>
          <w:lang w:eastAsia="zh-CN"/>
        </w:rPr>
        <w:t>竞赛组别：高职组</w:t>
      </w:r>
    </w:p>
    <w:p w14:paraId="4892187C">
      <w:pPr>
        <w:keepNext w:val="0"/>
        <w:keepLines w:val="0"/>
        <w:pageBreakBefore w:val="0"/>
        <w:wordWrap/>
        <w:overflowPunct/>
        <w:topLinePunct w:val="0"/>
        <w:bidi w:val="0"/>
        <w:spacing w:line="440" w:lineRule="exact"/>
        <w:ind w:firstLine="560" w:firstLineChars="200"/>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z w:val="28"/>
          <w:szCs w:val="28"/>
          <w:highlight w:val="none"/>
        </w:rPr>
        <w:t>比赛形式：团体赛</w:t>
      </w:r>
    </w:p>
    <w:p w14:paraId="642B4661">
      <w:pPr>
        <w:keepNext w:val="0"/>
        <w:keepLines w:val="0"/>
        <w:pageBreakBefore w:val="0"/>
        <w:wordWrap/>
        <w:overflowPunct/>
        <w:topLinePunct w:val="0"/>
        <w:bidi w:val="0"/>
        <w:spacing w:line="440" w:lineRule="exact"/>
        <w:ind w:firstLine="560" w:firstLineChars="200"/>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z w:val="28"/>
          <w:szCs w:val="28"/>
          <w:highlight w:val="none"/>
        </w:rPr>
        <w:t>赛项专业大类：电子与信息大类</w:t>
      </w:r>
    </w:p>
    <w:p w14:paraId="6FCCD1C4">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ascii="Times New Roman" w:hAnsi="Times New Roman" w:eastAsia="黑体" w:cs="Times New Roman"/>
          <w:snapToGrid/>
          <w:kern w:val="2"/>
          <w:sz w:val="28"/>
          <w:szCs w:val="32"/>
          <w:highlight w:val="none"/>
          <w:lang w:eastAsia="zh-CN"/>
        </w:rPr>
      </w:pPr>
      <w:r>
        <w:rPr>
          <w:rFonts w:hint="eastAsia" w:ascii="Times New Roman" w:hAnsi="Times New Roman" w:eastAsia="黑体" w:cs="Times New Roman"/>
          <w:snapToGrid/>
          <w:kern w:val="2"/>
          <w:sz w:val="28"/>
          <w:szCs w:val="32"/>
          <w:highlight w:val="none"/>
          <w:lang w:eastAsia="zh-CN"/>
        </w:rPr>
        <w:t>二、竞赛目的</w:t>
      </w:r>
    </w:p>
    <w:p w14:paraId="4992A4D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napToGrid/>
          <w:kern w:val="2"/>
          <w:sz w:val="28"/>
          <w:szCs w:val="28"/>
          <w:highlight w:val="none"/>
          <w:lang w:eastAsia="zh-CN"/>
        </w:rPr>
        <w:t>多信息智能识别控制技术的诞生和发展是基于计算机和人工智能技术的，计算机人工智能技术是高度发展的计算机应用技术产品，可以通过计算机程序和算法模拟人类的思想和行为，并通过计算机和其他输出设备进行显示。人工智能是基于计算机技术的一个跨学科领域，目前正在形成一个相对完整的主题系统。多信息智能识别控制技术是人工智能领域的重要技术领域之一，智能识别可以提供多种信息获取方法，智能控制可以处理信息、反馈信息和控制决策，是人工智能的核心功能。</w:t>
      </w:r>
    </w:p>
    <w:p w14:paraId="16EE266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napToGrid/>
          <w:kern w:val="2"/>
          <w:sz w:val="28"/>
          <w:szCs w:val="28"/>
          <w:highlight w:val="none"/>
          <w:lang w:eastAsia="zh-CN"/>
        </w:rPr>
        <w:t>当前，</w:t>
      </w:r>
      <w:r>
        <w:rPr>
          <w:rFonts w:hint="eastAsia" w:ascii="仿宋_GB2312" w:hAnsi="仿宋_GB2312" w:eastAsia="仿宋_GB2312" w:cs="仿宋_GB2312"/>
          <w:snapToGrid/>
          <w:kern w:val="2"/>
          <w:sz w:val="28"/>
          <w:szCs w:val="28"/>
          <w:highlight w:val="none"/>
          <w:lang w:val="en-US" w:eastAsia="zh-CN"/>
        </w:rPr>
        <w:t>多</w:t>
      </w:r>
      <w:r>
        <w:rPr>
          <w:rFonts w:hint="eastAsia" w:ascii="仿宋_GB2312" w:hAnsi="仿宋_GB2312" w:eastAsia="仿宋_GB2312" w:cs="仿宋_GB2312"/>
          <w:snapToGrid/>
          <w:kern w:val="2"/>
          <w:sz w:val="28"/>
          <w:szCs w:val="28"/>
          <w:highlight w:val="none"/>
          <w:lang w:eastAsia="zh-CN"/>
        </w:rPr>
        <w:t>信息智能识别控制技术逐步渗透到社会生活方方面面，影响各行业各领域的发展，深刻改变着人们的生产生活方式，将创造越来越大的经济效益，显著提高人们生活舒适感、便利度。智能识别控制技术正深刻改变着人们的生产、生活、学习方式，推动人类社会迎来人机协同、跨界融合、共创共享的智能时代。立足于多信息智能识别控制技术，把握全球人工智能发展态势，找准突破口和主攻方向，培养大批具有创新能力和合作精神的人工智能领域高端人才，是教育的重要使命。党中央、国务院高度重视我国人工智能发展，习近平总书记向国际人工智能与教育大会的致贺信中指出：“人工智能是引领新一轮科技革命和产业变革的重要驱动力”，并且强调：“中国高度重视人工智能对教育的深刻影响，积极推动人工智能和教育深度融合”。</w:t>
      </w:r>
    </w:p>
    <w:p w14:paraId="2A63B0F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napToGrid/>
          <w:kern w:val="2"/>
          <w:sz w:val="28"/>
          <w:szCs w:val="28"/>
          <w:highlight w:val="none"/>
          <w:lang w:eastAsia="zh-CN"/>
        </w:rPr>
        <w:t>为适应智能识别控制技术对应的产业对高素质技术型人才的职业需求，赛项以多信息智能识别控制技术开发及应用为核心内容和工作基础，重点考察参赛选手规划和部署建模平台、使用深度学习的相关工具和框架、计算机视觉领域以及自然语言处理领域相关知识解决实际问题的能力，激发学生对信息智能识别控制相关知识和技术的学习兴趣，提升学生职业素养和职业技能，努力为中国人工智能产业的发展储存及输送新鲜血液。</w:t>
      </w:r>
    </w:p>
    <w:p w14:paraId="75BB6C9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napToGrid/>
          <w:kern w:val="2"/>
          <w:sz w:val="28"/>
          <w:szCs w:val="28"/>
          <w:highlight w:val="none"/>
          <w:lang w:eastAsia="zh-CN"/>
        </w:rPr>
      </w:pPr>
      <w:r>
        <w:rPr>
          <w:rFonts w:hint="eastAsia" w:ascii="仿宋_GB2312" w:hAnsi="仿宋_GB2312" w:eastAsia="仿宋_GB2312" w:cs="仿宋_GB2312"/>
          <w:snapToGrid/>
          <w:kern w:val="2"/>
          <w:sz w:val="28"/>
          <w:szCs w:val="28"/>
          <w:highlight w:val="none"/>
          <w:lang w:eastAsia="zh-CN"/>
        </w:rPr>
        <w:t>通过举办本赛项，可以搭建校企合作平台，提升人工智能技术与相关专业毕业生能力素质，满足企业用人需求，促进校企合作协同育人，对接产业发展，实现行业资源、企业资源与教学资源的有机融合，使院校在专业建设、课程建设、人才培养方案和人才培养模式等方面，紧跟社会发展的最新需要，缩小人才培养与行业需求差距，引领院校专业建设与课程改革。</w:t>
      </w:r>
    </w:p>
    <w:p w14:paraId="67A4F6BA">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ascii="Times New Roman" w:hAnsi="Times New Roman" w:eastAsia="黑体" w:cs="Times New Roman"/>
          <w:snapToGrid/>
          <w:kern w:val="2"/>
          <w:sz w:val="28"/>
          <w:szCs w:val="32"/>
          <w:highlight w:val="none"/>
          <w:lang w:eastAsia="zh-CN"/>
        </w:rPr>
      </w:pPr>
      <w:r>
        <w:rPr>
          <w:rFonts w:hint="eastAsia" w:ascii="Times New Roman" w:hAnsi="Times New Roman" w:eastAsia="黑体" w:cs="Times New Roman"/>
          <w:snapToGrid/>
          <w:kern w:val="2"/>
          <w:sz w:val="28"/>
          <w:szCs w:val="32"/>
          <w:highlight w:val="none"/>
          <w:lang w:eastAsia="zh-CN"/>
        </w:rPr>
        <w:t>三、竞赛内容</w:t>
      </w:r>
    </w:p>
    <w:p w14:paraId="6E8BE14B">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1"/>
        <w:jc w:val="both"/>
        <w:textAlignment w:val="baseline"/>
        <w:rPr>
          <w:rFonts w:hint="eastAsia" w:ascii="仿宋_GB2312" w:hAnsi="仿宋_GB2312" w:eastAsia="仿宋_GB2312" w:cs="仿宋_GB2312"/>
          <w:snapToGrid/>
          <w:color w:val="000000"/>
          <w:spacing w:val="0"/>
          <w:kern w:val="2"/>
          <w:sz w:val="28"/>
          <w:szCs w:val="28"/>
          <w:highlight w:val="none"/>
          <w:lang w:val="en-US" w:eastAsia="zh-CN" w:bidi="ar-SA"/>
        </w:rPr>
      </w:pPr>
      <w:r>
        <w:rPr>
          <w:rFonts w:hint="eastAsia" w:ascii="仿宋_GB2312" w:hAnsi="仿宋_GB2312" w:eastAsia="仿宋_GB2312" w:cs="仿宋_GB2312"/>
          <w:snapToGrid/>
          <w:color w:val="000000"/>
          <w:spacing w:val="0"/>
          <w:kern w:val="2"/>
          <w:sz w:val="28"/>
          <w:szCs w:val="28"/>
          <w:highlight w:val="none"/>
          <w:lang w:val="en-US" w:eastAsia="zh-CN" w:bidi="ar-SA"/>
        </w:rPr>
        <w:t>本赛项采用项目型命题的模式。参赛队需根据给定项目需求，完成一定规模且符合比赛要求的内容，包括智能识别应用、智能数据处理、智能模型构建、智能模型部署以及智能文档编写等任务。同时，竞赛也考察参赛者的快速学习和应用能力。在比赛中，参赛者将根据现场提供的技术文档完成各项配置和应用。</w:t>
      </w:r>
    </w:p>
    <w:p w14:paraId="5214CAE2">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jc w:val="both"/>
        <w:textAlignment w:val="baseline"/>
        <w:rPr>
          <w:spacing w:val="-10"/>
          <w:highlight w:val="none"/>
          <w:lang w:eastAsia="zh-CN"/>
        </w:rPr>
      </w:pPr>
      <w:r>
        <w:rPr>
          <w:spacing w:val="-10"/>
          <w:highlight w:val="none"/>
          <w:lang w:eastAsia="zh-CN"/>
        </w:rPr>
        <w:t>竞赛过程包括以下任务模块：</w:t>
      </w:r>
    </w:p>
    <w:p w14:paraId="7E70C492">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sz w:val="2"/>
          <w:highlight w:val="none"/>
          <w:lang w:eastAsia="zh-CN"/>
        </w:rPr>
      </w:pPr>
      <w:r>
        <w:rPr>
          <w:spacing w:val="-4"/>
          <w:highlight w:val="none"/>
          <w:lang w:eastAsia="zh-CN"/>
        </w:rPr>
        <w:t>表</w:t>
      </w:r>
      <w:r>
        <w:rPr>
          <w:spacing w:val="-36"/>
          <w:highlight w:val="none"/>
          <w:lang w:eastAsia="zh-CN"/>
        </w:rPr>
        <w:t xml:space="preserve"> </w:t>
      </w:r>
      <w:r>
        <w:rPr>
          <w:spacing w:val="-4"/>
          <w:highlight w:val="none"/>
          <w:lang w:eastAsia="zh-CN"/>
        </w:rPr>
        <w:t>1 竞赛各任务模块说明表</w:t>
      </w:r>
    </w:p>
    <w:tbl>
      <w:tblPr>
        <w:tblStyle w:val="11"/>
        <w:tblW w:w="8648"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840"/>
        <w:gridCol w:w="1689"/>
        <w:gridCol w:w="3985"/>
      </w:tblGrid>
      <w:tr w14:paraId="49C9C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34" w:type="dxa"/>
            <w:vAlign w:val="center"/>
          </w:tcPr>
          <w:p w14:paraId="501C0B0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序号</w:t>
            </w:r>
          </w:p>
        </w:tc>
        <w:tc>
          <w:tcPr>
            <w:tcW w:w="1840" w:type="dxa"/>
            <w:vAlign w:val="center"/>
          </w:tcPr>
          <w:p w14:paraId="52FCF97A">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任务模块名称</w:t>
            </w:r>
          </w:p>
        </w:tc>
        <w:tc>
          <w:tcPr>
            <w:tcW w:w="1689" w:type="dxa"/>
            <w:vAlign w:val="center"/>
          </w:tcPr>
          <w:p w14:paraId="073D0EF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具体内容</w:t>
            </w:r>
          </w:p>
        </w:tc>
        <w:tc>
          <w:tcPr>
            <w:tcW w:w="3985" w:type="dxa"/>
            <w:vAlign w:val="center"/>
          </w:tcPr>
          <w:p w14:paraId="0FB179E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说明</w:t>
            </w:r>
          </w:p>
        </w:tc>
      </w:tr>
      <w:tr w14:paraId="03FD8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1134" w:type="dxa"/>
            <w:vAlign w:val="center"/>
          </w:tcPr>
          <w:p w14:paraId="1BE3ADD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2"/>
                <w:highlight w:val="none"/>
              </w:rPr>
              <w:t>模块一</w:t>
            </w:r>
          </w:p>
        </w:tc>
        <w:tc>
          <w:tcPr>
            <w:tcW w:w="1840" w:type="dxa"/>
            <w:vAlign w:val="center"/>
          </w:tcPr>
          <w:p w14:paraId="4893970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r>
              <w:rPr>
                <w:spacing w:val="-3"/>
                <w:highlight w:val="none"/>
              </w:rPr>
              <w:t>识别应用</w:t>
            </w:r>
          </w:p>
        </w:tc>
        <w:tc>
          <w:tcPr>
            <w:tcW w:w="1689" w:type="dxa"/>
            <w:vAlign w:val="center"/>
          </w:tcPr>
          <w:p w14:paraId="240129B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
              <w:jc w:val="center"/>
              <w:textAlignment w:val="baseline"/>
              <w:rPr>
                <w:highlight w:val="none"/>
                <w:lang w:eastAsia="zh-CN"/>
              </w:rPr>
            </w:pPr>
            <w:r>
              <w:rPr>
                <w:spacing w:val="21"/>
                <w:highlight w:val="none"/>
                <w:lang w:eastAsia="zh-CN"/>
              </w:rPr>
              <w:t>按照要求编写</w:t>
            </w:r>
            <w:r>
              <w:rPr>
                <w:spacing w:val="20"/>
                <w:highlight w:val="none"/>
                <w:lang w:eastAsia="zh-CN"/>
              </w:rPr>
              <w:t>程序代码实现</w:t>
            </w:r>
            <w:r>
              <w:rPr>
                <w:spacing w:val="-3"/>
                <w:highlight w:val="none"/>
                <w:lang w:eastAsia="zh-CN"/>
              </w:rPr>
              <w:t>智能识别应用</w:t>
            </w:r>
          </w:p>
        </w:tc>
        <w:tc>
          <w:tcPr>
            <w:tcW w:w="3985" w:type="dxa"/>
            <w:vAlign w:val="center"/>
          </w:tcPr>
          <w:p w14:paraId="11BC252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1"/>
              <w:jc w:val="center"/>
              <w:textAlignment w:val="baseline"/>
              <w:rPr>
                <w:highlight w:val="none"/>
              </w:rPr>
            </w:pPr>
            <w:r>
              <w:rPr>
                <w:spacing w:val="-10"/>
                <w:highlight w:val="none"/>
                <w:lang w:eastAsia="zh-CN"/>
              </w:rPr>
              <w:t>根据任务书要求，编写并运行代码，实现对视频或图像中的物体</w:t>
            </w:r>
            <w:r>
              <w:rPr>
                <w:highlight w:val="none"/>
                <w:lang w:eastAsia="zh-CN"/>
              </w:rPr>
              <w:t>的智能识别，主要考察opencv</w:t>
            </w:r>
            <w:r>
              <w:rPr>
                <w:spacing w:val="-8"/>
                <w:highlight w:val="none"/>
              </w:rPr>
              <w:t>等相关技术点。</w:t>
            </w:r>
          </w:p>
        </w:tc>
      </w:tr>
      <w:tr w14:paraId="0007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1134" w:type="dxa"/>
            <w:vAlign w:val="center"/>
          </w:tcPr>
          <w:p w14:paraId="03B58A3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模块二</w:t>
            </w:r>
          </w:p>
        </w:tc>
        <w:tc>
          <w:tcPr>
            <w:tcW w:w="1840" w:type="dxa"/>
            <w:vAlign w:val="center"/>
          </w:tcPr>
          <w:p w14:paraId="7D8F1C5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r>
              <w:rPr>
                <w:spacing w:val="-3"/>
                <w:highlight w:val="none"/>
              </w:rPr>
              <w:t>数据处理</w:t>
            </w:r>
          </w:p>
        </w:tc>
        <w:tc>
          <w:tcPr>
            <w:tcW w:w="1689" w:type="dxa"/>
            <w:vAlign w:val="center"/>
          </w:tcPr>
          <w:p w14:paraId="0B6DD3E0">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1"/>
              <w:jc w:val="center"/>
              <w:textAlignment w:val="baseline"/>
              <w:rPr>
                <w:highlight w:val="none"/>
                <w:lang w:eastAsia="zh-CN"/>
              </w:rPr>
            </w:pPr>
            <w:r>
              <w:rPr>
                <w:spacing w:val="21"/>
                <w:highlight w:val="none"/>
                <w:lang w:eastAsia="zh-CN"/>
              </w:rPr>
              <w:t>按照要求编写程序代码实现</w:t>
            </w:r>
            <w:r>
              <w:rPr>
                <w:spacing w:val="20"/>
                <w:highlight w:val="none"/>
                <w:lang w:eastAsia="zh-CN"/>
              </w:rPr>
              <w:t>对提供的数据集的预处理操</w:t>
            </w:r>
            <w:r>
              <w:rPr>
                <w:highlight w:val="none"/>
                <w:lang w:eastAsia="zh-CN"/>
              </w:rPr>
              <w:t>作</w:t>
            </w:r>
          </w:p>
        </w:tc>
        <w:tc>
          <w:tcPr>
            <w:tcW w:w="3985" w:type="dxa"/>
            <w:vAlign w:val="center"/>
          </w:tcPr>
          <w:p w14:paraId="5ADB07C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13"/>
                <w:highlight w:val="none"/>
                <w:lang w:eastAsia="zh-CN"/>
              </w:rPr>
              <w:t>根据任务书要求，加载比赛资源</w:t>
            </w:r>
            <w:r>
              <w:rPr>
                <w:spacing w:val="3"/>
                <w:highlight w:val="none"/>
                <w:lang w:eastAsia="zh-CN"/>
              </w:rPr>
              <w:t xml:space="preserve"> </w:t>
            </w:r>
            <w:r>
              <w:rPr>
                <w:spacing w:val="-13"/>
                <w:highlight w:val="none"/>
                <w:lang w:eastAsia="zh-CN"/>
              </w:rPr>
              <w:t>中提供的数据集，编写代码</w:t>
            </w:r>
            <w:r>
              <w:rPr>
                <w:spacing w:val="-9"/>
                <w:highlight w:val="none"/>
                <w:lang w:eastAsia="zh-CN"/>
              </w:rPr>
              <w:t>实现对数据的指定预处理要求</w:t>
            </w:r>
            <w:r>
              <w:rPr>
                <w:rFonts w:hint="eastAsia"/>
                <w:spacing w:val="-18"/>
                <w:highlight w:val="none"/>
                <w:lang w:eastAsia="zh-CN"/>
              </w:rPr>
              <w:t>，</w:t>
            </w:r>
            <w:r>
              <w:rPr>
                <w:spacing w:val="-18"/>
                <w:highlight w:val="none"/>
                <w:lang w:eastAsia="zh-CN"/>
              </w:rPr>
              <w:t>按要求</w:t>
            </w:r>
            <w:r>
              <w:rPr>
                <w:spacing w:val="7"/>
                <w:highlight w:val="none"/>
                <w:lang w:eastAsia="zh-CN"/>
              </w:rPr>
              <w:t>保存相关代码及处理后的数据</w:t>
            </w:r>
            <w:r>
              <w:rPr>
                <w:spacing w:val="-16"/>
                <w:highlight w:val="none"/>
                <w:lang w:eastAsia="zh-CN"/>
              </w:rPr>
              <w:t>集。</w:t>
            </w:r>
          </w:p>
        </w:tc>
      </w:tr>
      <w:tr w14:paraId="59B73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7" w:hRule="atLeast"/>
        </w:trPr>
        <w:tc>
          <w:tcPr>
            <w:tcW w:w="1134" w:type="dxa"/>
            <w:vAlign w:val="center"/>
          </w:tcPr>
          <w:p w14:paraId="29192A6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模块三</w:t>
            </w:r>
          </w:p>
        </w:tc>
        <w:tc>
          <w:tcPr>
            <w:tcW w:w="1840" w:type="dxa"/>
            <w:vAlign w:val="center"/>
          </w:tcPr>
          <w:p w14:paraId="2C59ECB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p>
          <w:p w14:paraId="2F712E9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模型构建</w:t>
            </w:r>
          </w:p>
        </w:tc>
        <w:tc>
          <w:tcPr>
            <w:tcW w:w="1689" w:type="dxa"/>
            <w:vAlign w:val="center"/>
          </w:tcPr>
          <w:p w14:paraId="612BC42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2"/>
              <w:jc w:val="center"/>
              <w:textAlignment w:val="baseline"/>
              <w:rPr>
                <w:highlight w:val="none"/>
              </w:rPr>
            </w:pPr>
            <w:r>
              <w:rPr>
                <w:spacing w:val="21"/>
                <w:highlight w:val="none"/>
                <w:lang w:eastAsia="zh-CN"/>
              </w:rPr>
              <w:t>按照要求根据</w:t>
            </w:r>
            <w:r>
              <w:rPr>
                <w:spacing w:val="20"/>
                <w:highlight w:val="none"/>
                <w:lang w:eastAsia="zh-CN"/>
              </w:rPr>
              <w:t>给定的框架进行模型训练及</w:t>
            </w:r>
            <w:r>
              <w:rPr>
                <w:spacing w:val="-5"/>
                <w:highlight w:val="none"/>
              </w:rPr>
              <w:t>优化</w:t>
            </w:r>
          </w:p>
        </w:tc>
        <w:tc>
          <w:tcPr>
            <w:tcW w:w="3985" w:type="dxa"/>
            <w:vAlign w:val="center"/>
          </w:tcPr>
          <w:p w14:paraId="5AACA8B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13"/>
              <w:jc w:val="center"/>
              <w:textAlignment w:val="baseline"/>
              <w:rPr>
                <w:highlight w:val="none"/>
                <w:lang w:eastAsia="zh-CN"/>
              </w:rPr>
            </w:pPr>
            <w:r>
              <w:rPr>
                <w:spacing w:val="-10"/>
                <w:highlight w:val="none"/>
                <w:lang w:eastAsia="zh-CN"/>
              </w:rPr>
              <w:t>根据任务书要求，加载竞赛提供</w:t>
            </w:r>
            <w:r>
              <w:rPr>
                <w:spacing w:val="24"/>
                <w:highlight w:val="none"/>
                <w:lang w:eastAsia="zh-CN"/>
              </w:rPr>
              <w:t>的数据集，根据比赛提供的</w:t>
            </w:r>
            <w:r>
              <w:rPr>
                <w:highlight w:val="none"/>
                <w:lang w:eastAsia="zh-CN"/>
              </w:rPr>
              <w:t>TensorFlow</w:t>
            </w:r>
            <w:r>
              <w:rPr>
                <w:spacing w:val="3"/>
                <w:highlight w:val="none"/>
                <w:lang w:eastAsia="zh-CN"/>
              </w:rPr>
              <w:t>/</w:t>
            </w:r>
            <w:r>
              <w:rPr>
                <w:highlight w:val="none"/>
                <w:lang w:eastAsia="zh-CN"/>
              </w:rPr>
              <w:t>Keras</w:t>
            </w:r>
            <w:r>
              <w:rPr>
                <w:spacing w:val="3"/>
                <w:highlight w:val="none"/>
                <w:lang w:eastAsia="zh-CN"/>
              </w:rPr>
              <w:t>框架，调整</w:t>
            </w:r>
            <w:r>
              <w:rPr>
                <w:spacing w:val="-9"/>
                <w:highlight w:val="none"/>
                <w:lang w:eastAsia="zh-CN"/>
              </w:rPr>
              <w:t>修改相关代码，实现对指定物体识别模型的训练及优化，按要求</w:t>
            </w:r>
            <w:r>
              <w:rPr>
                <w:spacing w:val="12"/>
                <w:highlight w:val="none"/>
                <w:lang w:eastAsia="zh-CN"/>
              </w:rPr>
              <w:t>识别出给定的数据集将结果保</w:t>
            </w:r>
            <w:r>
              <w:rPr>
                <w:spacing w:val="11"/>
                <w:highlight w:val="none"/>
                <w:lang w:eastAsia="zh-CN"/>
              </w:rPr>
              <w:t>存并要求结果达到一定的准确</w:t>
            </w:r>
          </w:p>
        </w:tc>
      </w:tr>
      <w:tr w14:paraId="47725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4" w:hRule="atLeast"/>
        </w:trPr>
        <w:tc>
          <w:tcPr>
            <w:tcW w:w="1134" w:type="dxa"/>
            <w:vAlign w:val="center"/>
          </w:tcPr>
          <w:p w14:paraId="3CD3346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模块四</w:t>
            </w:r>
          </w:p>
        </w:tc>
        <w:tc>
          <w:tcPr>
            <w:tcW w:w="1840" w:type="dxa"/>
            <w:vAlign w:val="center"/>
          </w:tcPr>
          <w:p w14:paraId="35B051F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p>
          <w:p w14:paraId="332C564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模型部署</w:t>
            </w:r>
          </w:p>
        </w:tc>
        <w:tc>
          <w:tcPr>
            <w:tcW w:w="1689" w:type="dxa"/>
            <w:vAlign w:val="center"/>
          </w:tcPr>
          <w:p w14:paraId="6A624E2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7"/>
                <w:highlight w:val="none"/>
                <w:lang w:eastAsia="zh-CN"/>
              </w:rPr>
              <w:t>按照要求将训练好的模型在提供的设备上</w:t>
            </w:r>
            <w:r>
              <w:rPr>
                <w:spacing w:val="-22"/>
                <w:highlight w:val="none"/>
                <w:lang w:eastAsia="zh-CN"/>
              </w:rPr>
              <w:t>进行模型转换、</w:t>
            </w:r>
            <w:r>
              <w:rPr>
                <w:spacing w:val="7"/>
                <w:highlight w:val="none"/>
                <w:lang w:eastAsia="zh-CN"/>
              </w:rPr>
              <w:t>部署及场景应</w:t>
            </w:r>
            <w:r>
              <w:rPr>
                <w:spacing w:val="-20"/>
                <w:highlight w:val="none"/>
              </w:rPr>
              <w:t>用。</w:t>
            </w:r>
          </w:p>
        </w:tc>
        <w:tc>
          <w:tcPr>
            <w:tcW w:w="3985" w:type="dxa"/>
            <w:vAlign w:val="center"/>
          </w:tcPr>
          <w:p w14:paraId="3A2EC22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1"/>
              <w:jc w:val="center"/>
              <w:textAlignment w:val="baseline"/>
              <w:rPr>
                <w:highlight w:val="none"/>
                <w:lang w:eastAsia="zh-CN"/>
              </w:rPr>
            </w:pPr>
            <w:r>
              <w:rPr>
                <w:spacing w:val="-10"/>
                <w:highlight w:val="none"/>
                <w:lang w:eastAsia="zh-CN"/>
              </w:rPr>
              <w:t>根据任务书要求，通过提供的设备、说明和示例代码等相关资料</w:t>
            </w:r>
            <w:r>
              <w:rPr>
                <w:spacing w:val="-13"/>
                <w:highlight w:val="none"/>
                <w:lang w:eastAsia="zh-CN"/>
              </w:rPr>
              <w:t>,编写修改相关代码，完成模型</w:t>
            </w:r>
            <w:r>
              <w:rPr>
                <w:spacing w:val="-10"/>
                <w:highlight w:val="none"/>
                <w:lang w:eastAsia="zh-CN"/>
              </w:rPr>
              <w:t>的转换及部署，并完成指定的场景模拟应用，如智能家居中根据</w:t>
            </w:r>
            <w:r>
              <w:rPr>
                <w:rFonts w:hint="eastAsia"/>
                <w:spacing w:val="-10"/>
                <w:highlight w:val="none"/>
                <w:lang w:eastAsia="zh-CN"/>
              </w:rPr>
              <w:t>人脸识别进行通风系统运行</w:t>
            </w:r>
            <w:r>
              <w:rPr>
                <w:spacing w:val="-10"/>
                <w:highlight w:val="none"/>
                <w:lang w:eastAsia="zh-CN"/>
              </w:rPr>
              <w:t>、</w:t>
            </w:r>
            <w:r>
              <w:rPr>
                <w:rFonts w:hint="eastAsia"/>
                <w:spacing w:val="-10"/>
                <w:highlight w:val="none"/>
                <w:lang w:eastAsia="zh-CN"/>
              </w:rPr>
              <w:t>根据人体姿态实现灯光控制，根据红外传感实现蜂鸣器鸣叫等</w:t>
            </w:r>
          </w:p>
        </w:tc>
      </w:tr>
      <w:tr w14:paraId="2E0E3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34" w:type="dxa"/>
            <w:vAlign w:val="center"/>
          </w:tcPr>
          <w:p w14:paraId="1DA5D0F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模块五</w:t>
            </w:r>
          </w:p>
        </w:tc>
        <w:tc>
          <w:tcPr>
            <w:tcW w:w="1840" w:type="dxa"/>
            <w:vAlign w:val="center"/>
          </w:tcPr>
          <w:p w14:paraId="038CE18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p>
          <w:p w14:paraId="23C056A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文档编写</w:t>
            </w:r>
          </w:p>
        </w:tc>
        <w:tc>
          <w:tcPr>
            <w:tcW w:w="1689" w:type="dxa"/>
            <w:vAlign w:val="center"/>
          </w:tcPr>
          <w:p w14:paraId="2252150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spacing w:val="-22"/>
                <w:highlight w:val="none"/>
                <w:lang w:eastAsia="zh-CN"/>
              </w:rPr>
            </w:pPr>
            <w:r>
              <w:rPr>
                <w:spacing w:val="-22"/>
                <w:highlight w:val="none"/>
                <w:lang w:eastAsia="zh-CN"/>
              </w:rPr>
              <w:t>按照要求编写</w:t>
            </w:r>
          </w:p>
          <w:p w14:paraId="1D2AE16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2"/>
                <w:highlight w:val="none"/>
                <w:lang w:eastAsia="zh-CN"/>
              </w:rPr>
              <w:t>相关文档</w:t>
            </w:r>
          </w:p>
        </w:tc>
        <w:tc>
          <w:tcPr>
            <w:tcW w:w="3985" w:type="dxa"/>
            <w:vAlign w:val="center"/>
          </w:tcPr>
          <w:p w14:paraId="283819D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hanging="9"/>
              <w:jc w:val="center"/>
              <w:textAlignment w:val="baseline"/>
              <w:rPr>
                <w:highlight w:val="none"/>
                <w:lang w:eastAsia="zh-CN"/>
              </w:rPr>
            </w:pPr>
            <w:r>
              <w:rPr>
                <w:spacing w:val="-9"/>
                <w:highlight w:val="none"/>
                <w:lang w:eastAsia="zh-CN"/>
              </w:rPr>
              <w:t>根据任务书要求完成任务报告、</w:t>
            </w:r>
            <w:r>
              <w:rPr>
                <w:spacing w:val="-14"/>
                <w:highlight w:val="none"/>
                <w:lang w:eastAsia="zh-CN"/>
              </w:rPr>
              <w:t>系统说明等文档的编写，要求根</w:t>
            </w:r>
          </w:p>
          <w:p w14:paraId="4D20EEE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6"/>
                <w:highlight w:val="none"/>
                <w:lang w:eastAsia="zh-CN"/>
              </w:rPr>
              <w:t>据给定的格式进行编写。</w:t>
            </w:r>
          </w:p>
        </w:tc>
      </w:tr>
    </w:tbl>
    <w:p w14:paraId="4C711B61">
      <w:pPr>
        <w:pStyle w:val="2"/>
        <w:bidi w:val="0"/>
        <w:rPr>
          <w:rFonts w:hint="eastAsia"/>
          <w:highlight w:val="none"/>
          <w:lang w:eastAsia="zh-CN"/>
        </w:rPr>
      </w:pPr>
      <w:r>
        <w:rPr>
          <w:rFonts w:hint="eastAsia"/>
          <w:highlight w:val="none"/>
          <w:lang w:eastAsia="zh-CN"/>
        </w:rPr>
        <w:t>四、竞赛方式</w:t>
      </w:r>
    </w:p>
    <w:p w14:paraId="09D5AA29">
      <w:pPr>
        <w:pStyle w:val="4"/>
        <w:bidi w:val="0"/>
        <w:rPr>
          <w:highlight w:val="none"/>
          <w:lang w:eastAsia="zh-CN"/>
        </w:rPr>
      </w:pPr>
      <w:r>
        <w:rPr>
          <w:highlight w:val="none"/>
          <w:lang w:eastAsia="zh-CN"/>
        </w:rPr>
        <w:t>（一）大赛模式：大赛采取</w:t>
      </w:r>
      <w:r>
        <w:rPr>
          <w:rFonts w:hint="eastAsia"/>
          <w:highlight w:val="none"/>
          <w:lang w:eastAsia="zh-CN"/>
        </w:rPr>
        <w:t>团体</w:t>
      </w:r>
      <w:r>
        <w:rPr>
          <w:highlight w:val="none"/>
          <w:lang w:eastAsia="zh-CN"/>
        </w:rPr>
        <w:t>赛方式。每支参赛队由</w:t>
      </w:r>
      <w:r>
        <w:rPr>
          <w:rFonts w:hint="eastAsia"/>
          <w:highlight w:val="none"/>
          <w:lang w:eastAsia="zh-CN"/>
        </w:rPr>
        <w:t>2</w:t>
      </w:r>
      <w:r>
        <w:rPr>
          <w:highlight w:val="none"/>
          <w:lang w:eastAsia="zh-CN"/>
        </w:rPr>
        <w:t>名学生和</w:t>
      </w:r>
      <w:bookmarkStart w:id="0" w:name="_GoBack"/>
      <w:bookmarkEnd w:id="0"/>
      <w:r>
        <w:rPr>
          <w:rFonts w:hint="eastAsia"/>
          <w:highlight w:val="none"/>
          <w:lang w:val="en-US" w:eastAsia="zh-CN"/>
        </w:rPr>
        <w:t>2</w:t>
      </w:r>
      <w:r>
        <w:rPr>
          <w:highlight w:val="none"/>
          <w:lang w:eastAsia="zh-CN"/>
        </w:rPr>
        <w:t>名指导教师组成。每所院校最多可报名2支队伍。</w:t>
      </w:r>
      <w:r>
        <w:rPr>
          <w:rFonts w:hint="eastAsia"/>
          <w:highlight w:val="none"/>
          <w:lang w:eastAsia="zh-CN"/>
        </w:rPr>
        <w:t>不允许跨校组队。</w:t>
      </w:r>
    </w:p>
    <w:p w14:paraId="1282BA82">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textAlignment w:val="baseline"/>
        <w:rPr>
          <w:spacing w:val="-12"/>
          <w:highlight w:val="none"/>
          <w:lang w:eastAsia="zh-CN"/>
        </w:rPr>
      </w:pPr>
      <w:r>
        <w:rPr>
          <w:spacing w:val="-12"/>
          <w:highlight w:val="none"/>
          <w:lang w:eastAsia="zh-CN"/>
        </w:rPr>
        <w:t>（二）高等职业院校在籍学生均可报名</w:t>
      </w:r>
      <w:r>
        <w:rPr>
          <w:rFonts w:hint="eastAsia"/>
          <w:spacing w:val="-12"/>
          <w:highlight w:val="none"/>
          <w:lang w:eastAsia="zh-CN"/>
        </w:rPr>
        <w:t>（含职教本科）</w:t>
      </w:r>
      <w:r>
        <w:rPr>
          <w:spacing w:val="-12"/>
          <w:highlight w:val="none"/>
          <w:lang w:eastAsia="zh-CN"/>
        </w:rPr>
        <w:t>。</w:t>
      </w:r>
    </w:p>
    <w:p w14:paraId="281CCF8B">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textAlignment w:val="baseline"/>
        <w:rPr>
          <w:highlight w:val="none"/>
          <w:lang w:eastAsia="zh-CN"/>
        </w:rPr>
      </w:pPr>
      <w:r>
        <w:rPr>
          <w:spacing w:val="-12"/>
          <w:highlight w:val="none"/>
          <w:lang w:eastAsia="zh-CN"/>
        </w:rPr>
        <w:t>（三）竞赛如需采取多场次进行时，由赛项执委会按照竞赛日程</w:t>
      </w:r>
      <w:r>
        <w:rPr>
          <w:spacing w:val="-8"/>
          <w:highlight w:val="none"/>
          <w:lang w:eastAsia="zh-CN"/>
        </w:rPr>
        <w:t>组织各领队参加公开抽签，确定各队参赛场次（是否分</w:t>
      </w:r>
      <w:r>
        <w:rPr>
          <w:spacing w:val="-9"/>
          <w:highlight w:val="none"/>
          <w:lang w:eastAsia="zh-CN"/>
        </w:rPr>
        <w:t>场次以参赛队</w:t>
      </w:r>
      <w:r>
        <w:rPr>
          <w:spacing w:val="-6"/>
          <w:highlight w:val="none"/>
          <w:lang w:eastAsia="zh-CN"/>
        </w:rPr>
        <w:t>数量为准</w:t>
      </w:r>
      <w:r>
        <w:rPr>
          <w:spacing w:val="-29"/>
          <w:highlight w:val="none"/>
          <w:lang w:eastAsia="zh-CN"/>
        </w:rPr>
        <w:t>）；</w:t>
      </w:r>
      <w:r>
        <w:rPr>
          <w:spacing w:val="-6"/>
          <w:highlight w:val="none"/>
          <w:lang w:eastAsia="zh-CN"/>
        </w:rPr>
        <w:t>参赛队按照抽签确定的参赛时段分批次进入竞赛场地比</w:t>
      </w:r>
      <w:r>
        <w:rPr>
          <w:spacing w:val="-14"/>
          <w:highlight w:val="none"/>
          <w:lang w:eastAsia="zh-CN"/>
        </w:rPr>
        <w:t>赛。</w:t>
      </w:r>
    </w:p>
    <w:p w14:paraId="749ED96F">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textAlignment w:val="baseline"/>
        <w:rPr>
          <w:spacing w:val="-12"/>
          <w:highlight w:val="none"/>
          <w:lang w:eastAsia="zh-CN"/>
        </w:rPr>
      </w:pPr>
      <w:r>
        <w:rPr>
          <w:spacing w:val="-12"/>
          <w:highlight w:val="none"/>
          <w:lang w:eastAsia="zh-CN"/>
        </w:rPr>
        <w:t>（四）竞赛总时长为360分钟。</w:t>
      </w:r>
    </w:p>
    <w:p w14:paraId="199F682E">
      <w:pPr>
        <w:pStyle w:val="2"/>
        <w:bidi w:val="0"/>
        <w:rPr>
          <w:rFonts w:hint="eastAsia"/>
          <w:highlight w:val="none"/>
          <w:lang w:eastAsia="zh-CN"/>
        </w:rPr>
      </w:pPr>
      <w:r>
        <w:rPr>
          <w:rFonts w:hint="eastAsia"/>
          <w:highlight w:val="none"/>
          <w:lang w:eastAsia="zh-CN"/>
        </w:rPr>
        <w:t>五、竞赛流程</w:t>
      </w:r>
    </w:p>
    <w:p w14:paraId="1AD30AC9">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2"/>
          <w:highlight w:val="none"/>
          <w:lang w:eastAsia="zh-CN"/>
        </w:rPr>
        <w:t>本流程以最终通知为准</w:t>
      </w:r>
    </w:p>
    <w:p w14:paraId="033C159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0"/>
        <w:textAlignment w:val="baseline"/>
        <w:rPr>
          <w:spacing w:val="-3"/>
          <w:highlight w:val="none"/>
          <w:lang w:eastAsia="zh-CN"/>
        </w:rPr>
      </w:pPr>
      <w:r>
        <w:rPr>
          <w:spacing w:val="-12"/>
          <w:highlight w:val="none"/>
          <w:lang w:eastAsia="zh-CN"/>
        </w:rPr>
        <w:t>(一)时间安排：竞赛具体的竞赛日期，由大赛官方统一规定，</w:t>
      </w:r>
      <w:r>
        <w:rPr>
          <w:spacing w:val="-3"/>
          <w:highlight w:val="none"/>
          <w:lang w:eastAsia="zh-CN"/>
        </w:rPr>
        <w:t>竞赛期间的日程安排参考见表2。</w:t>
      </w:r>
    </w:p>
    <w:p w14:paraId="549D056D">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highlight w:val="none"/>
        </w:rPr>
      </w:pPr>
      <w:r>
        <w:rPr>
          <w:spacing w:val="-4"/>
          <w:highlight w:val="none"/>
        </w:rPr>
        <w:t>表</w:t>
      </w:r>
      <w:r>
        <w:rPr>
          <w:spacing w:val="-54"/>
          <w:highlight w:val="none"/>
        </w:rPr>
        <w:t xml:space="preserve"> </w:t>
      </w:r>
      <w:r>
        <w:rPr>
          <w:spacing w:val="-4"/>
          <w:highlight w:val="none"/>
        </w:rPr>
        <w:t>2 竞赛日程安排表</w:t>
      </w:r>
    </w:p>
    <w:tbl>
      <w:tblPr>
        <w:tblStyle w:val="11"/>
        <w:tblW w:w="82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0"/>
        <w:gridCol w:w="1849"/>
        <w:gridCol w:w="5014"/>
      </w:tblGrid>
      <w:tr w14:paraId="341D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1360" w:type="dxa"/>
            <w:vAlign w:val="center"/>
          </w:tcPr>
          <w:p w14:paraId="69C75B0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20"/>
                <w:highlight w:val="none"/>
                <w14:textOutline w14:w="5092" w14:cap="flat" w14:cmpd="sng" w14:algn="ctr">
                  <w14:solidFill>
                    <w14:srgbClr w14:val="000000"/>
                  </w14:solidFill>
                  <w14:prstDash w14:val="solid"/>
                  <w14:miter w14:val="0"/>
                </w14:textOutline>
              </w:rPr>
              <w:t>日期</w:t>
            </w:r>
          </w:p>
        </w:tc>
        <w:tc>
          <w:tcPr>
            <w:tcW w:w="1849" w:type="dxa"/>
            <w:vAlign w:val="center"/>
          </w:tcPr>
          <w:p w14:paraId="673F7A5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0"/>
                <w:highlight w:val="none"/>
                <w14:textOutline w14:w="5092" w14:cap="flat" w14:cmpd="sng" w14:algn="ctr">
                  <w14:solidFill>
                    <w14:srgbClr w14:val="000000"/>
                  </w14:solidFill>
                  <w14:prstDash w14:val="solid"/>
                  <w14:miter w14:val="0"/>
                </w14:textOutline>
              </w:rPr>
              <w:t>时间</w:t>
            </w:r>
          </w:p>
        </w:tc>
        <w:tc>
          <w:tcPr>
            <w:tcW w:w="5014" w:type="dxa"/>
            <w:vAlign w:val="center"/>
          </w:tcPr>
          <w:p w14:paraId="143B039A">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3"/>
                <w:highlight w:val="none"/>
                <w14:textOutline w14:w="5092" w14:cap="flat" w14:cmpd="sng" w14:algn="ctr">
                  <w14:solidFill>
                    <w14:srgbClr w14:val="000000"/>
                  </w14:solidFill>
                  <w14:prstDash w14:val="solid"/>
                  <w14:miter w14:val="0"/>
                </w14:textOutline>
              </w:rPr>
              <w:t>内容</w:t>
            </w:r>
          </w:p>
        </w:tc>
      </w:tr>
      <w:tr w14:paraId="48D7B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360" w:type="dxa"/>
            <w:vMerge w:val="restart"/>
            <w:tcBorders>
              <w:bottom w:val="nil"/>
            </w:tcBorders>
            <w:vAlign w:val="center"/>
          </w:tcPr>
          <w:p w14:paraId="6D15476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rFonts w:hint="eastAsia"/>
                <w:spacing w:val="-14"/>
                <w:highlight w:val="none"/>
                <w:lang w:val="en-US" w:eastAsia="zh-CN"/>
              </w:rPr>
              <w:t>12</w:t>
            </w:r>
            <w:r>
              <w:rPr>
                <w:spacing w:val="-14"/>
                <w:highlight w:val="none"/>
              </w:rPr>
              <w:t>月</w:t>
            </w:r>
            <w:r>
              <w:rPr>
                <w:rFonts w:hint="eastAsia"/>
                <w:spacing w:val="-14"/>
                <w:highlight w:val="none"/>
                <w:lang w:eastAsia="zh-CN"/>
              </w:rPr>
              <w:t>1</w:t>
            </w:r>
            <w:r>
              <w:rPr>
                <w:rFonts w:hint="eastAsia"/>
                <w:spacing w:val="-14"/>
                <w:highlight w:val="none"/>
                <w:lang w:val="en-US" w:eastAsia="zh-CN"/>
              </w:rPr>
              <w:t>9</w:t>
            </w:r>
            <w:r>
              <w:rPr>
                <w:spacing w:val="-14"/>
                <w:highlight w:val="none"/>
              </w:rPr>
              <w:t>日</w:t>
            </w:r>
          </w:p>
        </w:tc>
        <w:tc>
          <w:tcPr>
            <w:tcW w:w="1849" w:type="dxa"/>
            <w:vAlign w:val="center"/>
          </w:tcPr>
          <w:p w14:paraId="782473B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10:00-16:00</w:t>
            </w:r>
          </w:p>
        </w:tc>
        <w:tc>
          <w:tcPr>
            <w:tcW w:w="5014" w:type="dxa"/>
            <w:vAlign w:val="center"/>
          </w:tcPr>
          <w:p w14:paraId="557A6417">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参赛队报道</w:t>
            </w:r>
          </w:p>
        </w:tc>
      </w:tr>
      <w:tr w14:paraId="5DEC4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360" w:type="dxa"/>
            <w:vMerge w:val="continue"/>
            <w:tcBorders>
              <w:top w:val="nil"/>
              <w:bottom w:val="nil"/>
            </w:tcBorders>
            <w:vAlign w:val="center"/>
          </w:tcPr>
          <w:p w14:paraId="085DFD4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p>
        </w:tc>
        <w:tc>
          <w:tcPr>
            <w:tcW w:w="1849" w:type="dxa"/>
            <w:vAlign w:val="center"/>
          </w:tcPr>
          <w:p w14:paraId="278E98B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7"/>
                <w:highlight w:val="none"/>
              </w:rPr>
              <w:t>16:00-16：30</w:t>
            </w:r>
          </w:p>
        </w:tc>
        <w:tc>
          <w:tcPr>
            <w:tcW w:w="5014" w:type="dxa"/>
            <w:vAlign w:val="center"/>
          </w:tcPr>
          <w:p w14:paraId="2B0B7E0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各队领队报到</w:t>
            </w:r>
          </w:p>
        </w:tc>
      </w:tr>
      <w:tr w14:paraId="4DDC9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jc w:val="center"/>
        </w:trPr>
        <w:tc>
          <w:tcPr>
            <w:tcW w:w="1360" w:type="dxa"/>
            <w:vMerge w:val="continue"/>
            <w:tcBorders>
              <w:top w:val="nil"/>
              <w:bottom w:val="nil"/>
            </w:tcBorders>
            <w:vAlign w:val="center"/>
          </w:tcPr>
          <w:p w14:paraId="2BACCAF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p>
        </w:tc>
        <w:tc>
          <w:tcPr>
            <w:tcW w:w="1849" w:type="dxa"/>
            <w:vAlign w:val="center"/>
          </w:tcPr>
          <w:p w14:paraId="5B0B5B9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7"/>
                <w:highlight w:val="none"/>
              </w:rPr>
              <w:t>16:30-17：00</w:t>
            </w:r>
          </w:p>
        </w:tc>
        <w:tc>
          <w:tcPr>
            <w:tcW w:w="5014" w:type="dxa"/>
            <w:vAlign w:val="center"/>
          </w:tcPr>
          <w:p w14:paraId="2CA65EF7">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4"/>
                <w:highlight w:val="none"/>
                <w:lang w:eastAsia="zh-CN"/>
              </w:rPr>
              <w:t>领队会</w:t>
            </w:r>
          </w:p>
          <w:p w14:paraId="023905B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9"/>
                <w:highlight w:val="none"/>
                <w:lang w:eastAsia="zh-CN"/>
              </w:rPr>
              <w:t>（领取赛事资料、抽签决定比赛的次序）</w:t>
            </w:r>
          </w:p>
        </w:tc>
      </w:tr>
      <w:tr w14:paraId="104FC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360" w:type="dxa"/>
            <w:vMerge w:val="continue"/>
            <w:tcBorders>
              <w:top w:val="nil"/>
            </w:tcBorders>
            <w:vAlign w:val="center"/>
          </w:tcPr>
          <w:p w14:paraId="486BC4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p>
        </w:tc>
        <w:tc>
          <w:tcPr>
            <w:tcW w:w="1849" w:type="dxa"/>
            <w:vAlign w:val="center"/>
          </w:tcPr>
          <w:p w14:paraId="2CEC314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7"/>
                <w:highlight w:val="none"/>
              </w:rPr>
              <w:t>17:00-17：30</w:t>
            </w:r>
          </w:p>
        </w:tc>
        <w:tc>
          <w:tcPr>
            <w:tcW w:w="5014" w:type="dxa"/>
            <w:vAlign w:val="center"/>
          </w:tcPr>
          <w:p w14:paraId="0AE7523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统一安排选手参观竞赛场地</w:t>
            </w:r>
          </w:p>
        </w:tc>
      </w:tr>
      <w:tr w14:paraId="4F7B5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360" w:type="dxa"/>
            <w:vMerge w:val="restart"/>
            <w:tcBorders>
              <w:bottom w:val="nil"/>
            </w:tcBorders>
            <w:vAlign w:val="center"/>
          </w:tcPr>
          <w:p w14:paraId="5115C8D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rFonts w:hint="eastAsia"/>
                <w:spacing w:val="-14"/>
                <w:highlight w:val="none"/>
                <w:lang w:val="en-US" w:eastAsia="zh-CN"/>
              </w:rPr>
              <w:t>12</w:t>
            </w:r>
            <w:r>
              <w:rPr>
                <w:spacing w:val="-14"/>
                <w:highlight w:val="none"/>
              </w:rPr>
              <w:t>月</w:t>
            </w:r>
            <w:r>
              <w:rPr>
                <w:rFonts w:hint="eastAsia"/>
                <w:spacing w:val="-14"/>
                <w:highlight w:val="none"/>
                <w:lang w:eastAsia="zh-CN"/>
              </w:rPr>
              <w:t>2</w:t>
            </w:r>
            <w:r>
              <w:rPr>
                <w:rFonts w:hint="eastAsia"/>
                <w:spacing w:val="-14"/>
                <w:highlight w:val="none"/>
                <w:lang w:val="en-US" w:eastAsia="zh-CN"/>
              </w:rPr>
              <w:t>0</w:t>
            </w:r>
            <w:r>
              <w:rPr>
                <w:spacing w:val="-14"/>
                <w:highlight w:val="none"/>
              </w:rPr>
              <w:t>日</w:t>
            </w:r>
          </w:p>
        </w:tc>
        <w:tc>
          <w:tcPr>
            <w:tcW w:w="1849" w:type="dxa"/>
            <w:vAlign w:val="center"/>
          </w:tcPr>
          <w:p w14:paraId="0F729DD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07:00</w:t>
            </w:r>
          </w:p>
        </w:tc>
        <w:tc>
          <w:tcPr>
            <w:tcW w:w="5014" w:type="dxa"/>
            <w:vAlign w:val="center"/>
          </w:tcPr>
          <w:p w14:paraId="5CC77E7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启封赛场</w:t>
            </w:r>
          </w:p>
        </w:tc>
      </w:tr>
      <w:tr w14:paraId="4348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1360" w:type="dxa"/>
            <w:vMerge w:val="continue"/>
            <w:tcBorders>
              <w:top w:val="nil"/>
              <w:bottom w:val="nil"/>
            </w:tcBorders>
            <w:vAlign w:val="center"/>
          </w:tcPr>
          <w:p w14:paraId="540D55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p>
        </w:tc>
        <w:tc>
          <w:tcPr>
            <w:tcW w:w="1849" w:type="dxa"/>
            <w:vAlign w:val="center"/>
          </w:tcPr>
          <w:p w14:paraId="195F557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07:00-07:50</w:t>
            </w:r>
          </w:p>
        </w:tc>
        <w:tc>
          <w:tcPr>
            <w:tcW w:w="5014" w:type="dxa"/>
            <w:vAlign w:val="center"/>
          </w:tcPr>
          <w:p w14:paraId="21101AF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5"/>
                <w:highlight w:val="none"/>
                <w:lang w:eastAsia="zh-CN"/>
              </w:rPr>
              <w:t>检录</w:t>
            </w:r>
          </w:p>
          <w:p w14:paraId="6FE5BAA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（一次加密、二次加密、进入赛位）</w:t>
            </w:r>
          </w:p>
        </w:tc>
      </w:tr>
      <w:tr w14:paraId="6588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1360" w:type="dxa"/>
            <w:vMerge w:val="continue"/>
            <w:tcBorders>
              <w:top w:val="nil"/>
              <w:bottom w:val="nil"/>
            </w:tcBorders>
            <w:vAlign w:val="center"/>
          </w:tcPr>
          <w:p w14:paraId="7B5EC1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p>
        </w:tc>
        <w:tc>
          <w:tcPr>
            <w:tcW w:w="1849" w:type="dxa"/>
            <w:vAlign w:val="center"/>
          </w:tcPr>
          <w:p w14:paraId="36319967">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07:50-08:00</w:t>
            </w:r>
          </w:p>
        </w:tc>
        <w:tc>
          <w:tcPr>
            <w:tcW w:w="5014" w:type="dxa"/>
            <w:vAlign w:val="center"/>
          </w:tcPr>
          <w:p w14:paraId="0B474E2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4"/>
                <w:highlight w:val="none"/>
                <w:lang w:eastAsia="zh-CN"/>
              </w:rPr>
              <w:t>选手就位</w:t>
            </w:r>
          </w:p>
          <w:p w14:paraId="51F140B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（发布竞赛任务书、检查设备）</w:t>
            </w:r>
          </w:p>
        </w:tc>
      </w:tr>
      <w:tr w14:paraId="0A10C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360" w:type="dxa"/>
            <w:vMerge w:val="continue"/>
            <w:tcBorders>
              <w:top w:val="nil"/>
              <w:bottom w:val="nil"/>
            </w:tcBorders>
            <w:vAlign w:val="center"/>
          </w:tcPr>
          <w:p w14:paraId="565C33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p>
        </w:tc>
        <w:tc>
          <w:tcPr>
            <w:tcW w:w="1849" w:type="dxa"/>
            <w:vAlign w:val="center"/>
          </w:tcPr>
          <w:p w14:paraId="47290E3A">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08:00-14:00</w:t>
            </w:r>
          </w:p>
        </w:tc>
        <w:tc>
          <w:tcPr>
            <w:tcW w:w="5014" w:type="dxa"/>
            <w:vAlign w:val="center"/>
          </w:tcPr>
          <w:p w14:paraId="5E2EABD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7"/>
                <w:highlight w:val="none"/>
              </w:rPr>
              <w:t>竞赛</w:t>
            </w:r>
          </w:p>
        </w:tc>
      </w:tr>
      <w:tr w14:paraId="0420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360" w:type="dxa"/>
            <w:vMerge w:val="continue"/>
            <w:tcBorders>
              <w:top w:val="nil"/>
              <w:bottom w:val="nil"/>
            </w:tcBorders>
            <w:vAlign w:val="center"/>
          </w:tcPr>
          <w:p w14:paraId="1C955C2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p>
        </w:tc>
        <w:tc>
          <w:tcPr>
            <w:tcW w:w="1849" w:type="dxa"/>
            <w:vAlign w:val="center"/>
          </w:tcPr>
          <w:p w14:paraId="3335553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14:00-16:00</w:t>
            </w:r>
          </w:p>
        </w:tc>
        <w:tc>
          <w:tcPr>
            <w:tcW w:w="5014" w:type="dxa"/>
            <w:vAlign w:val="center"/>
          </w:tcPr>
          <w:p w14:paraId="7E8BC08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评分</w:t>
            </w:r>
          </w:p>
        </w:tc>
      </w:tr>
      <w:tr w14:paraId="74EAC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360" w:type="dxa"/>
            <w:vMerge w:val="continue"/>
            <w:tcBorders>
              <w:top w:val="nil"/>
              <w:bottom w:val="nil"/>
            </w:tcBorders>
            <w:vAlign w:val="center"/>
          </w:tcPr>
          <w:p w14:paraId="625F23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p>
        </w:tc>
        <w:tc>
          <w:tcPr>
            <w:tcW w:w="1849" w:type="dxa"/>
            <w:vAlign w:val="center"/>
          </w:tcPr>
          <w:p w14:paraId="18DC096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16:00-16:30</w:t>
            </w:r>
          </w:p>
        </w:tc>
        <w:tc>
          <w:tcPr>
            <w:tcW w:w="5014" w:type="dxa"/>
            <w:vAlign w:val="center"/>
          </w:tcPr>
          <w:p w14:paraId="29D942A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5"/>
                <w:highlight w:val="none"/>
                <w:lang w:eastAsia="zh-CN"/>
              </w:rPr>
              <w:t>解密</w:t>
            </w:r>
          </w:p>
          <w:p w14:paraId="3D90271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（对加密信息进行解密）</w:t>
            </w:r>
          </w:p>
        </w:tc>
      </w:tr>
      <w:tr w14:paraId="1FCE4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360" w:type="dxa"/>
            <w:vMerge w:val="continue"/>
            <w:tcBorders>
              <w:top w:val="nil"/>
            </w:tcBorders>
            <w:vAlign w:val="center"/>
          </w:tcPr>
          <w:p w14:paraId="525A5B5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p>
        </w:tc>
        <w:tc>
          <w:tcPr>
            <w:tcW w:w="1849" w:type="dxa"/>
            <w:vAlign w:val="center"/>
          </w:tcPr>
          <w:p w14:paraId="1024C80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16:30-19:30</w:t>
            </w:r>
          </w:p>
        </w:tc>
        <w:tc>
          <w:tcPr>
            <w:tcW w:w="5014" w:type="dxa"/>
            <w:vAlign w:val="center"/>
          </w:tcPr>
          <w:p w14:paraId="311904F0">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成绩确认汇总</w:t>
            </w:r>
          </w:p>
        </w:tc>
      </w:tr>
    </w:tbl>
    <w:p w14:paraId="50FC6610">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4"/>
          <w:highlight w:val="none"/>
          <w:lang w:eastAsia="zh-CN"/>
        </w:rPr>
        <w:t>(二)参赛队抽签和熟悉场地</w:t>
      </w:r>
    </w:p>
    <w:p w14:paraId="25633D09">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3"/>
        <w:textAlignment w:val="baseline"/>
        <w:rPr>
          <w:highlight w:val="none"/>
          <w:lang w:eastAsia="zh-CN"/>
        </w:rPr>
      </w:pPr>
      <w:r>
        <w:rPr>
          <w:spacing w:val="-13"/>
          <w:highlight w:val="none"/>
          <w:lang w:eastAsia="zh-CN"/>
        </w:rPr>
        <w:t>正式比赛的前一天，竞赛主办方召开领队会议，宣布有关规定，</w:t>
      </w:r>
      <w:r>
        <w:rPr>
          <w:spacing w:val="-4"/>
          <w:highlight w:val="none"/>
          <w:lang w:eastAsia="zh-CN"/>
        </w:rPr>
        <w:t>抽签决定比赛场次（是否分场次以参赛队数量为准）</w:t>
      </w:r>
      <w:r>
        <w:rPr>
          <w:rFonts w:hint="eastAsia"/>
          <w:spacing w:val="-4"/>
          <w:highlight w:val="none"/>
          <w:lang w:eastAsia="zh-CN"/>
        </w:rPr>
        <w:t>，</w:t>
      </w:r>
      <w:r>
        <w:rPr>
          <w:spacing w:val="-4"/>
          <w:highlight w:val="none"/>
          <w:lang w:eastAsia="zh-CN"/>
        </w:rPr>
        <w:t>并安排选手和</w:t>
      </w:r>
      <w:r>
        <w:rPr>
          <w:spacing w:val="-2"/>
          <w:highlight w:val="none"/>
          <w:lang w:eastAsia="zh-CN"/>
        </w:rPr>
        <w:t>指导教师熟悉场地，宣布竞赛纪律和有关规定，发放竞赛手册。</w:t>
      </w:r>
    </w:p>
    <w:p w14:paraId="4EEB1385">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12"/>
          <w:highlight w:val="none"/>
          <w:lang w:eastAsia="zh-CN"/>
        </w:rPr>
        <w:t>(三)竞赛过程</w:t>
      </w:r>
    </w:p>
    <w:p w14:paraId="16438C92">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08" w:firstLineChars="200"/>
        <w:textAlignment w:val="baseline"/>
        <w:rPr>
          <w:spacing w:val="-13"/>
          <w:highlight w:val="none"/>
          <w:lang w:eastAsia="zh-CN"/>
        </w:rPr>
      </w:pPr>
      <w:r>
        <w:rPr>
          <w:spacing w:val="-13"/>
          <w:highlight w:val="none"/>
          <w:lang w:eastAsia="zh-CN"/>
        </w:rPr>
        <w:t>参赛选手在自己的竞赛场地拿到试题，仔细阅读题目后，选手按照题目要求进行竞赛，竞赛总时长为360分钟。</w:t>
      </w:r>
    </w:p>
    <w:p w14:paraId="2B5ED58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12"/>
          <w:highlight w:val="none"/>
          <w:lang w:eastAsia="zh-CN"/>
        </w:rPr>
        <w:t>(四)竞赛结束</w:t>
      </w:r>
    </w:p>
    <w:p w14:paraId="0856A263">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3"/>
        <w:jc w:val="both"/>
        <w:textAlignment w:val="baseline"/>
        <w:rPr>
          <w:highlight w:val="none"/>
          <w:lang w:eastAsia="zh-CN"/>
        </w:rPr>
      </w:pPr>
      <w:r>
        <w:rPr>
          <w:spacing w:val="-5"/>
          <w:highlight w:val="none"/>
          <w:lang w:eastAsia="zh-CN"/>
        </w:rPr>
        <w:t>竞赛场地摆放钟表，用于观察时间，在竞赛规定时间到达前30</w:t>
      </w:r>
      <w:r>
        <w:rPr>
          <w:spacing w:val="-12"/>
          <w:highlight w:val="none"/>
          <w:lang w:eastAsia="zh-CN"/>
        </w:rPr>
        <w:t>分钟，着重提示选手进行作品保存。规定时间到达时，</w:t>
      </w:r>
      <w:r>
        <w:rPr>
          <w:spacing w:val="-13"/>
          <w:highlight w:val="none"/>
          <w:lang w:eastAsia="zh-CN"/>
        </w:rPr>
        <w:t>参赛选手提交</w:t>
      </w:r>
      <w:r>
        <w:rPr>
          <w:spacing w:val="-10"/>
          <w:highlight w:val="none"/>
          <w:lang w:eastAsia="zh-CN"/>
        </w:rPr>
        <w:t>队伍作品结果。评委对作品进行封闭评分，评分结束后公布最终结果。</w:t>
      </w:r>
    </w:p>
    <w:p w14:paraId="6CE0432D">
      <w:pPr>
        <w:pStyle w:val="2"/>
        <w:bidi w:val="0"/>
        <w:rPr>
          <w:highlight w:val="none"/>
          <w:lang w:eastAsia="zh-CN"/>
        </w:rPr>
      </w:pPr>
      <w:r>
        <w:rPr>
          <w:highlight w:val="none"/>
          <w:lang w:eastAsia="zh-CN"/>
        </w:rPr>
        <w:t>六、竞赛试题</w:t>
      </w:r>
    </w:p>
    <w:p w14:paraId="3BFE9FDC">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3"/>
        <w:jc w:val="both"/>
        <w:textAlignment w:val="baseline"/>
        <w:rPr>
          <w:highlight w:val="none"/>
          <w:lang w:eastAsia="zh-CN"/>
        </w:rPr>
      </w:pPr>
      <w:r>
        <w:rPr>
          <w:spacing w:val="-13"/>
          <w:highlight w:val="none"/>
          <w:lang w:eastAsia="zh-CN"/>
        </w:rPr>
        <w:t>本赛项公开样题，由专家组编制完成样题后，于</w:t>
      </w:r>
      <w:r>
        <w:rPr>
          <w:spacing w:val="-14"/>
          <w:highlight w:val="none"/>
          <w:lang w:eastAsia="zh-CN"/>
        </w:rPr>
        <w:t>正式比赛前</w:t>
      </w:r>
      <w:r>
        <w:rPr>
          <w:rFonts w:hint="eastAsia"/>
          <w:spacing w:val="-14"/>
          <w:highlight w:val="none"/>
          <w:lang w:eastAsia="zh-CN"/>
        </w:rPr>
        <w:t>一个月</w:t>
      </w:r>
      <w:r>
        <w:rPr>
          <w:spacing w:val="-1"/>
          <w:highlight w:val="none"/>
          <w:lang w:eastAsia="zh-CN"/>
        </w:rPr>
        <w:t>发布，保证题型与正式比赛80%一致，赛题思路80%一致。正</w:t>
      </w:r>
      <w:r>
        <w:rPr>
          <w:spacing w:val="-2"/>
          <w:highlight w:val="none"/>
          <w:lang w:eastAsia="zh-CN"/>
        </w:rPr>
        <w:t>式比赛</w:t>
      </w:r>
      <w:r>
        <w:rPr>
          <w:spacing w:val="-4"/>
          <w:highlight w:val="none"/>
          <w:lang w:eastAsia="zh-CN"/>
        </w:rPr>
        <w:t>试题由专家组依据竞赛规程和样题模式进行编制，于比赛前随机抽取</w:t>
      </w:r>
      <w:r>
        <w:rPr>
          <w:spacing w:val="-6"/>
          <w:highlight w:val="none"/>
          <w:lang w:eastAsia="zh-CN"/>
        </w:rPr>
        <w:t>其中1套作为最终竞赛试卷。</w:t>
      </w:r>
    </w:p>
    <w:p w14:paraId="578A1D01">
      <w:pPr>
        <w:pStyle w:val="2"/>
        <w:bidi w:val="0"/>
        <w:rPr>
          <w:highlight w:val="none"/>
          <w:lang w:eastAsia="zh-CN"/>
        </w:rPr>
      </w:pPr>
      <w:r>
        <w:rPr>
          <w:highlight w:val="none"/>
          <w:lang w:eastAsia="zh-CN"/>
        </w:rPr>
        <w:t>七、竞赛规则</w:t>
      </w:r>
    </w:p>
    <w:p w14:paraId="4375F405">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9"/>
        <w:textAlignment w:val="baseline"/>
        <w:rPr>
          <w:highlight w:val="none"/>
          <w:lang w:eastAsia="zh-CN"/>
        </w:rPr>
      </w:pPr>
      <w:r>
        <w:rPr>
          <w:spacing w:val="-5"/>
          <w:highlight w:val="none"/>
          <w:lang w:eastAsia="zh-CN"/>
        </w:rPr>
        <w:t>1.本赛项为</w:t>
      </w:r>
      <w:r>
        <w:rPr>
          <w:rFonts w:hint="eastAsia"/>
          <w:spacing w:val="-5"/>
          <w:highlight w:val="none"/>
          <w:lang w:eastAsia="zh-CN"/>
        </w:rPr>
        <w:t>团体</w:t>
      </w:r>
      <w:r>
        <w:rPr>
          <w:spacing w:val="-5"/>
          <w:highlight w:val="none"/>
          <w:lang w:eastAsia="zh-CN"/>
        </w:rPr>
        <w:t>赛，参赛选手包括高等职业学校专科全日制在籍</w:t>
      </w:r>
      <w:r>
        <w:rPr>
          <w:spacing w:val="-4"/>
          <w:highlight w:val="none"/>
          <w:lang w:eastAsia="zh-CN"/>
        </w:rPr>
        <w:t>学生、本科院校中高职类全日制在籍学生、五年</w:t>
      </w:r>
      <w:r>
        <w:rPr>
          <w:spacing w:val="-5"/>
          <w:highlight w:val="none"/>
          <w:lang w:eastAsia="zh-CN"/>
        </w:rPr>
        <w:t>制高职四、五年级学</w:t>
      </w:r>
      <w:r>
        <w:rPr>
          <w:spacing w:val="-3"/>
          <w:highlight w:val="none"/>
          <w:lang w:eastAsia="zh-CN"/>
        </w:rPr>
        <w:t>生。参赛选手必须持本人身份证、学生证和参赛证参加比赛。</w:t>
      </w:r>
    </w:p>
    <w:p w14:paraId="09CC6D98">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8"/>
        <w:textAlignment w:val="baseline"/>
        <w:rPr>
          <w:highlight w:val="none"/>
          <w:lang w:eastAsia="zh-CN"/>
        </w:rPr>
      </w:pPr>
      <w:r>
        <w:rPr>
          <w:spacing w:val="-3"/>
          <w:highlight w:val="none"/>
          <w:lang w:eastAsia="zh-CN"/>
        </w:rPr>
        <w:t>2.参赛选手年龄须不超过25周岁（年龄计算的截止时间以202</w:t>
      </w:r>
      <w:r>
        <w:rPr>
          <w:rFonts w:hint="eastAsia"/>
          <w:spacing w:val="-3"/>
          <w:highlight w:val="none"/>
          <w:lang w:eastAsia="zh-CN"/>
        </w:rPr>
        <w:t>4</w:t>
      </w:r>
      <w:r>
        <w:rPr>
          <w:spacing w:val="-17"/>
          <w:highlight w:val="none"/>
          <w:lang w:eastAsia="zh-CN"/>
        </w:rPr>
        <w:t>年</w:t>
      </w:r>
      <w:r>
        <w:rPr>
          <w:rFonts w:hint="eastAsia"/>
          <w:spacing w:val="-17"/>
          <w:highlight w:val="none"/>
          <w:lang w:val="en-US" w:eastAsia="zh-CN"/>
        </w:rPr>
        <w:t>12</w:t>
      </w:r>
      <w:r>
        <w:rPr>
          <w:spacing w:val="-17"/>
          <w:highlight w:val="none"/>
          <w:lang w:eastAsia="zh-CN"/>
        </w:rPr>
        <w:t>月</w:t>
      </w:r>
      <w:r>
        <w:rPr>
          <w:rFonts w:hint="eastAsia"/>
          <w:spacing w:val="-17"/>
          <w:highlight w:val="none"/>
          <w:lang w:val="en-US" w:eastAsia="zh-CN"/>
        </w:rPr>
        <w:t>2</w:t>
      </w:r>
      <w:r>
        <w:rPr>
          <w:rFonts w:hint="eastAsia"/>
          <w:spacing w:val="-17"/>
          <w:highlight w:val="none"/>
          <w:lang w:eastAsia="zh-CN"/>
        </w:rPr>
        <w:t>0</w:t>
      </w:r>
      <w:r>
        <w:rPr>
          <w:spacing w:val="-17"/>
          <w:highlight w:val="none"/>
          <w:lang w:eastAsia="zh-CN"/>
        </w:rPr>
        <w:t>日为准）。凡在往届全国、全省技能大</w:t>
      </w:r>
      <w:r>
        <w:rPr>
          <w:spacing w:val="-18"/>
          <w:highlight w:val="none"/>
          <w:lang w:eastAsia="zh-CN"/>
        </w:rPr>
        <w:t>赛中获一等奖的学生，</w:t>
      </w:r>
      <w:r>
        <w:rPr>
          <w:spacing w:val="-4"/>
          <w:highlight w:val="none"/>
          <w:lang w:eastAsia="zh-CN"/>
        </w:rPr>
        <w:t>不得再参加同一项目同一组别的比赛。请各高等职</w:t>
      </w:r>
      <w:r>
        <w:rPr>
          <w:spacing w:val="-5"/>
          <w:highlight w:val="none"/>
          <w:lang w:eastAsia="zh-CN"/>
        </w:rPr>
        <w:t>业院校做好参赛学</w:t>
      </w:r>
      <w:r>
        <w:rPr>
          <w:spacing w:val="-4"/>
          <w:highlight w:val="none"/>
          <w:lang w:eastAsia="zh-CN"/>
        </w:rPr>
        <w:t>生资格核查工作。凡经省教育厅审查不符合报名条</w:t>
      </w:r>
      <w:r>
        <w:rPr>
          <w:spacing w:val="-5"/>
          <w:highlight w:val="none"/>
          <w:lang w:eastAsia="zh-CN"/>
        </w:rPr>
        <w:t>件的参赛选手将取</w:t>
      </w:r>
      <w:r>
        <w:rPr>
          <w:spacing w:val="-3"/>
          <w:highlight w:val="none"/>
          <w:lang w:eastAsia="zh-CN"/>
        </w:rPr>
        <w:t>消参赛资格，产生的空缺名额不得补报。</w:t>
      </w:r>
    </w:p>
    <w:p w14:paraId="559DAFC0">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6"/>
        <w:textAlignment w:val="baseline"/>
        <w:rPr>
          <w:highlight w:val="none"/>
          <w:lang w:eastAsia="zh-CN"/>
        </w:rPr>
      </w:pPr>
      <w:r>
        <w:rPr>
          <w:spacing w:val="-4"/>
          <w:highlight w:val="none"/>
          <w:lang w:eastAsia="zh-CN"/>
        </w:rPr>
        <w:t>3.参赛选手和指导教师报名获得确认后不得随意更换。如有</w:t>
      </w:r>
      <w:r>
        <w:rPr>
          <w:spacing w:val="-5"/>
          <w:highlight w:val="none"/>
          <w:lang w:eastAsia="zh-CN"/>
        </w:rPr>
        <w:t>特殊</w:t>
      </w:r>
      <w:r>
        <w:rPr>
          <w:spacing w:val="-4"/>
          <w:highlight w:val="none"/>
          <w:lang w:eastAsia="zh-CN"/>
        </w:rPr>
        <w:t>情况需更改报名信息的，经省教育厅职教处同意向大赛组委会提</w:t>
      </w:r>
      <w:r>
        <w:rPr>
          <w:spacing w:val="-5"/>
          <w:highlight w:val="none"/>
          <w:lang w:eastAsia="zh-CN"/>
        </w:rPr>
        <w:t>交申</w:t>
      </w:r>
      <w:r>
        <w:rPr>
          <w:spacing w:val="-3"/>
          <w:highlight w:val="none"/>
          <w:lang w:eastAsia="zh-CN"/>
        </w:rPr>
        <w:t>请，审批通过后由后台工作人员统一修改。开赛前10个工作日内将</w:t>
      </w:r>
      <w:r>
        <w:rPr>
          <w:spacing w:val="-10"/>
          <w:highlight w:val="none"/>
          <w:lang w:eastAsia="zh-CN"/>
        </w:rPr>
        <w:t>不再接受更改报名信息申请。竞赛开始后，参赛队不得更换参赛选手。</w:t>
      </w:r>
    </w:p>
    <w:p w14:paraId="1A91B65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34"/>
        <w:textAlignment w:val="baseline"/>
        <w:rPr>
          <w:highlight w:val="none"/>
          <w:lang w:eastAsia="zh-CN"/>
        </w:rPr>
      </w:pPr>
      <w:r>
        <w:rPr>
          <w:spacing w:val="-7"/>
          <w:highlight w:val="none"/>
          <w:lang w:eastAsia="zh-CN"/>
        </w:rPr>
        <w:t>4.竞赛所需的硬件、软件和辅助工具统一提供，选手</w:t>
      </w:r>
      <w:r>
        <w:rPr>
          <w:spacing w:val="-8"/>
          <w:highlight w:val="none"/>
          <w:lang w:eastAsia="zh-CN"/>
        </w:rPr>
        <w:t>不得私自携</w:t>
      </w:r>
      <w:r>
        <w:rPr>
          <w:spacing w:val="-4"/>
          <w:highlight w:val="none"/>
          <w:lang w:eastAsia="zh-CN"/>
        </w:rPr>
        <w:t>带任何书籍、参考资料、移动存储、辅助工</w:t>
      </w:r>
      <w:r>
        <w:rPr>
          <w:spacing w:val="-5"/>
          <w:highlight w:val="none"/>
          <w:lang w:eastAsia="zh-CN"/>
        </w:rPr>
        <w:t>具、移动通信等设备进入</w:t>
      </w:r>
      <w:r>
        <w:rPr>
          <w:spacing w:val="-12"/>
          <w:highlight w:val="none"/>
          <w:lang w:eastAsia="zh-CN"/>
        </w:rPr>
        <w:t>赛场。</w:t>
      </w:r>
    </w:p>
    <w:p w14:paraId="1B578D0B">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4"/>
        <w:textAlignment w:val="baseline"/>
        <w:rPr>
          <w:highlight w:val="none"/>
          <w:lang w:eastAsia="zh-CN"/>
        </w:rPr>
      </w:pPr>
      <w:r>
        <w:rPr>
          <w:spacing w:val="-4"/>
          <w:highlight w:val="none"/>
          <w:lang w:eastAsia="zh-CN"/>
        </w:rPr>
        <w:t>5.参赛选手在赛前10分钟进入比赛工位，并由参赛选手自己领取比赛信息。比赛正式开始后方可进行相关操作。如出现舞弊或严重</w:t>
      </w:r>
      <w:r>
        <w:rPr>
          <w:spacing w:val="-3"/>
          <w:highlight w:val="none"/>
          <w:lang w:eastAsia="zh-CN"/>
        </w:rPr>
        <w:t>的违规、违纪等现象，经裁判组裁定取消比赛成绩。</w:t>
      </w:r>
    </w:p>
    <w:p w14:paraId="057315AD">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3"/>
        <w:textAlignment w:val="baseline"/>
        <w:rPr>
          <w:highlight w:val="none"/>
          <w:lang w:eastAsia="zh-CN"/>
        </w:rPr>
      </w:pPr>
      <w:r>
        <w:rPr>
          <w:spacing w:val="-13"/>
          <w:highlight w:val="none"/>
          <w:lang w:eastAsia="zh-CN"/>
        </w:rPr>
        <w:t>6.在比赛过程中，参赛选手如有疑问，应举手示意，现场裁判</w:t>
      </w:r>
      <w:r>
        <w:rPr>
          <w:spacing w:val="-10"/>
          <w:highlight w:val="none"/>
          <w:lang w:eastAsia="zh-CN"/>
        </w:rPr>
        <w:t>按要求及时予以答疑。如遇设备或软件等故障，参赛</w:t>
      </w:r>
      <w:r>
        <w:rPr>
          <w:spacing w:val="-11"/>
          <w:highlight w:val="none"/>
          <w:lang w:eastAsia="zh-CN"/>
        </w:rPr>
        <w:t>选手应举手示意，</w:t>
      </w:r>
      <w:r>
        <w:rPr>
          <w:spacing w:val="-10"/>
          <w:highlight w:val="none"/>
          <w:lang w:eastAsia="zh-CN"/>
        </w:rPr>
        <w:t>现场裁判、技术人员等应及时予以解决。确因计算机</w:t>
      </w:r>
      <w:r>
        <w:rPr>
          <w:spacing w:val="-11"/>
          <w:highlight w:val="none"/>
          <w:lang w:eastAsia="zh-CN"/>
        </w:rPr>
        <w:t>软件或硬件故障，</w:t>
      </w:r>
      <w:r>
        <w:rPr>
          <w:spacing w:val="-8"/>
          <w:highlight w:val="none"/>
          <w:lang w:eastAsia="zh-CN"/>
        </w:rPr>
        <w:t>致使操作无法继续，经裁判长确认，予以启用备</w:t>
      </w:r>
      <w:r>
        <w:rPr>
          <w:spacing w:val="-9"/>
          <w:highlight w:val="none"/>
          <w:lang w:eastAsia="zh-CN"/>
        </w:rPr>
        <w:t>用设备。参赛选手不</w:t>
      </w:r>
      <w:r>
        <w:rPr>
          <w:spacing w:val="-8"/>
          <w:highlight w:val="none"/>
          <w:lang w:eastAsia="zh-CN"/>
        </w:rPr>
        <w:t>得因个人原因提前结束比赛。如确因不可抗因素</w:t>
      </w:r>
      <w:r>
        <w:rPr>
          <w:spacing w:val="-9"/>
          <w:highlight w:val="none"/>
          <w:lang w:eastAsia="zh-CN"/>
        </w:rPr>
        <w:t>需要离开赛场的，须</w:t>
      </w:r>
      <w:r>
        <w:rPr>
          <w:spacing w:val="-12"/>
          <w:highlight w:val="none"/>
          <w:lang w:eastAsia="zh-CN"/>
        </w:rPr>
        <w:t>向现场裁判员举手示意，经裁判员许可并完</w:t>
      </w:r>
      <w:r>
        <w:rPr>
          <w:spacing w:val="-13"/>
          <w:highlight w:val="none"/>
          <w:lang w:eastAsia="zh-CN"/>
        </w:rPr>
        <w:t>成记录后，方可离开。凡</w:t>
      </w:r>
      <w:r>
        <w:rPr>
          <w:spacing w:val="-1"/>
          <w:highlight w:val="none"/>
          <w:lang w:eastAsia="zh-CN"/>
        </w:rPr>
        <w:t>在竞赛期间内</w:t>
      </w:r>
      <w:r>
        <w:rPr>
          <w:rFonts w:hint="eastAsia"/>
          <w:spacing w:val="-1"/>
          <w:highlight w:val="none"/>
          <w:lang w:val="en-US" w:eastAsia="zh-CN"/>
        </w:rPr>
        <w:t>擅自</w:t>
      </w:r>
      <w:r>
        <w:rPr>
          <w:spacing w:val="-1"/>
          <w:highlight w:val="none"/>
          <w:lang w:eastAsia="zh-CN"/>
        </w:rPr>
        <w:t>提前离开的选手，不得返回赛场。</w:t>
      </w:r>
    </w:p>
    <w:p w14:paraId="5719FD11">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3"/>
        <w:textAlignment w:val="baseline"/>
        <w:rPr>
          <w:spacing w:val="-13"/>
          <w:highlight w:val="none"/>
          <w:lang w:eastAsia="zh-CN"/>
        </w:rPr>
      </w:pPr>
      <w:r>
        <w:rPr>
          <w:spacing w:val="-13"/>
          <w:highlight w:val="none"/>
          <w:lang w:eastAsia="zh-CN"/>
        </w:rPr>
        <w:t>7.比赛时间结束，选手应全体起立，结束操作。经工作人员查收清点所有文档后方可离开赛场，离开赛场时不得带走任何资料。</w:t>
      </w:r>
    </w:p>
    <w:p w14:paraId="5AB5B536">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5"/>
        <w:textAlignment w:val="baseline"/>
        <w:rPr>
          <w:highlight w:val="none"/>
          <w:lang w:eastAsia="zh-CN"/>
        </w:rPr>
      </w:pPr>
      <w:r>
        <w:rPr>
          <w:spacing w:val="-10"/>
          <w:highlight w:val="none"/>
          <w:lang w:eastAsia="zh-CN"/>
        </w:rPr>
        <w:t>8.赛项裁判应严格遵守赛项各项规章制度，确保比赛公平、公正、</w:t>
      </w:r>
      <w:r>
        <w:rPr>
          <w:spacing w:val="-4"/>
          <w:highlight w:val="none"/>
          <w:lang w:eastAsia="zh-CN"/>
        </w:rPr>
        <w:t>公开。比赛当天8:00起，赛项裁判应上交所有通信设备，由赛项执</w:t>
      </w:r>
      <w:r>
        <w:rPr>
          <w:spacing w:val="-8"/>
          <w:highlight w:val="none"/>
          <w:lang w:eastAsia="zh-CN"/>
        </w:rPr>
        <w:t>委会统一保管，并安排赛项裁判在指定区域休息或工作，直至赛项成</w:t>
      </w:r>
      <w:r>
        <w:rPr>
          <w:spacing w:val="-7"/>
          <w:highlight w:val="none"/>
          <w:lang w:eastAsia="zh-CN"/>
        </w:rPr>
        <w:t>绩评定结束。</w:t>
      </w:r>
    </w:p>
    <w:p w14:paraId="5E2B046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9"/>
          <w:highlight w:val="none"/>
          <w:lang w:eastAsia="zh-CN"/>
        </w:rPr>
        <w:t>9.本赛项各参赛队最终成绩，</w:t>
      </w:r>
      <w:r>
        <w:rPr>
          <w:rFonts w:hint="eastAsia" w:ascii="仿宋_GB2312" w:hAnsi="仿宋_GB2312" w:eastAsia="仿宋_GB2312" w:cs="仿宋_GB2312"/>
          <w:sz w:val="28"/>
          <w:szCs w:val="28"/>
          <w:highlight w:val="none"/>
        </w:rPr>
        <w:t>竞赛评分本着公平、公正、公开的原则，评分标准注重对参赛选手应用创新能力的考察。赛项成绩解密后，向全体参赛队公布成绩无异议后，予以宣布。</w:t>
      </w:r>
    </w:p>
    <w:p w14:paraId="462BC21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6"/>
        <w:jc w:val="both"/>
        <w:textAlignment w:val="baseline"/>
        <w:rPr>
          <w:highlight w:val="none"/>
          <w:lang w:eastAsia="zh-CN"/>
        </w:rPr>
      </w:pPr>
      <w:r>
        <w:rPr>
          <w:highlight w:val="none"/>
          <w:lang w:eastAsia="zh-CN"/>
        </w:rPr>
        <w:t>10.赛项中每个比赛环节裁判判分的原始材料和最终成绩等结果</w:t>
      </w:r>
      <w:r>
        <w:rPr>
          <w:spacing w:val="-16"/>
          <w:highlight w:val="none"/>
          <w:lang w:eastAsia="zh-CN"/>
        </w:rPr>
        <w:t>性材料，经监督仲裁组人员和裁判长签字后</w:t>
      </w:r>
      <w:r>
        <w:rPr>
          <w:spacing w:val="-17"/>
          <w:highlight w:val="none"/>
          <w:lang w:eastAsia="zh-CN"/>
        </w:rPr>
        <w:t>，装袋密封留档；并由赛</w:t>
      </w:r>
      <w:r>
        <w:rPr>
          <w:spacing w:val="-2"/>
          <w:highlight w:val="none"/>
          <w:lang w:eastAsia="zh-CN"/>
        </w:rPr>
        <w:t>项承办院校封存，委派专人妥善保管。</w:t>
      </w:r>
    </w:p>
    <w:p w14:paraId="54F36DE2">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6"/>
        <w:jc w:val="both"/>
        <w:textAlignment w:val="baseline"/>
        <w:rPr>
          <w:spacing w:val="-16"/>
          <w:highlight w:val="none"/>
          <w:lang w:eastAsia="zh-CN"/>
        </w:rPr>
      </w:pPr>
      <w:r>
        <w:rPr>
          <w:rFonts w:hint="eastAsia"/>
          <w:spacing w:val="-16"/>
          <w:highlight w:val="none"/>
          <w:lang w:val="en-US" w:eastAsia="zh-CN"/>
        </w:rPr>
        <w:t>11</w:t>
      </w:r>
      <w:r>
        <w:rPr>
          <w:spacing w:val="-16"/>
          <w:highlight w:val="none"/>
          <w:lang w:eastAsia="zh-CN"/>
        </w:rPr>
        <w:t>.其它未尽事宜，将在赛前向各领队做详细说明。</w:t>
      </w:r>
    </w:p>
    <w:p w14:paraId="010EF19B">
      <w:pPr>
        <w:pStyle w:val="2"/>
        <w:bidi w:val="0"/>
        <w:rPr>
          <w:highlight w:val="none"/>
          <w:lang w:eastAsia="zh-CN"/>
        </w:rPr>
      </w:pPr>
      <w:r>
        <w:rPr>
          <w:rFonts w:hint="eastAsia"/>
          <w:highlight w:val="none"/>
          <w:lang w:val="en-US" w:eastAsia="zh-CN"/>
        </w:rPr>
        <w:t>八</w:t>
      </w:r>
      <w:r>
        <w:rPr>
          <w:highlight w:val="none"/>
          <w:lang w:eastAsia="zh-CN"/>
        </w:rPr>
        <w:t>、技术规范</w:t>
      </w:r>
    </w:p>
    <w:p w14:paraId="1A0A2563">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6"/>
        <w:jc w:val="both"/>
        <w:textAlignment w:val="baseline"/>
        <w:rPr>
          <w:rFonts w:hint="eastAsia"/>
          <w:spacing w:val="-16"/>
          <w:highlight w:val="none"/>
          <w:lang w:val="en-US" w:eastAsia="zh-CN"/>
        </w:rPr>
      </w:pPr>
      <w:r>
        <w:rPr>
          <w:rFonts w:hint="eastAsia"/>
          <w:spacing w:val="-16"/>
          <w:highlight w:val="none"/>
          <w:lang w:val="en-US" w:eastAsia="zh-CN"/>
        </w:rPr>
        <w:t>竞赛项目的命题结合企业职业岗位对人才培养需求，并参照表3中相关国家职业标准制定。</w:t>
      </w:r>
    </w:p>
    <w:p w14:paraId="3680E6F0">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center"/>
        <w:textAlignment w:val="baseline"/>
        <w:rPr>
          <w:spacing w:val="-4"/>
          <w:highlight w:val="none"/>
        </w:rPr>
      </w:pPr>
      <w:r>
        <w:rPr>
          <w:spacing w:val="-4"/>
          <w:highlight w:val="none"/>
        </w:rPr>
        <w:t>表 3 赛项技术标准</w:t>
      </w:r>
    </w:p>
    <w:tbl>
      <w:tblPr>
        <w:tblStyle w:val="11"/>
        <w:tblW w:w="8295"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2629"/>
        <w:gridCol w:w="4539"/>
      </w:tblGrid>
      <w:tr w14:paraId="36426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27" w:type="dxa"/>
          </w:tcPr>
          <w:p w14:paraId="60597AB7">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9"/>
                <w:highlight w:val="none"/>
                <w14:textOutline w14:w="5092" w14:cap="flat" w14:cmpd="sng" w14:algn="ctr">
                  <w14:solidFill>
                    <w14:srgbClr w14:val="000000"/>
                  </w14:solidFill>
                  <w14:prstDash w14:val="solid"/>
                  <w14:miter w14:val="0"/>
                </w14:textOutline>
              </w:rPr>
              <w:t>序号</w:t>
            </w:r>
          </w:p>
        </w:tc>
        <w:tc>
          <w:tcPr>
            <w:tcW w:w="2629" w:type="dxa"/>
          </w:tcPr>
          <w:p w14:paraId="4EDD9DE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14:textOutline w14:w="5092" w14:cap="flat" w14:cmpd="sng" w14:algn="ctr">
                  <w14:solidFill>
                    <w14:srgbClr w14:val="000000"/>
                  </w14:solidFill>
                  <w14:prstDash w14:val="solid"/>
                  <w14:miter w14:val="0"/>
                </w14:textOutline>
              </w:rPr>
              <w:t>标准号</w:t>
            </w:r>
          </w:p>
        </w:tc>
        <w:tc>
          <w:tcPr>
            <w:tcW w:w="4539" w:type="dxa"/>
          </w:tcPr>
          <w:p w14:paraId="36F43B5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8"/>
                <w:highlight w:val="none"/>
                <w14:textOutline w14:w="5092" w14:cap="flat" w14:cmpd="sng" w14:algn="ctr">
                  <w14:solidFill>
                    <w14:srgbClr w14:val="000000"/>
                  </w14:solidFill>
                  <w14:prstDash w14:val="solid"/>
                  <w14:miter w14:val="0"/>
                </w14:textOutline>
              </w:rPr>
              <w:t>中文标准名称</w:t>
            </w:r>
          </w:p>
        </w:tc>
      </w:tr>
      <w:tr w14:paraId="5DD3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127" w:type="dxa"/>
            <w:vAlign w:val="center"/>
          </w:tcPr>
          <w:p w14:paraId="5FC35D5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1</w:t>
            </w:r>
          </w:p>
        </w:tc>
        <w:tc>
          <w:tcPr>
            <w:tcW w:w="2629" w:type="dxa"/>
            <w:vAlign w:val="center"/>
          </w:tcPr>
          <w:p w14:paraId="41AC476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LD/T81.1-2006</w:t>
            </w:r>
          </w:p>
        </w:tc>
        <w:tc>
          <w:tcPr>
            <w:tcW w:w="4539" w:type="dxa"/>
            <w:vAlign w:val="center"/>
          </w:tcPr>
          <w:p w14:paraId="050AFF7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职业技能实训和鉴定设备技术规范</w:t>
            </w:r>
          </w:p>
        </w:tc>
      </w:tr>
      <w:tr w14:paraId="2E416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7" w:type="dxa"/>
            <w:vAlign w:val="center"/>
          </w:tcPr>
          <w:p w14:paraId="3958593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2</w:t>
            </w:r>
          </w:p>
        </w:tc>
        <w:tc>
          <w:tcPr>
            <w:tcW w:w="2629" w:type="dxa"/>
            <w:vAlign w:val="center"/>
          </w:tcPr>
          <w:p w14:paraId="6C4FA33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GB8566-88</w:t>
            </w:r>
          </w:p>
        </w:tc>
        <w:tc>
          <w:tcPr>
            <w:tcW w:w="4539" w:type="dxa"/>
            <w:vAlign w:val="center"/>
          </w:tcPr>
          <w:p w14:paraId="75274D6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2"/>
                <w:highlight w:val="none"/>
              </w:rPr>
              <w:t>计算机软件开发规范</w:t>
            </w:r>
          </w:p>
        </w:tc>
      </w:tr>
      <w:tr w14:paraId="1106F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7" w:type="dxa"/>
            <w:vAlign w:val="center"/>
          </w:tcPr>
          <w:p w14:paraId="480ADC7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3</w:t>
            </w:r>
          </w:p>
        </w:tc>
        <w:tc>
          <w:tcPr>
            <w:tcW w:w="2629" w:type="dxa"/>
            <w:vAlign w:val="center"/>
          </w:tcPr>
          <w:p w14:paraId="771A623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SJ/T11291-2003</w:t>
            </w:r>
          </w:p>
        </w:tc>
        <w:tc>
          <w:tcPr>
            <w:tcW w:w="4539" w:type="dxa"/>
            <w:vAlign w:val="center"/>
          </w:tcPr>
          <w:p w14:paraId="2DF52AA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面向对象的软件系统建模规范</w:t>
            </w:r>
          </w:p>
        </w:tc>
      </w:tr>
      <w:tr w14:paraId="154D3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7" w:type="dxa"/>
            <w:vAlign w:val="center"/>
          </w:tcPr>
          <w:p w14:paraId="7D1C010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4</w:t>
            </w:r>
          </w:p>
        </w:tc>
        <w:tc>
          <w:tcPr>
            <w:tcW w:w="2629" w:type="dxa"/>
            <w:vAlign w:val="center"/>
          </w:tcPr>
          <w:p w14:paraId="0D249B2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GB/T11457-2006</w:t>
            </w:r>
          </w:p>
        </w:tc>
        <w:tc>
          <w:tcPr>
            <w:tcW w:w="4539" w:type="dxa"/>
            <w:vAlign w:val="center"/>
          </w:tcPr>
          <w:p w14:paraId="5EE5293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信息技术、软件工程术语</w:t>
            </w:r>
          </w:p>
        </w:tc>
      </w:tr>
      <w:tr w14:paraId="4B13B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7" w:type="dxa"/>
            <w:vAlign w:val="center"/>
          </w:tcPr>
          <w:p w14:paraId="076B56B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5</w:t>
            </w:r>
          </w:p>
        </w:tc>
        <w:tc>
          <w:tcPr>
            <w:tcW w:w="2629" w:type="dxa"/>
            <w:vAlign w:val="center"/>
          </w:tcPr>
          <w:p w14:paraId="45390FE3">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GB/T8567-2006</w:t>
            </w:r>
          </w:p>
        </w:tc>
        <w:tc>
          <w:tcPr>
            <w:tcW w:w="4539" w:type="dxa"/>
            <w:vAlign w:val="center"/>
          </w:tcPr>
          <w:p w14:paraId="60C76EB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计算机软件文档编制规范</w:t>
            </w:r>
          </w:p>
        </w:tc>
      </w:tr>
      <w:tr w14:paraId="46058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27" w:type="dxa"/>
            <w:vAlign w:val="center"/>
          </w:tcPr>
          <w:p w14:paraId="1BA9AB5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6</w:t>
            </w:r>
          </w:p>
        </w:tc>
        <w:tc>
          <w:tcPr>
            <w:tcW w:w="2629" w:type="dxa"/>
            <w:vAlign w:val="center"/>
          </w:tcPr>
          <w:p w14:paraId="74CFCED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GB/T15853-1995</w:t>
            </w:r>
          </w:p>
        </w:tc>
        <w:tc>
          <w:tcPr>
            <w:tcW w:w="4539" w:type="dxa"/>
            <w:vAlign w:val="center"/>
          </w:tcPr>
          <w:p w14:paraId="72D64D8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软件支持环境</w:t>
            </w:r>
          </w:p>
        </w:tc>
      </w:tr>
      <w:tr w14:paraId="34AAD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27" w:type="dxa"/>
            <w:vAlign w:val="center"/>
          </w:tcPr>
          <w:p w14:paraId="5995829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7</w:t>
            </w:r>
          </w:p>
        </w:tc>
        <w:tc>
          <w:tcPr>
            <w:tcW w:w="2629" w:type="dxa"/>
            <w:vAlign w:val="center"/>
          </w:tcPr>
          <w:p w14:paraId="01E1D73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GB/T17544-1998</w:t>
            </w:r>
          </w:p>
        </w:tc>
        <w:tc>
          <w:tcPr>
            <w:tcW w:w="4539" w:type="dxa"/>
            <w:vAlign w:val="center"/>
          </w:tcPr>
          <w:p w14:paraId="5D2676F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信息技术质量要求和测试</w:t>
            </w:r>
          </w:p>
        </w:tc>
      </w:tr>
      <w:tr w14:paraId="0A997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27" w:type="dxa"/>
            <w:vAlign w:val="center"/>
          </w:tcPr>
          <w:p w14:paraId="6602E00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8</w:t>
            </w:r>
          </w:p>
        </w:tc>
        <w:tc>
          <w:tcPr>
            <w:tcW w:w="2629" w:type="dxa"/>
            <w:vAlign w:val="center"/>
          </w:tcPr>
          <w:p w14:paraId="49CC7A6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GB/T8566-2001</w:t>
            </w:r>
          </w:p>
        </w:tc>
        <w:tc>
          <w:tcPr>
            <w:tcW w:w="4539" w:type="dxa"/>
            <w:vAlign w:val="center"/>
          </w:tcPr>
          <w:p w14:paraId="2242728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信息技术软件生存周期过程</w:t>
            </w:r>
          </w:p>
        </w:tc>
      </w:tr>
      <w:tr w14:paraId="34A2A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27" w:type="dxa"/>
            <w:vAlign w:val="center"/>
          </w:tcPr>
          <w:p w14:paraId="0C8AA65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highlight w:val="none"/>
              </w:rPr>
              <w:t>9</w:t>
            </w:r>
          </w:p>
        </w:tc>
        <w:tc>
          <w:tcPr>
            <w:tcW w:w="2629" w:type="dxa"/>
            <w:vAlign w:val="center"/>
          </w:tcPr>
          <w:p w14:paraId="7ED2033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GB/T5271.31-2006</w:t>
            </w:r>
          </w:p>
        </w:tc>
        <w:tc>
          <w:tcPr>
            <w:tcW w:w="4539" w:type="dxa"/>
            <w:vAlign w:val="center"/>
          </w:tcPr>
          <w:p w14:paraId="1B96408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1"/>
                <w:highlight w:val="none"/>
                <w:lang w:eastAsia="zh-CN"/>
              </w:rPr>
              <w:t>信息技术:人工智能机器学习</w:t>
            </w:r>
          </w:p>
        </w:tc>
      </w:tr>
      <w:tr w14:paraId="35F47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27" w:type="dxa"/>
            <w:vAlign w:val="center"/>
          </w:tcPr>
          <w:p w14:paraId="0CF610A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8"/>
                <w:highlight w:val="none"/>
              </w:rPr>
              <w:t>10</w:t>
            </w:r>
          </w:p>
        </w:tc>
        <w:tc>
          <w:tcPr>
            <w:tcW w:w="2629" w:type="dxa"/>
            <w:vAlign w:val="center"/>
          </w:tcPr>
          <w:p w14:paraId="4166BA8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GB/T5271.34-2006</w:t>
            </w:r>
          </w:p>
        </w:tc>
        <w:tc>
          <w:tcPr>
            <w:tcW w:w="4539" w:type="dxa"/>
            <w:vAlign w:val="center"/>
          </w:tcPr>
          <w:p w14:paraId="518F8DC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信息技术：人工智能神经网络</w:t>
            </w:r>
          </w:p>
        </w:tc>
      </w:tr>
      <w:tr w14:paraId="6AAD4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27" w:type="dxa"/>
            <w:vAlign w:val="center"/>
          </w:tcPr>
          <w:p w14:paraId="72D8F99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8"/>
                <w:highlight w:val="none"/>
              </w:rPr>
              <w:t>11</w:t>
            </w:r>
          </w:p>
        </w:tc>
        <w:tc>
          <w:tcPr>
            <w:tcW w:w="2629" w:type="dxa"/>
            <w:vAlign w:val="center"/>
          </w:tcPr>
          <w:p w14:paraId="3AEC524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SJ/T12405-2022</w:t>
            </w:r>
          </w:p>
        </w:tc>
        <w:tc>
          <w:tcPr>
            <w:tcW w:w="4539" w:type="dxa"/>
            <w:vAlign w:val="center"/>
          </w:tcPr>
          <w:p w14:paraId="7F5D9BD0">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
                <w:highlight w:val="none"/>
                <w:lang w:eastAsia="zh-CN"/>
              </w:rPr>
              <w:t>人工智能从业人员能力要求</w:t>
            </w:r>
          </w:p>
        </w:tc>
      </w:tr>
      <w:tr w14:paraId="43BFD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27" w:type="dxa"/>
            <w:vAlign w:val="center"/>
          </w:tcPr>
          <w:p w14:paraId="4D32BFB0">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8"/>
                <w:highlight w:val="none"/>
              </w:rPr>
              <w:t>12</w:t>
            </w:r>
          </w:p>
        </w:tc>
        <w:tc>
          <w:tcPr>
            <w:tcW w:w="2629" w:type="dxa"/>
            <w:vAlign w:val="center"/>
          </w:tcPr>
          <w:p w14:paraId="247D0DE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
                <w:highlight w:val="none"/>
              </w:rPr>
              <w:t>GB/T32424-2015</w:t>
            </w:r>
          </w:p>
        </w:tc>
        <w:tc>
          <w:tcPr>
            <w:tcW w:w="4539" w:type="dxa"/>
            <w:vAlign w:val="center"/>
          </w:tcPr>
          <w:p w14:paraId="141CC92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spacing w:val="-2"/>
                <w:highlight w:val="none"/>
                <w:lang w:eastAsia="zh-CN"/>
              </w:rPr>
            </w:pPr>
            <w:r>
              <w:rPr>
                <w:spacing w:val="-2"/>
                <w:highlight w:val="none"/>
                <w:lang w:eastAsia="zh-CN"/>
              </w:rPr>
              <w:t>系统与软件工程用户文档的设计者</w:t>
            </w:r>
          </w:p>
          <w:p w14:paraId="56437B6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2"/>
                <w:highlight w:val="none"/>
                <w:lang w:eastAsia="zh-CN"/>
              </w:rPr>
              <w:t>和开发者要求</w:t>
            </w:r>
          </w:p>
        </w:tc>
      </w:tr>
    </w:tbl>
    <w:p w14:paraId="57659AC0">
      <w:pPr>
        <w:pStyle w:val="2"/>
        <w:bidi w:val="0"/>
        <w:rPr>
          <w:highlight w:val="none"/>
        </w:rPr>
      </w:pPr>
      <w:r>
        <w:rPr>
          <w:spacing w:val="-20"/>
          <w:highlight w:val="none"/>
        </w:rPr>
        <w:t>十、技术平台</w:t>
      </w:r>
    </w:p>
    <w:p w14:paraId="63F751C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rPr>
      </w:pPr>
      <w:r>
        <w:rPr>
          <w:spacing w:val="-8"/>
          <w:highlight w:val="none"/>
        </w:rPr>
        <w:t>(一)竞赛技术平台标准</w:t>
      </w:r>
    </w:p>
    <w:p w14:paraId="71D730EF">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7"/>
        <w:textAlignment w:val="baseline"/>
        <w:rPr>
          <w:highlight w:val="none"/>
          <w:lang w:eastAsia="zh-CN"/>
        </w:rPr>
      </w:pPr>
      <w:r>
        <w:rPr>
          <w:spacing w:val="-4"/>
          <w:highlight w:val="none"/>
          <w:lang w:eastAsia="zh-CN"/>
        </w:rPr>
        <w:t>赛项执委会提供竞赛平台、工作台和计算机及相关</w:t>
      </w:r>
      <w:r>
        <w:rPr>
          <w:spacing w:val="-5"/>
          <w:highlight w:val="none"/>
          <w:lang w:eastAsia="zh-CN"/>
        </w:rPr>
        <w:t>工具软件。各个参赛队接入竞赛平台,赛场采用网络安全控制，严禁场内外信息交</w:t>
      </w:r>
      <w:r>
        <w:rPr>
          <w:spacing w:val="-16"/>
          <w:highlight w:val="none"/>
          <w:lang w:eastAsia="zh-CN"/>
        </w:rPr>
        <w:t>互。</w:t>
      </w:r>
    </w:p>
    <w:p w14:paraId="321FF4FF">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5"/>
          <w:highlight w:val="none"/>
          <w:lang w:eastAsia="zh-CN"/>
        </w:rPr>
        <w:t>(二)建议使用的比赛器材和技术平台</w:t>
      </w:r>
    </w:p>
    <w:p w14:paraId="06814BD1">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9"/>
        <w:textAlignment w:val="baseline"/>
        <w:rPr>
          <w:color w:val="auto"/>
          <w:spacing w:val="-8"/>
          <w:highlight w:val="none"/>
          <w:lang w:eastAsia="zh-CN"/>
        </w:rPr>
      </w:pPr>
      <w:r>
        <w:rPr>
          <w:color w:val="auto"/>
          <w:spacing w:val="-8"/>
          <w:highlight w:val="none"/>
          <w:lang w:eastAsia="zh-CN"/>
        </w:rPr>
        <w:t>（1）Python3.</w:t>
      </w:r>
      <w:r>
        <w:rPr>
          <w:rFonts w:hint="eastAsia"/>
          <w:color w:val="auto"/>
          <w:spacing w:val="-8"/>
          <w:highlight w:val="none"/>
          <w:lang w:eastAsia="zh-CN"/>
        </w:rPr>
        <w:t>8</w:t>
      </w:r>
      <w:r>
        <w:rPr>
          <w:color w:val="auto"/>
          <w:spacing w:val="-8"/>
          <w:highlight w:val="none"/>
          <w:lang w:eastAsia="zh-CN"/>
        </w:rPr>
        <w:t>.</w:t>
      </w:r>
      <w:r>
        <w:rPr>
          <w:rFonts w:hint="eastAsia"/>
          <w:color w:val="auto"/>
          <w:spacing w:val="-8"/>
          <w:highlight w:val="none"/>
          <w:lang w:eastAsia="zh-CN"/>
        </w:rPr>
        <w:t>5【电脑版本】，python3.11.2【设备版本】</w:t>
      </w:r>
    </w:p>
    <w:p w14:paraId="6885CDA3">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9"/>
        <w:textAlignment w:val="baseline"/>
        <w:rPr>
          <w:color w:val="auto"/>
          <w:spacing w:val="-8"/>
          <w:highlight w:val="none"/>
          <w:lang w:eastAsia="zh-CN"/>
        </w:rPr>
      </w:pPr>
      <w:r>
        <w:rPr>
          <w:color w:val="auto"/>
          <w:spacing w:val="-8"/>
          <w:highlight w:val="none"/>
          <w:lang w:eastAsia="zh-CN"/>
        </w:rPr>
        <w:t>（2）PyCharm Community Edition 20</w:t>
      </w:r>
      <w:r>
        <w:rPr>
          <w:rFonts w:hint="eastAsia"/>
          <w:color w:val="auto"/>
          <w:spacing w:val="-8"/>
          <w:highlight w:val="none"/>
          <w:lang w:eastAsia="zh-CN"/>
        </w:rPr>
        <w:t>24</w:t>
      </w:r>
      <w:r>
        <w:rPr>
          <w:color w:val="auto"/>
          <w:spacing w:val="-8"/>
          <w:highlight w:val="none"/>
          <w:lang w:eastAsia="zh-CN"/>
        </w:rPr>
        <w:t>.</w:t>
      </w:r>
      <w:r>
        <w:rPr>
          <w:rFonts w:hint="eastAsia"/>
          <w:color w:val="auto"/>
          <w:spacing w:val="-8"/>
          <w:highlight w:val="none"/>
          <w:lang w:eastAsia="zh-CN"/>
        </w:rPr>
        <w:t>1</w:t>
      </w:r>
    </w:p>
    <w:p w14:paraId="29F00D11">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9"/>
        <w:textAlignment w:val="baseline"/>
        <w:rPr>
          <w:color w:val="auto"/>
          <w:spacing w:val="-8"/>
          <w:highlight w:val="none"/>
          <w:lang w:eastAsia="zh-CN"/>
        </w:rPr>
      </w:pPr>
      <w:r>
        <w:rPr>
          <w:color w:val="auto"/>
          <w:spacing w:val="-8"/>
          <w:highlight w:val="none"/>
          <w:lang w:eastAsia="zh-CN"/>
        </w:rPr>
        <w:t>（</w:t>
      </w:r>
      <w:r>
        <w:rPr>
          <w:rFonts w:hint="eastAsia"/>
          <w:color w:val="auto"/>
          <w:spacing w:val="-8"/>
          <w:highlight w:val="none"/>
          <w:lang w:eastAsia="zh-CN"/>
        </w:rPr>
        <w:t>3</w:t>
      </w:r>
      <w:r>
        <w:rPr>
          <w:color w:val="auto"/>
          <w:spacing w:val="-8"/>
          <w:highlight w:val="none"/>
          <w:lang w:eastAsia="zh-CN"/>
        </w:rPr>
        <w:t>）多信息智能识别控制实训装置</w:t>
      </w:r>
    </w:p>
    <w:p w14:paraId="32BDEEE6">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9"/>
        <w:textAlignment w:val="baseline"/>
        <w:rPr>
          <w:rFonts w:hint="default"/>
          <w:color w:val="auto"/>
          <w:spacing w:val="-8"/>
          <w:highlight w:val="none"/>
          <w:lang w:val="en-US" w:eastAsia="zh-CN"/>
        </w:rPr>
      </w:pPr>
      <w:r>
        <w:rPr>
          <w:rFonts w:hint="eastAsia"/>
          <w:color w:val="auto"/>
          <w:spacing w:val="-8"/>
          <w:highlight w:val="none"/>
          <w:lang w:eastAsia="zh-CN"/>
        </w:rPr>
        <w:t>（</w:t>
      </w:r>
      <w:r>
        <w:rPr>
          <w:rFonts w:hint="eastAsia"/>
          <w:color w:val="auto"/>
          <w:spacing w:val="-8"/>
          <w:highlight w:val="none"/>
          <w:lang w:val="en-US" w:eastAsia="zh-CN"/>
        </w:rPr>
        <w:t>4</w:t>
      </w:r>
      <w:r>
        <w:rPr>
          <w:rFonts w:hint="eastAsia"/>
          <w:color w:val="auto"/>
          <w:spacing w:val="-8"/>
          <w:highlight w:val="none"/>
          <w:lang w:eastAsia="zh-CN"/>
        </w:rPr>
        <w:t>）</w:t>
      </w:r>
      <w:r>
        <w:rPr>
          <w:rFonts w:hint="eastAsia"/>
          <w:color w:val="auto"/>
          <w:spacing w:val="-8"/>
          <w:highlight w:val="none"/>
          <w:lang w:val="en-US" w:eastAsia="zh-CN"/>
        </w:rPr>
        <w:t>台式计算机</w:t>
      </w:r>
    </w:p>
    <w:p w14:paraId="525582EF">
      <w:pPr>
        <w:pStyle w:val="2"/>
        <w:bidi w:val="0"/>
        <w:rPr>
          <w:highlight w:val="none"/>
        </w:rPr>
      </w:pPr>
      <w:r>
        <w:rPr>
          <w:highlight w:val="none"/>
        </w:rPr>
        <w:t>十一、成绩评定</w:t>
      </w:r>
    </w:p>
    <w:p w14:paraId="1FE1E776">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rPr>
      </w:pPr>
      <w:r>
        <w:rPr>
          <w:spacing w:val="-5"/>
          <w:highlight w:val="none"/>
        </w:rPr>
        <w:t>(一)评分标准制定原则</w:t>
      </w:r>
    </w:p>
    <w:p w14:paraId="3D6999B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3"/>
        <w:jc w:val="both"/>
        <w:textAlignment w:val="baseline"/>
        <w:rPr>
          <w:highlight w:val="none"/>
          <w:lang w:eastAsia="zh-CN"/>
        </w:rPr>
      </w:pPr>
      <w:r>
        <w:rPr>
          <w:color w:val="auto"/>
          <w:spacing w:val="-7"/>
          <w:highlight w:val="none"/>
          <w:lang w:eastAsia="zh-CN"/>
        </w:rPr>
        <w:t>本赛项根据高等教育教学特点和教育部颁布的相关教学指导方</w:t>
      </w:r>
      <w:r>
        <w:rPr>
          <w:spacing w:val="-7"/>
          <w:highlight w:val="none"/>
          <w:lang w:eastAsia="zh-CN"/>
        </w:rPr>
        <w:t>案，设置每个环节考核的知识点、技能点以及评价标准，以技能考核</w:t>
      </w:r>
      <w:r>
        <w:rPr>
          <w:spacing w:val="-11"/>
          <w:highlight w:val="none"/>
          <w:lang w:eastAsia="zh-CN"/>
        </w:rPr>
        <w:t>为主，组织专家制定比赛规程、实施方案与各项评分细则，邀请有关</w:t>
      </w:r>
      <w:r>
        <w:rPr>
          <w:spacing w:val="-4"/>
          <w:highlight w:val="none"/>
          <w:lang w:eastAsia="zh-CN"/>
        </w:rPr>
        <w:t>人工智能技术教育教学专家与企业专家组成评判委员会，</w:t>
      </w:r>
      <w:r>
        <w:rPr>
          <w:spacing w:val="-5"/>
          <w:highlight w:val="none"/>
          <w:lang w:eastAsia="zh-CN"/>
        </w:rPr>
        <w:t>对选手技能</w:t>
      </w:r>
      <w:r>
        <w:rPr>
          <w:spacing w:val="-13"/>
          <w:highlight w:val="none"/>
          <w:lang w:eastAsia="zh-CN"/>
        </w:rPr>
        <w:t>进行公开、公平、公正的评判。评分标准与赛项的竞赛内容完全一致。</w:t>
      </w:r>
    </w:p>
    <w:p w14:paraId="3E43BF3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11"/>
          <w:highlight w:val="none"/>
          <w:lang w:eastAsia="zh-CN"/>
        </w:rPr>
        <w:t>(二)评分方法</w:t>
      </w:r>
    </w:p>
    <w:p w14:paraId="39F029E4">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3"/>
        <w:jc w:val="both"/>
        <w:textAlignment w:val="baseline"/>
        <w:rPr>
          <w:highlight w:val="none"/>
          <w:lang w:eastAsia="zh-CN"/>
        </w:rPr>
      </w:pPr>
      <w:r>
        <w:rPr>
          <w:color w:val="auto"/>
          <w:spacing w:val="-7"/>
          <w:highlight w:val="none"/>
          <w:lang w:eastAsia="zh-CN"/>
        </w:rPr>
        <w:t>1.采取分步得分、累计总分的计分方式，分别计算各子项得分。</w:t>
      </w:r>
      <w:r>
        <w:rPr>
          <w:spacing w:val="-4"/>
          <w:highlight w:val="none"/>
          <w:lang w:eastAsia="zh-CN"/>
        </w:rPr>
        <w:t>按规定比例计入总分。</w:t>
      </w:r>
      <w:r>
        <w:rPr>
          <w:spacing w:val="-3"/>
          <w:highlight w:val="none"/>
          <w:lang w:eastAsia="zh-CN"/>
        </w:rPr>
        <w:t>各竞赛项目和竞赛总分均按照百分制计分。</w:t>
      </w:r>
    </w:p>
    <w:p w14:paraId="6785B341">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0"/>
        <w:textAlignment w:val="baseline"/>
        <w:rPr>
          <w:highlight w:val="none"/>
          <w:lang w:eastAsia="zh-CN"/>
        </w:rPr>
      </w:pPr>
      <w:r>
        <w:rPr>
          <w:spacing w:val="-8"/>
          <w:highlight w:val="none"/>
          <w:lang w:eastAsia="zh-CN"/>
        </w:rPr>
        <w:t>2.在比赛时段，参赛选手如出现扰乱赛场秩序、干扰裁判和监考</w:t>
      </w:r>
      <w:r>
        <w:rPr>
          <w:spacing w:val="-11"/>
          <w:highlight w:val="none"/>
          <w:lang w:eastAsia="zh-CN"/>
        </w:rPr>
        <w:t>正常工作等不文明行为的，由裁判长扣减该专项相应分数，情节严重</w:t>
      </w:r>
      <w:r>
        <w:rPr>
          <w:spacing w:val="-1"/>
          <w:highlight w:val="none"/>
          <w:lang w:eastAsia="zh-CN"/>
        </w:rPr>
        <w:t>的取消比赛资格，该专项任务成绩为零分。参</w:t>
      </w:r>
      <w:r>
        <w:rPr>
          <w:spacing w:val="-2"/>
          <w:highlight w:val="none"/>
          <w:lang w:eastAsia="zh-CN"/>
        </w:rPr>
        <w:t>赛选手有作弊行为的，</w:t>
      </w:r>
      <w:r>
        <w:rPr>
          <w:spacing w:val="-10"/>
          <w:highlight w:val="none"/>
          <w:lang w:eastAsia="zh-CN"/>
        </w:rPr>
        <w:t>取消比赛资格，该专项成绩为零分。</w:t>
      </w:r>
    </w:p>
    <w:p w14:paraId="09F1BC4B">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0"/>
        <w:textAlignment w:val="baseline"/>
        <w:rPr>
          <w:spacing w:val="-8"/>
          <w:highlight w:val="none"/>
          <w:lang w:eastAsia="zh-CN"/>
        </w:rPr>
      </w:pPr>
      <w:r>
        <w:rPr>
          <w:spacing w:val="-8"/>
          <w:highlight w:val="none"/>
          <w:lang w:eastAsia="zh-CN"/>
        </w:rPr>
        <w:t>3.参赛选手不得在比赛结果上标注含有本参赛队信息的记号，如有发现，取消奖项评比资格。</w:t>
      </w:r>
    </w:p>
    <w:p w14:paraId="0220FF71">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1"/>
        <w:textAlignment w:val="baseline"/>
        <w:rPr>
          <w:spacing w:val="-3"/>
          <w:highlight w:val="none"/>
          <w:lang w:eastAsia="zh-CN"/>
        </w:rPr>
      </w:pPr>
      <w:r>
        <w:rPr>
          <w:rFonts w:hint="eastAsia"/>
          <w:spacing w:val="-4"/>
          <w:highlight w:val="none"/>
          <w:lang w:val="en-US" w:eastAsia="zh-CN"/>
        </w:rPr>
        <w:t>4</w:t>
      </w:r>
      <w:r>
        <w:rPr>
          <w:spacing w:val="-4"/>
          <w:highlight w:val="none"/>
          <w:lang w:eastAsia="zh-CN"/>
        </w:rPr>
        <w:t>.参赛队成绩由赛项裁判组统一评定，采用结果评分方式。竞赛名次按照成绩总分从高到低排序。相同成绩的依次按第四部分、第三</w:t>
      </w:r>
      <w:r>
        <w:rPr>
          <w:spacing w:val="-3"/>
          <w:highlight w:val="none"/>
          <w:lang w:eastAsia="zh-CN"/>
        </w:rPr>
        <w:t>部分、第二部分部分得分高低决定排名次序。</w:t>
      </w:r>
    </w:p>
    <w:p w14:paraId="5BD57EDD">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1"/>
        <w:textAlignment w:val="baseline"/>
        <w:rPr>
          <w:rFonts w:hint="eastAsia"/>
          <w:spacing w:val="-4"/>
          <w:highlight w:val="none"/>
          <w:lang w:val="en-US" w:eastAsia="zh-CN"/>
        </w:rPr>
      </w:pPr>
      <w:r>
        <w:rPr>
          <w:rFonts w:hint="eastAsia"/>
          <w:spacing w:val="-4"/>
          <w:highlight w:val="none"/>
          <w:lang w:val="en-US" w:eastAsia="zh-CN"/>
        </w:rPr>
        <w:t>5.裁判长在竞赛评分结束2小时内提交赛位号评分结果，经复核无误，由裁判长、监督人员和仲裁人员签字确认后公布。</w:t>
      </w:r>
    </w:p>
    <w:p w14:paraId="571FD64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11"/>
          <w:highlight w:val="none"/>
          <w:lang w:eastAsia="zh-CN"/>
        </w:rPr>
        <w:t>(三)评分细则</w:t>
      </w:r>
    </w:p>
    <w:p w14:paraId="44EBF443">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5"/>
        <w:textAlignment w:val="baseline"/>
        <w:rPr>
          <w:highlight w:val="none"/>
          <w:lang w:eastAsia="zh-CN"/>
        </w:rPr>
      </w:pPr>
      <w:r>
        <w:rPr>
          <w:spacing w:val="-1"/>
          <w:highlight w:val="none"/>
          <w:lang w:eastAsia="zh-CN"/>
        </w:rPr>
        <w:t>竞赛评分将采取分步得分、错误不累计、累计总分的计分方式。</w:t>
      </w:r>
      <w:r>
        <w:rPr>
          <w:spacing w:val="-15"/>
          <w:highlight w:val="none"/>
          <w:lang w:eastAsia="zh-CN"/>
        </w:rPr>
        <w:t>各环节分别计算得分，按规定比例计入总分；在竞赛过</w:t>
      </w:r>
      <w:r>
        <w:rPr>
          <w:spacing w:val="-16"/>
          <w:highlight w:val="none"/>
          <w:lang w:eastAsia="zh-CN"/>
        </w:rPr>
        <w:t>程中，参赛选</w:t>
      </w:r>
      <w:r>
        <w:rPr>
          <w:spacing w:val="-5"/>
          <w:highlight w:val="none"/>
          <w:lang w:eastAsia="zh-CN"/>
        </w:rPr>
        <w:t>手如有不服从裁判裁决、扰乱赛场秩序、舞弊等行为的，由裁判长按</w:t>
      </w:r>
      <w:r>
        <w:rPr>
          <w:spacing w:val="-3"/>
          <w:highlight w:val="none"/>
          <w:lang w:eastAsia="zh-CN"/>
        </w:rPr>
        <w:t>照规定扣减相应分数，情节严重的取消竞赛资格，竞赛成绩记0</w:t>
      </w:r>
      <w:r>
        <w:rPr>
          <w:spacing w:val="-4"/>
          <w:highlight w:val="none"/>
          <w:lang w:eastAsia="zh-CN"/>
        </w:rPr>
        <w:t>分。</w:t>
      </w:r>
    </w:p>
    <w:p w14:paraId="402289E5">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rPr>
      </w:pPr>
      <w:r>
        <w:rPr>
          <w:spacing w:val="-9"/>
          <w:highlight w:val="none"/>
        </w:rPr>
        <w:t>具体比例如下：</w:t>
      </w:r>
    </w:p>
    <w:tbl>
      <w:tblPr>
        <w:tblStyle w:val="11"/>
        <w:tblW w:w="91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1380"/>
        <w:gridCol w:w="2963"/>
        <w:gridCol w:w="924"/>
        <w:gridCol w:w="2404"/>
      </w:tblGrid>
      <w:tr w14:paraId="4561C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77" w:type="dxa"/>
            <w:vAlign w:val="center"/>
          </w:tcPr>
          <w:p w14:paraId="42672E0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b/>
                <w:bCs/>
                <w:highlight w:val="none"/>
              </w:rPr>
            </w:pPr>
            <w:r>
              <w:rPr>
                <w:b/>
                <w:bCs/>
                <w:spacing w:val="-5"/>
                <w:highlight w:val="none"/>
              </w:rPr>
              <w:t>模块</w:t>
            </w:r>
          </w:p>
        </w:tc>
        <w:tc>
          <w:tcPr>
            <w:tcW w:w="1380" w:type="dxa"/>
            <w:vAlign w:val="center"/>
          </w:tcPr>
          <w:p w14:paraId="7F358D0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b/>
                <w:bCs/>
                <w:highlight w:val="none"/>
              </w:rPr>
            </w:pPr>
            <w:r>
              <w:rPr>
                <w:b/>
                <w:bCs/>
                <w:spacing w:val="-4"/>
                <w:highlight w:val="none"/>
              </w:rPr>
              <w:t>考核内容</w:t>
            </w:r>
          </w:p>
        </w:tc>
        <w:tc>
          <w:tcPr>
            <w:tcW w:w="2963" w:type="dxa"/>
            <w:vAlign w:val="center"/>
          </w:tcPr>
          <w:p w14:paraId="1B85EC6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b/>
                <w:bCs/>
                <w:highlight w:val="none"/>
              </w:rPr>
            </w:pPr>
            <w:r>
              <w:rPr>
                <w:b/>
                <w:bCs/>
                <w:spacing w:val="-4"/>
                <w:highlight w:val="none"/>
              </w:rPr>
              <w:t>考核要点</w:t>
            </w:r>
          </w:p>
        </w:tc>
        <w:tc>
          <w:tcPr>
            <w:tcW w:w="924" w:type="dxa"/>
            <w:tcBorders>
              <w:right w:val="single" w:color="000000" w:sz="4" w:space="0"/>
            </w:tcBorders>
            <w:vAlign w:val="center"/>
          </w:tcPr>
          <w:p w14:paraId="57337EA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b/>
                <w:bCs/>
                <w:highlight w:val="none"/>
              </w:rPr>
            </w:pPr>
            <w:r>
              <w:rPr>
                <w:b/>
                <w:bCs/>
                <w:spacing w:val="-17"/>
                <w:highlight w:val="none"/>
              </w:rPr>
              <w:t>占比</w:t>
            </w:r>
          </w:p>
        </w:tc>
        <w:tc>
          <w:tcPr>
            <w:tcW w:w="2404" w:type="dxa"/>
            <w:tcBorders>
              <w:left w:val="single" w:color="000000" w:sz="4" w:space="0"/>
            </w:tcBorders>
            <w:vAlign w:val="center"/>
          </w:tcPr>
          <w:p w14:paraId="6CA6E4A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b/>
                <w:bCs/>
                <w:highlight w:val="none"/>
              </w:rPr>
            </w:pPr>
            <w:r>
              <w:rPr>
                <w:b/>
                <w:bCs/>
                <w:spacing w:val="-4"/>
                <w:highlight w:val="none"/>
              </w:rPr>
              <w:t>评分标准</w:t>
            </w:r>
          </w:p>
        </w:tc>
      </w:tr>
      <w:tr w14:paraId="0AADC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1477" w:type="dxa"/>
            <w:vAlign w:val="center"/>
          </w:tcPr>
          <w:p w14:paraId="60280FBE">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7"/>
                <w:highlight w:val="none"/>
              </w:rPr>
              <w:t>第一部分</w:t>
            </w:r>
          </w:p>
        </w:tc>
        <w:tc>
          <w:tcPr>
            <w:tcW w:w="1380" w:type="dxa"/>
            <w:vAlign w:val="center"/>
          </w:tcPr>
          <w:p w14:paraId="34DC2D8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r>
              <w:rPr>
                <w:spacing w:val="-3"/>
                <w:highlight w:val="none"/>
              </w:rPr>
              <w:t>识别应用</w:t>
            </w:r>
          </w:p>
        </w:tc>
        <w:tc>
          <w:tcPr>
            <w:tcW w:w="2963" w:type="dxa"/>
            <w:vAlign w:val="center"/>
          </w:tcPr>
          <w:p w14:paraId="293A3E3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1"/>
              <w:jc w:val="center"/>
              <w:textAlignment w:val="baseline"/>
              <w:rPr>
                <w:highlight w:val="none"/>
              </w:rPr>
            </w:pPr>
            <w:r>
              <w:rPr>
                <w:spacing w:val="-7"/>
                <w:highlight w:val="none"/>
                <w:lang w:eastAsia="zh-CN"/>
              </w:rPr>
              <w:t>根据任务书要求，编写并运行代码，实现对视</w:t>
            </w:r>
            <w:r>
              <w:rPr>
                <w:spacing w:val="23"/>
                <w:highlight w:val="none"/>
                <w:lang w:eastAsia="zh-CN"/>
              </w:rPr>
              <w:t>频或图像中的物体的</w:t>
            </w:r>
            <w:r>
              <w:rPr>
                <w:spacing w:val="15"/>
                <w:highlight w:val="none"/>
                <w:lang w:eastAsia="zh-CN"/>
              </w:rPr>
              <w:t>智能识别，主要考察</w:t>
            </w:r>
            <w:r>
              <w:rPr>
                <w:spacing w:val="-4"/>
                <w:highlight w:val="none"/>
              </w:rPr>
              <w:t>opencv等相关技术点</w:t>
            </w:r>
          </w:p>
        </w:tc>
        <w:tc>
          <w:tcPr>
            <w:tcW w:w="924" w:type="dxa"/>
            <w:tcBorders>
              <w:right w:val="single" w:color="000000" w:sz="4" w:space="0"/>
            </w:tcBorders>
            <w:vAlign w:val="center"/>
          </w:tcPr>
          <w:p w14:paraId="0068F20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20%</w:t>
            </w:r>
          </w:p>
        </w:tc>
        <w:tc>
          <w:tcPr>
            <w:tcW w:w="2404" w:type="dxa"/>
            <w:tcBorders>
              <w:left w:val="single" w:color="000000" w:sz="4" w:space="0"/>
            </w:tcBorders>
            <w:vAlign w:val="center"/>
          </w:tcPr>
          <w:p w14:paraId="6E7CA7E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0"/>
              <w:jc w:val="center"/>
              <w:textAlignment w:val="baseline"/>
              <w:rPr>
                <w:highlight w:val="none"/>
                <w:lang w:eastAsia="zh-CN"/>
              </w:rPr>
            </w:pPr>
            <w:r>
              <w:rPr>
                <w:spacing w:val="7"/>
                <w:highlight w:val="none"/>
                <w:lang w:eastAsia="zh-CN"/>
              </w:rPr>
              <w:t>结果性评分(竞赛</w:t>
            </w:r>
            <w:r>
              <w:rPr>
                <w:spacing w:val="-8"/>
                <w:highlight w:val="none"/>
                <w:lang w:eastAsia="zh-CN"/>
              </w:rPr>
              <w:t>结束后，根据竞赛</w:t>
            </w:r>
            <w:r>
              <w:rPr>
                <w:spacing w:val="-4"/>
                <w:highlight w:val="none"/>
                <w:lang w:eastAsia="zh-CN"/>
              </w:rPr>
              <w:t>U盘中提交的结果</w:t>
            </w:r>
          </w:p>
          <w:p w14:paraId="610B8B2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进行评分)</w:t>
            </w:r>
          </w:p>
        </w:tc>
      </w:tr>
      <w:tr w14:paraId="768D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477" w:type="dxa"/>
            <w:vAlign w:val="center"/>
          </w:tcPr>
          <w:p w14:paraId="3EAE0CA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6"/>
                <w:highlight w:val="none"/>
              </w:rPr>
              <w:t>第二部分</w:t>
            </w:r>
          </w:p>
        </w:tc>
        <w:tc>
          <w:tcPr>
            <w:tcW w:w="1380" w:type="dxa"/>
            <w:vAlign w:val="center"/>
          </w:tcPr>
          <w:p w14:paraId="5211725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r>
              <w:rPr>
                <w:spacing w:val="-3"/>
                <w:highlight w:val="none"/>
              </w:rPr>
              <w:t>数据处理</w:t>
            </w:r>
          </w:p>
        </w:tc>
        <w:tc>
          <w:tcPr>
            <w:tcW w:w="2963" w:type="dxa"/>
            <w:vAlign w:val="center"/>
          </w:tcPr>
          <w:p w14:paraId="16E4E76A">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23"/>
                <w:highlight w:val="none"/>
                <w:lang w:eastAsia="zh-CN"/>
              </w:rPr>
              <w:t>按照要求编写程序代码实现对提供的数据</w:t>
            </w:r>
          </w:p>
          <w:p w14:paraId="0D558DC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3"/>
                <w:highlight w:val="none"/>
              </w:rPr>
              <w:t>集的预处理操作</w:t>
            </w:r>
          </w:p>
        </w:tc>
        <w:tc>
          <w:tcPr>
            <w:tcW w:w="924" w:type="dxa"/>
            <w:tcBorders>
              <w:right w:val="single" w:color="000000" w:sz="4" w:space="0"/>
            </w:tcBorders>
            <w:vAlign w:val="center"/>
          </w:tcPr>
          <w:p w14:paraId="3287CF69">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20%</w:t>
            </w:r>
          </w:p>
        </w:tc>
        <w:tc>
          <w:tcPr>
            <w:tcW w:w="2404" w:type="dxa"/>
            <w:tcBorders>
              <w:left w:val="single" w:color="000000" w:sz="4" w:space="0"/>
            </w:tcBorders>
            <w:vAlign w:val="center"/>
          </w:tcPr>
          <w:p w14:paraId="3B9F1B1C">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0"/>
              <w:jc w:val="center"/>
              <w:textAlignment w:val="baseline"/>
              <w:rPr>
                <w:highlight w:val="none"/>
                <w:lang w:eastAsia="zh-CN"/>
              </w:rPr>
            </w:pPr>
            <w:r>
              <w:rPr>
                <w:spacing w:val="7"/>
                <w:highlight w:val="none"/>
                <w:lang w:eastAsia="zh-CN"/>
              </w:rPr>
              <w:t>结果性评分(竞赛</w:t>
            </w:r>
            <w:r>
              <w:rPr>
                <w:spacing w:val="-8"/>
                <w:highlight w:val="none"/>
                <w:lang w:eastAsia="zh-CN"/>
              </w:rPr>
              <w:t>结束后，根据竞赛</w:t>
            </w:r>
            <w:r>
              <w:rPr>
                <w:spacing w:val="-4"/>
                <w:highlight w:val="none"/>
                <w:lang w:eastAsia="zh-CN"/>
              </w:rPr>
              <w:t>U盘中提交的结果</w:t>
            </w:r>
          </w:p>
          <w:p w14:paraId="53305A1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进行评分)</w:t>
            </w:r>
          </w:p>
        </w:tc>
      </w:tr>
      <w:tr w14:paraId="660D8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477" w:type="dxa"/>
            <w:vAlign w:val="center"/>
          </w:tcPr>
          <w:p w14:paraId="08671D7D">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6"/>
                <w:highlight w:val="none"/>
              </w:rPr>
              <w:t>第三部分</w:t>
            </w:r>
          </w:p>
        </w:tc>
        <w:tc>
          <w:tcPr>
            <w:tcW w:w="1380" w:type="dxa"/>
            <w:vAlign w:val="center"/>
          </w:tcPr>
          <w:p w14:paraId="3A9BC48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r>
              <w:rPr>
                <w:spacing w:val="-3"/>
                <w:highlight w:val="none"/>
              </w:rPr>
              <w:t>模型构建</w:t>
            </w:r>
          </w:p>
        </w:tc>
        <w:tc>
          <w:tcPr>
            <w:tcW w:w="2963" w:type="dxa"/>
            <w:vAlign w:val="center"/>
          </w:tcPr>
          <w:p w14:paraId="4697A95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23"/>
                <w:highlight w:val="none"/>
                <w:lang w:eastAsia="zh-CN"/>
              </w:rPr>
              <w:t>按照要求根据给定的框架进行模型训练及</w:t>
            </w:r>
            <w:r>
              <w:rPr>
                <w:spacing w:val="-5"/>
                <w:highlight w:val="none"/>
              </w:rPr>
              <w:t>优化</w:t>
            </w:r>
          </w:p>
        </w:tc>
        <w:tc>
          <w:tcPr>
            <w:tcW w:w="924" w:type="dxa"/>
            <w:tcBorders>
              <w:right w:val="single" w:color="000000" w:sz="4" w:space="0"/>
            </w:tcBorders>
            <w:vAlign w:val="center"/>
          </w:tcPr>
          <w:p w14:paraId="74657F58">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25%</w:t>
            </w:r>
          </w:p>
        </w:tc>
        <w:tc>
          <w:tcPr>
            <w:tcW w:w="2404" w:type="dxa"/>
            <w:tcBorders>
              <w:left w:val="single" w:color="000000" w:sz="4" w:space="0"/>
            </w:tcBorders>
            <w:vAlign w:val="center"/>
          </w:tcPr>
          <w:p w14:paraId="6C0EDB5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0"/>
              <w:jc w:val="center"/>
              <w:textAlignment w:val="baseline"/>
              <w:rPr>
                <w:highlight w:val="none"/>
                <w:lang w:eastAsia="zh-CN"/>
              </w:rPr>
            </w:pPr>
            <w:r>
              <w:rPr>
                <w:spacing w:val="7"/>
                <w:highlight w:val="none"/>
                <w:lang w:eastAsia="zh-CN"/>
              </w:rPr>
              <w:t>结果性评分(竞赛</w:t>
            </w:r>
            <w:r>
              <w:rPr>
                <w:spacing w:val="-8"/>
                <w:highlight w:val="none"/>
                <w:lang w:eastAsia="zh-CN"/>
              </w:rPr>
              <w:t>结束后，根据竞赛</w:t>
            </w:r>
            <w:r>
              <w:rPr>
                <w:spacing w:val="-4"/>
                <w:highlight w:val="none"/>
                <w:lang w:eastAsia="zh-CN"/>
              </w:rPr>
              <w:t>U盘中提交的结果</w:t>
            </w:r>
          </w:p>
          <w:p w14:paraId="573F491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进行评分)</w:t>
            </w:r>
          </w:p>
        </w:tc>
      </w:tr>
      <w:tr w14:paraId="013A6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477" w:type="dxa"/>
            <w:vAlign w:val="center"/>
          </w:tcPr>
          <w:p w14:paraId="5A7C4D42">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6"/>
                <w:highlight w:val="none"/>
              </w:rPr>
              <w:t>第四部分</w:t>
            </w:r>
          </w:p>
        </w:tc>
        <w:tc>
          <w:tcPr>
            <w:tcW w:w="1380" w:type="dxa"/>
            <w:vAlign w:val="center"/>
          </w:tcPr>
          <w:p w14:paraId="2119CBD5">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r>
              <w:rPr>
                <w:spacing w:val="-3"/>
                <w:highlight w:val="none"/>
              </w:rPr>
              <w:t>模型部署</w:t>
            </w:r>
          </w:p>
        </w:tc>
        <w:tc>
          <w:tcPr>
            <w:tcW w:w="2963" w:type="dxa"/>
            <w:vAlign w:val="center"/>
          </w:tcPr>
          <w:p w14:paraId="29DD39A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23"/>
                <w:highlight w:val="none"/>
                <w:lang w:eastAsia="zh-CN"/>
              </w:rPr>
              <w:t>按照要求将训练好的模型在提供的设备上</w:t>
            </w:r>
            <w:r>
              <w:rPr>
                <w:spacing w:val="-7"/>
                <w:highlight w:val="none"/>
                <w:lang w:eastAsia="zh-CN"/>
              </w:rPr>
              <w:t>进行模型转换、部署及</w:t>
            </w:r>
            <w:r>
              <w:rPr>
                <w:spacing w:val="-4"/>
                <w:highlight w:val="none"/>
              </w:rPr>
              <w:t>场景应用。</w:t>
            </w:r>
          </w:p>
        </w:tc>
        <w:tc>
          <w:tcPr>
            <w:tcW w:w="924" w:type="dxa"/>
            <w:tcBorders>
              <w:right w:val="single" w:color="000000" w:sz="4" w:space="0"/>
            </w:tcBorders>
            <w:vAlign w:val="center"/>
          </w:tcPr>
          <w:p w14:paraId="351FE1E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25%</w:t>
            </w:r>
          </w:p>
        </w:tc>
        <w:tc>
          <w:tcPr>
            <w:tcW w:w="2404" w:type="dxa"/>
            <w:tcBorders>
              <w:left w:val="single" w:color="000000" w:sz="4" w:space="0"/>
            </w:tcBorders>
            <w:vAlign w:val="center"/>
          </w:tcPr>
          <w:p w14:paraId="5C4E1871">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
              <w:jc w:val="center"/>
              <w:textAlignment w:val="baseline"/>
              <w:rPr>
                <w:highlight w:val="none"/>
              </w:rPr>
            </w:pPr>
            <w:r>
              <w:rPr>
                <w:spacing w:val="7"/>
                <w:highlight w:val="none"/>
                <w:lang w:eastAsia="zh-CN"/>
              </w:rPr>
              <w:t>结果性评分(竞赛</w:t>
            </w:r>
            <w:r>
              <w:rPr>
                <w:spacing w:val="-9"/>
                <w:highlight w:val="none"/>
                <w:lang w:eastAsia="zh-CN"/>
              </w:rPr>
              <w:t>结束后，根据竞赛</w:t>
            </w:r>
            <w:r>
              <w:rPr>
                <w:spacing w:val="29"/>
                <w:highlight w:val="none"/>
                <w:lang w:eastAsia="zh-CN"/>
              </w:rPr>
              <w:t>现场设备运行结</w:t>
            </w:r>
            <w:r>
              <w:rPr>
                <w:spacing w:val="-4"/>
                <w:highlight w:val="none"/>
              </w:rPr>
              <w:t>果进行评分)</w:t>
            </w:r>
          </w:p>
        </w:tc>
      </w:tr>
      <w:tr w14:paraId="5C544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477" w:type="dxa"/>
            <w:vAlign w:val="center"/>
          </w:tcPr>
          <w:p w14:paraId="3DBBE78F">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6"/>
                <w:highlight w:val="none"/>
              </w:rPr>
              <w:t>第五部分</w:t>
            </w:r>
          </w:p>
        </w:tc>
        <w:tc>
          <w:tcPr>
            <w:tcW w:w="1380" w:type="dxa"/>
            <w:vAlign w:val="center"/>
          </w:tcPr>
          <w:p w14:paraId="52047C4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5"/>
                <w:highlight w:val="none"/>
              </w:rPr>
              <w:t>智能</w:t>
            </w:r>
            <w:r>
              <w:rPr>
                <w:spacing w:val="-3"/>
                <w:highlight w:val="none"/>
              </w:rPr>
              <w:t>文档编写</w:t>
            </w:r>
          </w:p>
        </w:tc>
        <w:tc>
          <w:tcPr>
            <w:tcW w:w="2963" w:type="dxa"/>
            <w:vAlign w:val="center"/>
          </w:tcPr>
          <w:p w14:paraId="4421FC70">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lang w:eastAsia="zh-CN"/>
              </w:rPr>
            </w:pPr>
            <w:r>
              <w:rPr>
                <w:spacing w:val="-7"/>
                <w:highlight w:val="none"/>
                <w:lang w:eastAsia="zh-CN"/>
              </w:rPr>
              <w:t>按照要求编写相关文档</w:t>
            </w:r>
          </w:p>
        </w:tc>
        <w:tc>
          <w:tcPr>
            <w:tcW w:w="924" w:type="dxa"/>
            <w:tcBorders>
              <w:right w:val="single" w:color="000000" w:sz="4" w:space="0"/>
            </w:tcBorders>
            <w:vAlign w:val="center"/>
          </w:tcPr>
          <w:p w14:paraId="7A19D146">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10"/>
                <w:highlight w:val="none"/>
              </w:rPr>
              <w:t>10%</w:t>
            </w:r>
          </w:p>
        </w:tc>
        <w:tc>
          <w:tcPr>
            <w:tcW w:w="2404" w:type="dxa"/>
            <w:tcBorders>
              <w:left w:val="single" w:color="000000" w:sz="4" w:space="0"/>
            </w:tcBorders>
            <w:vAlign w:val="center"/>
          </w:tcPr>
          <w:p w14:paraId="6D3148CB">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20"/>
              <w:jc w:val="center"/>
              <w:textAlignment w:val="baseline"/>
              <w:rPr>
                <w:highlight w:val="none"/>
                <w:lang w:eastAsia="zh-CN"/>
              </w:rPr>
            </w:pPr>
            <w:r>
              <w:rPr>
                <w:spacing w:val="7"/>
                <w:highlight w:val="none"/>
                <w:lang w:eastAsia="zh-CN"/>
              </w:rPr>
              <w:t>结果性评分(竞赛</w:t>
            </w:r>
            <w:r>
              <w:rPr>
                <w:spacing w:val="-8"/>
                <w:highlight w:val="none"/>
                <w:lang w:eastAsia="zh-CN"/>
              </w:rPr>
              <w:t>结束后，根据竞赛</w:t>
            </w:r>
            <w:r>
              <w:rPr>
                <w:spacing w:val="-4"/>
                <w:highlight w:val="none"/>
                <w:lang w:eastAsia="zh-CN"/>
              </w:rPr>
              <w:t>U盘中提交的结果</w:t>
            </w:r>
          </w:p>
          <w:p w14:paraId="651EA864">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center"/>
              <w:textAlignment w:val="baseline"/>
              <w:rPr>
                <w:highlight w:val="none"/>
              </w:rPr>
            </w:pPr>
            <w:r>
              <w:rPr>
                <w:spacing w:val="-4"/>
                <w:highlight w:val="none"/>
              </w:rPr>
              <w:t>进行评分)</w:t>
            </w:r>
          </w:p>
        </w:tc>
      </w:tr>
    </w:tbl>
    <w:p w14:paraId="35ED3A1E">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5"/>
        <w:jc w:val="both"/>
        <w:textAlignment w:val="baseline"/>
        <w:rPr>
          <w:highlight w:val="none"/>
          <w:lang w:eastAsia="zh-CN"/>
        </w:rPr>
      </w:pPr>
      <w:r>
        <w:rPr>
          <w:spacing w:val="-13"/>
          <w:highlight w:val="none"/>
          <w:lang w:eastAsia="zh-CN"/>
        </w:rPr>
        <w:t>为了确保赛事评判的客观性，针对每一套竞赛试题，指定赛题评</w:t>
      </w:r>
      <w:r>
        <w:rPr>
          <w:spacing w:val="-1"/>
          <w:highlight w:val="none"/>
          <w:lang w:eastAsia="zh-CN"/>
        </w:rPr>
        <w:t>分标准，将评分项尽可能细化到每一个细节，</w:t>
      </w:r>
      <w:r>
        <w:rPr>
          <w:spacing w:val="-2"/>
          <w:highlight w:val="none"/>
          <w:lang w:eastAsia="zh-CN"/>
        </w:rPr>
        <w:t>减少主观判断的比例，</w:t>
      </w:r>
      <w:r>
        <w:rPr>
          <w:spacing w:val="-4"/>
          <w:highlight w:val="none"/>
          <w:lang w:eastAsia="zh-CN"/>
        </w:rPr>
        <w:t>确保赛事的客观公正。</w:t>
      </w:r>
    </w:p>
    <w:p w14:paraId="6FA99F63">
      <w:pPr>
        <w:pStyle w:val="2"/>
        <w:bidi w:val="0"/>
        <w:rPr>
          <w:highlight w:val="none"/>
          <w:lang w:eastAsia="zh-CN"/>
        </w:rPr>
      </w:pPr>
      <w:r>
        <w:rPr>
          <w:highlight w:val="none"/>
          <w:lang w:eastAsia="zh-CN"/>
        </w:rPr>
        <w:t>十二、奖项设定</w:t>
      </w:r>
    </w:p>
    <w:p w14:paraId="4EB91965">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47"/>
        <w:jc w:val="both"/>
        <w:textAlignment w:val="baseline"/>
        <w:rPr>
          <w:highlight w:val="none"/>
          <w:lang w:eastAsia="zh-CN"/>
        </w:rPr>
      </w:pPr>
      <w:r>
        <w:rPr>
          <w:spacing w:val="-5"/>
          <w:highlight w:val="none"/>
          <w:lang w:eastAsia="zh-CN"/>
        </w:rPr>
        <w:t>根据参赛队竞赛成绩排名分别设立一、二、三等奖。以各赛项实</w:t>
      </w:r>
      <w:r>
        <w:rPr>
          <w:spacing w:val="-1"/>
          <w:highlight w:val="none"/>
          <w:lang w:eastAsia="zh-CN"/>
        </w:rPr>
        <w:t>际参赛队数量为基数，一、二、三等奖获奖比例分别为10%、20</w:t>
      </w:r>
      <w:r>
        <w:rPr>
          <w:spacing w:val="-2"/>
          <w:highlight w:val="none"/>
          <w:lang w:eastAsia="zh-CN"/>
        </w:rPr>
        <w:t>%、</w:t>
      </w:r>
      <w:r>
        <w:rPr>
          <w:spacing w:val="-3"/>
          <w:highlight w:val="none"/>
          <w:lang w:eastAsia="zh-CN"/>
        </w:rPr>
        <w:t>30%（小数点后四舍五入）。</w:t>
      </w:r>
    </w:p>
    <w:p w14:paraId="1B27B5D7">
      <w:pPr>
        <w:pStyle w:val="2"/>
        <w:bidi w:val="0"/>
        <w:rPr>
          <w:highlight w:val="none"/>
          <w:lang w:eastAsia="zh-CN"/>
        </w:rPr>
      </w:pPr>
      <w:r>
        <w:rPr>
          <w:highlight w:val="none"/>
          <w:lang w:eastAsia="zh-CN"/>
        </w:rPr>
        <w:t>十三、赛项安全</w:t>
      </w:r>
    </w:p>
    <w:p w14:paraId="4B45FB2C">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8"/>
        <w:textAlignment w:val="baseline"/>
        <w:rPr>
          <w:spacing w:val="3"/>
          <w:highlight w:val="none"/>
          <w:lang w:eastAsia="zh-CN"/>
        </w:rPr>
      </w:pPr>
      <w:r>
        <w:rPr>
          <w:spacing w:val="3"/>
          <w:highlight w:val="none"/>
          <w:lang w:eastAsia="zh-CN"/>
        </w:rPr>
        <w:t>1.各参赛单位在组织参赛队时，须安排为参赛选手购买大赛期间的人身意外伤害保险。</w:t>
      </w:r>
    </w:p>
    <w:p w14:paraId="1844F3F1">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8"/>
        <w:textAlignment w:val="baseline"/>
        <w:rPr>
          <w:spacing w:val="3"/>
          <w:highlight w:val="none"/>
          <w:lang w:eastAsia="zh-CN"/>
        </w:rPr>
      </w:pPr>
      <w:r>
        <w:rPr>
          <w:spacing w:val="3"/>
          <w:highlight w:val="none"/>
          <w:lang w:eastAsia="zh-CN"/>
        </w:rPr>
        <w:t>2.各单位参赛队组成后，须制定相关管理制度，并对所有参赛选手、指导教师进行安全教育。</w:t>
      </w:r>
    </w:p>
    <w:p w14:paraId="1E7D9623">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68"/>
        <w:textAlignment w:val="baseline"/>
        <w:rPr>
          <w:spacing w:val="-2"/>
          <w:highlight w:val="none"/>
          <w:lang w:eastAsia="zh-CN"/>
        </w:rPr>
      </w:pPr>
      <w:r>
        <w:rPr>
          <w:spacing w:val="3"/>
          <w:highlight w:val="none"/>
          <w:lang w:eastAsia="zh-CN"/>
        </w:rPr>
        <w:t>3.各参赛队伍须加强参与比赛人员的安全管理，并与赛场安全管理对接。</w:t>
      </w:r>
    </w:p>
    <w:p w14:paraId="7291CC77">
      <w:pPr>
        <w:pStyle w:val="2"/>
        <w:bidi w:val="0"/>
        <w:rPr>
          <w:highlight w:val="none"/>
          <w:lang w:eastAsia="zh-CN"/>
        </w:rPr>
      </w:pPr>
      <w:r>
        <w:rPr>
          <w:highlight w:val="none"/>
          <w:lang w:eastAsia="zh-CN"/>
        </w:rPr>
        <w:t>十四、申诉与仲裁</w:t>
      </w:r>
    </w:p>
    <w:p w14:paraId="6480EDA2">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9"/>
        <w:textAlignment w:val="baseline"/>
        <w:rPr>
          <w:highlight w:val="none"/>
          <w:lang w:eastAsia="zh-CN"/>
        </w:rPr>
      </w:pPr>
      <w:r>
        <w:rPr>
          <w:spacing w:val="-5"/>
          <w:highlight w:val="none"/>
          <w:lang w:eastAsia="zh-CN"/>
        </w:rPr>
        <w:t>本赛项在比赛过程中若</w:t>
      </w:r>
      <w:r>
        <w:rPr>
          <w:rFonts w:hint="eastAsia"/>
          <w:spacing w:val="-5"/>
          <w:highlight w:val="none"/>
          <w:lang w:val="en-US" w:eastAsia="zh-CN"/>
        </w:rPr>
        <w:t>有疑问，</w:t>
      </w:r>
      <w:r>
        <w:rPr>
          <w:spacing w:val="-5"/>
          <w:highlight w:val="none"/>
          <w:lang w:eastAsia="zh-CN"/>
        </w:rPr>
        <w:t>代</w:t>
      </w:r>
      <w:r>
        <w:rPr>
          <w:spacing w:val="-6"/>
          <w:highlight w:val="none"/>
          <w:lang w:eastAsia="zh-CN"/>
        </w:rPr>
        <w:t>表队领队可在比赛结束后2小时之内向监督仲裁组提出书面申诉。书</w:t>
      </w:r>
      <w:r>
        <w:rPr>
          <w:spacing w:val="-5"/>
          <w:highlight w:val="none"/>
          <w:lang w:eastAsia="zh-CN"/>
        </w:rPr>
        <w:t>面申诉应对申诉事件的现象、发生时间、涉及人员、申诉依据等进行</w:t>
      </w:r>
      <w:r>
        <w:rPr>
          <w:spacing w:val="-1"/>
          <w:highlight w:val="none"/>
          <w:lang w:eastAsia="zh-CN"/>
        </w:rPr>
        <w:t>充分、实事求是的叙述，并由领队亲笔签名。非书面申诉不予受理。</w:t>
      </w:r>
    </w:p>
    <w:p w14:paraId="24D003B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3"/>
          <w:highlight w:val="none"/>
          <w:lang w:eastAsia="zh-CN"/>
        </w:rPr>
        <w:t>超过时效不予受理。</w:t>
      </w:r>
    </w:p>
    <w:p w14:paraId="019E918C">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spacing w:val="-8"/>
          <w:highlight w:val="none"/>
          <w:lang w:eastAsia="zh-CN"/>
        </w:rPr>
      </w:pPr>
      <w:r>
        <w:rPr>
          <w:spacing w:val="-8"/>
          <w:highlight w:val="none"/>
          <w:lang w:eastAsia="zh-CN"/>
        </w:rPr>
        <w:t>申诉方不得以任何理由拒绝接收仲裁结果；不得以任何理由采取</w:t>
      </w:r>
      <w:r>
        <w:rPr>
          <w:spacing w:val="-15"/>
          <w:highlight w:val="none"/>
          <w:lang w:eastAsia="zh-CN"/>
        </w:rPr>
        <w:t>过激行为扰乱赛场秩序；仲裁结果由申诉人签</w:t>
      </w:r>
      <w:r>
        <w:rPr>
          <w:spacing w:val="-16"/>
          <w:highlight w:val="none"/>
          <w:lang w:eastAsia="zh-CN"/>
        </w:rPr>
        <w:t>收，不能代收；如在约</w:t>
      </w:r>
      <w:r>
        <w:rPr>
          <w:spacing w:val="-8"/>
          <w:highlight w:val="none"/>
          <w:lang w:eastAsia="zh-CN"/>
        </w:rPr>
        <w:t>定时间和地点申诉人离开，视为自行放弃申诉。</w:t>
      </w:r>
    </w:p>
    <w:p w14:paraId="052221CF">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right="0"/>
        <w:textAlignment w:val="baseline"/>
        <w:rPr>
          <w:highlight w:val="none"/>
          <w:lang w:eastAsia="zh-CN"/>
        </w:rPr>
      </w:pPr>
      <w:r>
        <w:rPr>
          <w:spacing w:val="-5"/>
          <w:highlight w:val="none"/>
          <w:lang w:eastAsia="zh-CN"/>
        </w:rPr>
        <w:t>申诉方可随时提出放弃申诉。</w:t>
      </w:r>
    </w:p>
    <w:sectPr>
      <w:footerReference r:id="rId3" w:type="default"/>
      <w:pgSz w:w="11900" w:h="16839"/>
      <w:pgMar w:top="1431" w:right="1784" w:bottom="910" w:left="1784" w:header="0" w:footer="70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880D">
    <w:pPr>
      <w:spacing w:line="211" w:lineRule="auto"/>
      <w:ind w:left="3911"/>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2342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42342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2NjUxMjJhYmI2N2QxNTY2NDE1ZTZjMTE1YjViMjgifQ=="/>
    <w:docVar w:name="KSO_WPS_MARK_KEY" w:val="a1fa32ac-63c6-4776-8697-56d0a70829f3"/>
  </w:docVars>
  <w:rsids>
    <w:rsidRoot w:val="004944A3"/>
    <w:rsid w:val="0007202C"/>
    <w:rsid w:val="000D20AA"/>
    <w:rsid w:val="001A2F5A"/>
    <w:rsid w:val="002D36AC"/>
    <w:rsid w:val="0042616F"/>
    <w:rsid w:val="004920C4"/>
    <w:rsid w:val="004944A3"/>
    <w:rsid w:val="004D6770"/>
    <w:rsid w:val="00660C76"/>
    <w:rsid w:val="008B2ADD"/>
    <w:rsid w:val="00955595"/>
    <w:rsid w:val="0097208E"/>
    <w:rsid w:val="00A708DA"/>
    <w:rsid w:val="00AA644F"/>
    <w:rsid w:val="00B443BD"/>
    <w:rsid w:val="00E27E38"/>
    <w:rsid w:val="00E87826"/>
    <w:rsid w:val="0DFC2A54"/>
    <w:rsid w:val="1C0D1D84"/>
    <w:rsid w:val="29331BF2"/>
    <w:rsid w:val="2BC169F6"/>
    <w:rsid w:val="35762869"/>
    <w:rsid w:val="436152B2"/>
    <w:rsid w:val="462640A2"/>
    <w:rsid w:val="4C64327B"/>
    <w:rsid w:val="4FE4679C"/>
    <w:rsid w:val="66692FF1"/>
    <w:rsid w:val="68DE1B07"/>
    <w:rsid w:val="6CEC68FA"/>
    <w:rsid w:val="6F651FD5"/>
    <w:rsid w:val="79C91C27"/>
    <w:rsid w:val="7C89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0"/>
    <w:pPr>
      <w:widowControl w:val="0"/>
      <w:kinsoku/>
      <w:autoSpaceDE/>
      <w:autoSpaceDN/>
      <w:adjustRightInd/>
      <w:snapToGrid/>
      <w:spacing w:line="440" w:lineRule="exact"/>
      <w:jc w:val="both"/>
      <w:textAlignment w:val="auto"/>
      <w:outlineLvl w:val="1"/>
    </w:pPr>
    <w:rPr>
      <w:rFonts w:ascii="Times New Roman" w:hAnsi="Times New Roman" w:eastAsia="黑体" w:cs="Times New Roman"/>
      <w:snapToGrid/>
      <w:kern w:val="2"/>
      <w:sz w:val="28"/>
      <w:szCs w:val="32"/>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style>
  <w:style w:type="paragraph" w:styleId="4">
    <w:name w:val="Body Text"/>
    <w:basedOn w:val="1"/>
    <w:qFormat/>
    <w:uiPriority w:val="0"/>
    <w:pPr>
      <w:spacing w:line="440" w:lineRule="exact"/>
      <w:ind w:firstLine="560"/>
    </w:pPr>
    <w:rPr>
      <w:rFonts w:ascii="仿宋" w:hAnsi="仿宋" w:eastAsia="仿宋" w:cs="仿宋"/>
      <w:spacing w:val="-12"/>
      <w:sz w:val="28"/>
      <w:szCs w:val="28"/>
      <w:lang w:eastAsia="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8"/>
      <w:szCs w:val="28"/>
    </w:rPr>
  </w:style>
  <w:style w:type="character" w:customStyle="1" w:styleId="13">
    <w:name w:val="批注文字 字符"/>
    <w:basedOn w:val="9"/>
    <w:link w:val="3"/>
    <w:qFormat/>
    <w:uiPriority w:val="0"/>
    <w:rPr>
      <w:rFonts w:eastAsia="Arial"/>
      <w:snapToGrid w:val="0"/>
      <w:color w:val="000000"/>
      <w:sz w:val="21"/>
      <w:szCs w:val="21"/>
      <w:lang w:eastAsia="en-US"/>
    </w:rPr>
  </w:style>
  <w:style w:type="character" w:customStyle="1" w:styleId="14">
    <w:name w:val="批注主题 字符"/>
    <w:basedOn w:val="13"/>
    <w:link w:val="7"/>
    <w:qFormat/>
    <w:uiPriority w:val="0"/>
    <w:rPr>
      <w:rFonts w:eastAsia="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5271</Words>
  <Characters>5655</Characters>
  <Lines>74</Lines>
  <Paragraphs>21</Paragraphs>
  <TotalTime>40</TotalTime>
  <ScaleCrop>false</ScaleCrop>
  <LinksUpToDate>false</LinksUpToDate>
  <CharactersWithSpaces>5665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2024-04-29T13:50:00Z</dcterms:created>
  <dc:creator>8615373021640</dc:creator>
  <cp:lastModifiedBy>斋米耐</cp:lastModifiedBy>
  <dcterms:modified xsi:type="dcterms:W3CDTF">2024-11-19T04:24:50Z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2024-04-23T10:08:12Z</vt:filetime>
  </property>
  <property fmtid="{D5CDD505-2E9C-101B-9397-08002B2CF9AE}" pid="4" name="KSOProductBuildVer">
    <vt:lpwstr>2052-12.1.0.18912</vt:lpwstr>
  </property>
  <property fmtid="{D5CDD505-2E9C-101B-9397-08002B2CF9AE}" pid="5" name="ICV">
    <vt:lpwstr>2A29837E39234C6EBCCAE0B97A501D7D_13</vt:lpwstr>
  </property>
</Properties>
</file>