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命题题库</w:t>
      </w:r>
      <w:r>
        <w:rPr>
          <w:rFonts w:hint="eastAsia" w:ascii="方正小标宋简体" w:hAnsi="方正小标宋简体" w:eastAsia="方正小标宋简体" w:cs="方正小标宋简体"/>
          <w:sz w:val="44"/>
          <w:szCs w:val="44"/>
          <w:lang w:val="en-US" w:eastAsia="zh-CN"/>
        </w:rPr>
        <w:t>五</w:t>
      </w:r>
    </w:p>
    <w:p>
      <w:pPr>
        <w:pStyle w:val="9"/>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left"/>
        <w:textAlignment w:val="auto"/>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理论竞赛</w:t>
      </w:r>
    </w:p>
    <w:p>
      <w:pPr>
        <w:pStyle w:val="9"/>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lang w:eastAsia="zh-CN"/>
        </w:rPr>
        <w:t>）</w:t>
      </w:r>
      <w:r>
        <w:rPr>
          <w:rFonts w:hint="eastAsia" w:ascii="宋体" w:hAnsi="宋体" w:eastAsia="宋体" w:cs="宋体"/>
          <w:b/>
          <w:bCs/>
          <w:sz w:val="28"/>
          <w:szCs w:val="28"/>
        </w:rPr>
        <w:t>单项选择</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下列有哪些项目不是钢筋混凝土保护层厚度检测记录表中包括的</w:t>
      </w:r>
      <w:r>
        <w:rPr>
          <w:rFonts w:hint="eastAsia" w:ascii="宋体" w:hAnsi="宋体" w:eastAsia="仿宋" w:cs="宋体"/>
          <w:sz w:val="28"/>
          <w:szCs w:val="22"/>
          <w:lang w:eastAsia="zh-CN"/>
        </w:rPr>
        <w:t>（）</w:t>
      </w:r>
      <w:r>
        <w:rPr>
          <w:rFonts w:hint="eastAsia" w:ascii="宋体" w:hAnsi="宋体" w:eastAsia="仿宋" w:cs="宋体"/>
          <w:sz w:val="28"/>
          <w:szCs w:val="22"/>
        </w:rPr>
        <w:t>。</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钢筋保护层厚度设计值及检测值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  检测部位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钢筋公称直径</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  检测方向</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JGJ/T152--2019钢筋间距和保护层厚度检测所规定检测方法不适用于含有（）的混凝土检测。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铜物质   B  铁磁性物质  C  有机物质    D  铝物质</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kern w:val="0"/>
          <w:sz w:val="28"/>
          <w:szCs w:val="22"/>
        </w:rPr>
        <w:t>JGJT 152-2019中，</w:t>
      </w:r>
      <w:r>
        <w:rPr>
          <w:rFonts w:hint="eastAsia" w:ascii="宋体" w:hAnsi="宋体" w:eastAsia="仿宋" w:cs="宋体"/>
          <w:sz w:val="28"/>
          <w:szCs w:val="22"/>
        </w:rPr>
        <w:t>钢筋间距和保护层厚度检测钻孔、剔凿时，不得损坏钢筋，实测应采用游标卡尺，量测精度应为(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  0.1mm     B  0.2mm     C  0.5mm     D  1mm </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当钢筋保护层厚度小于（）时，应加垫非铁磁性垫块进行检测。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5mm     B  10mm     C  15mm     D  20mm</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对于钢筋探测仪，其基本原理是根据钢筋对仪器探头所发出的（）来判定钢筋的大小和深度。</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电磁波的信号强度          B  电磁场的感应强度</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冲击弹性波的反射          D  超声波的信号强度</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现行国家标准《混凝土结构工程施工质量验收规范》GB50204-2015 附录 "结构实体保护层厚度检测"中，对钢筋保护层厚度的检测误差规定不应大于（）。</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1mm     B  2mm     C  3mm     D  4mm</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对于钢筋探测仪，其基本原理是根据钢筋对仪器探头所发出的（）来判定钢筋的大小和深度。</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电磁波的信号强度          B  电磁场的感应强度</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冲击弹性波的反射          D  超声波的信号强度</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当混凝土保护层厚度值过小时，有些钢筋探测仪无法进行检测或示值偏差较大，可采用（）。</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此情况无法进行无损检测</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  将钢筋直径设置成比实际值大些</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在探头下附加已知厚度的垫块来人为增大保护层厚度的检测值</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  将探头悬空固定高度进行检测</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钢筋间距检测时，遇到钢筋直径未知的情况，应选取不少于（）的已测钢筋，且不应少于（）处，采用钻孔、剔凿等方式验证。</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30%，5                    B  20%，5</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30%，7                    D  20%，6</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检测前，应对钢筋探测仪进行（），调零时探头应远离金属物体。在检测过程中，应核查钢筋探测仪的零点状态。</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A.校准  B.预热调零  C.校正  D.检查</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钢筋直径检测时，被测钢筋与相邻钢筋的间距应不小于（）。</w:t>
      </w:r>
    </w:p>
    <w:p>
      <w:pPr>
        <w:keepNext w:val="0"/>
        <w:keepLines w:val="0"/>
        <w:pageBreakBefore w:val="0"/>
        <w:tabs>
          <w:tab w:val="left" w:pos="2977"/>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  50mm     B  100mm     C  150mm     D  200mm </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电磁感应法钢筋探测仪所用校准试件的制作中宜优先采用何种材质（）</w:t>
      </w:r>
    </w:p>
    <w:p>
      <w:pPr>
        <w:keepNext w:val="0"/>
        <w:keepLines w:val="0"/>
        <w:pageBreakBefore w:val="0"/>
        <w:numPr>
          <w:ilvl w:val="0"/>
          <w:numId w:val="2"/>
        </w:numPr>
        <w:tabs>
          <w:tab w:val="clear" w:pos="312"/>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混凝土          B.木材         C.塑料         D.环氧树脂</w:t>
      </w:r>
    </w:p>
    <w:p>
      <w:pPr>
        <w:keepNext w:val="0"/>
        <w:keepLines w:val="0"/>
        <w:pageBreakBefore w:val="0"/>
        <w:numPr>
          <w:ilvl w:val="0"/>
          <w:numId w:val="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在混凝土结构及构件中钢筋位置与保护层厚度测定及钢筋锈蚀度测定的检测中，采用的方法不包括（）</w:t>
      </w:r>
    </w:p>
    <w:p>
      <w:pPr>
        <w:keepNext w:val="0"/>
        <w:keepLines w:val="0"/>
        <w:pageBreakBefore w:val="0"/>
        <w:numPr>
          <w:ilvl w:val="0"/>
          <w:numId w:val="3"/>
        </w:numPr>
        <w:tabs>
          <w:tab w:val="clear" w:pos="312"/>
        </w:tabs>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电磁感应法     B.雷达法     C.弹性波法    D.半电池电位法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14.制作电磁感应法钢筋探测仪校准试件时，埋入试件中的钢筋应和试件表面（）</w:t>
      </w:r>
    </w:p>
    <w:p>
      <w:pPr>
        <w:keepNext w:val="0"/>
        <w:keepLines w:val="0"/>
        <w:pageBreakBefore w:val="0"/>
        <w:numPr>
          <w:ilvl w:val="0"/>
          <w:numId w:val="4"/>
        </w:numPr>
        <w:tabs>
          <w:tab w:val="clear" w:pos="312"/>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垂直      B.交叉     C.不作要求     D.平行</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15.发生以下哪种情况，钢筋检测仪不需要进行校准（）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A.新仪器启用前               B.检测数据异常且无法进行调整 </w:t>
      </w:r>
    </w:p>
    <w:p>
      <w:pPr>
        <w:keepNext w:val="0"/>
        <w:keepLines w:val="0"/>
        <w:pageBreakBefore w:val="0"/>
        <w:tabs>
          <w:tab w:val="left" w:pos="5205"/>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C.经过维修或更换主要零配件      D.仪器校准后半年</w:t>
      </w:r>
    </w:p>
    <w:p>
      <w:pPr>
        <w:keepNext w:val="0"/>
        <w:keepLines w:val="0"/>
        <w:pageBreakBefore w:val="0"/>
        <w:widowControl/>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16.检验检测机构一般应为独立法人,非独立法人的机构需要进行(  )。</w:t>
      </w:r>
    </w:p>
    <w:p>
      <w:pPr>
        <w:keepNext w:val="0"/>
        <w:keepLines w:val="0"/>
        <w:pageBreakBefore w:val="0"/>
        <w:widowControl/>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A、由上级主管单位确认其最高管理者</w:t>
      </w:r>
    </w:p>
    <w:p>
      <w:pPr>
        <w:keepNext w:val="0"/>
        <w:keepLines w:val="0"/>
        <w:pageBreakBefore w:val="0"/>
        <w:widowControl/>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B、经法人书面授权</w:t>
      </w:r>
    </w:p>
    <w:p>
      <w:pPr>
        <w:keepNext w:val="0"/>
        <w:keepLines w:val="0"/>
        <w:pageBreakBefore w:val="0"/>
        <w:widowControl/>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C、县级以上资质认定部门批准</w:t>
      </w:r>
    </w:p>
    <w:p>
      <w:pPr>
        <w:keepNext w:val="0"/>
        <w:keepLines w:val="0"/>
        <w:pageBreakBefore w:val="0"/>
        <w:widowControl/>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D、当地资质认定部门批准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17.实验室应建立和维持程序来控制构成其(    )的所有文件。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A、质量体系      B、管理体系        C、文件体系       D、文件程序</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18.对石灰进行化学分析时，主要是测定（）的含量。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A.有效氧化镁   B.有效氧化钙   C.有效氧化钙和氧化镁   D.氧化钙和氧化镁</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19. 集料在混合料中起到（    ）作用。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A.填充与分散   B. 骨架与分散    C. 骨架与填充   D. 填充与堆积</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20.下列不属于低应变反射波法的缺点的是（）。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需桩头露出                  B. 需要预留检测孔</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信号需人工判断              D. 受检测人员经验影响较大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21.无损检测方法中，“PIT” 为（）技术的英文缩写。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A.跨孔超声   B.雷达   C.低应变检测   D.射线扫描</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22.在《岩土锚杆与喷射混凝土支护工程技术规范》（GB50086-2015）中，针对杆体长度的允许偏差或允许值为（ ）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A、+100mm、-30mm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B、+200mm、-60mm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C、实测入孔长度大于等于设计长度的95%，且不足长度不超过20cm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D、实测入孔长度大于等于设计长度的95%</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23.按《锚杆锚固质量无损检测技术规程》(JGJ/T 182-2009)的规定，锚杆锚固质量无损检测前，宜进行（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A、蠕变实验</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B、抗拔力试验</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C、锚杆模拟实验</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D、无需进行任何其他试验</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24.按照《锚杆锚固质量无损检测技术规程》(JGJ/T 182-2009)要求，其激振方式宜采用（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A、瞬态激振</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B、连续激振</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C、摩擦激振</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D、稳态激振</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25.按照《锚杆锚固质量无损检测技术规程》(JGJ/T 182-2009)要求，锚杆端部应（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A、与杆体呈直线，无需打磨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B、仅需打磨平整</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C、与杆体呈直线，且需打磨平整</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D、无具体要求</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26.关于雷达法测混凝土厚度，错误的是（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A、在现场检测时，应首先进项电磁波速标定</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B、混凝土中钢筋较密集时，对测试影响较大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C、标定的目标体厚度不少于15cm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D、混凝土含水量较大时，不需要再额外标定</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27.以下关于回弹法与冲击弹性波法测试混凝土强度的说法中，错误的是（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A.回弹法更简单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B.回弹的测试深度范围更大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C.冲击弹性波法的测试深度范围更大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D.冲击弹性波法具有更严密的理论基础</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28.以下哪种测试方法不能测试混凝土的内部缺陷（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A.超声波法    B.红外法     C.冲击弹性波法    D.电磁波法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29.当测试对象较薄，激振信号与反射信号不能很好分离时，通过（ ）的方法可以算出一次反射的时间（即周期），据此即可测出对象的厚度。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A、波速分析     B、时间分析    C、能量衰减分析       D、频谱分析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30.下列哪种测裂缝深度的方法简单，不需要知道波速就可以计算裂缝深度（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A、相位反转法     B、表面波法   C、传播时间差法    D、穿透斜测法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31.深层（超过30cm）钢筋的位置、分布的检测宜采用下列哪种方法（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A、电磁感应法     B、半电池电位法  C、雷达法   D、冲击弹性波法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32.沥青针入度指数PI表示沥青的（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温度敏感性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 热稳定性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塑性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 粘滞性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33.钢筋的公称直径检测应采用钢筋探测仪检测并结合钻孔、剔凿的方法进行，钢筋钻孔、剔凿的数量不应少于该规格已测钢筋的（）且不应少于（）处。</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30%，3                   B、  30%，2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20%，3                   D、  20%，2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34.当钢筋保护层厚度小于（）时，应加垫非铁磁性垫块进行检测。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5mm     B、  10mm     C、  15mm     D、  20mm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35.我国重交通道路石油沥青,按（  ）试验项将其划分为七个标号。</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延度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 软化点</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针入度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 密度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36.当地基必须挖成台阶,台阶宽度不小于(         )m。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A.1</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C.3</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D.4</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37.路基填土高度小于1.0米的路堤叫矮路堤,矮路堤必须在边坡坡脚处设置(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A.边沟</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B.截水沟</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D.无</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C.排水沟</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38.路肩的组成是。(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A.土路肩+硬路肩</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B.硬路肩+左侧路缘带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C.硬路肩+右侧路缘带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D.土路肩+硬路肩+左侧路缘带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39.中型回弹仪的标称动能为（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A、2.2J   B、4.5J    C、5.5J   D、29.4J</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40.采用超声波测厚法检测涂层厚度时，按每个检测单元随机检测（    ）个测点，以测点的涂层干膜厚度算术平均值代表涂层的平均干膜厚度。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A、6          B、10          C、8          D、9</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41.芯样试件的垂直度用游标量角器测量试件两个端面与母线的夹角，精确至（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A.0.1°          B.0.3°          C.1°          D.0.2°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42.回弹值测量完毕，在具有代表性的测区上测量碳化深度值，测点数不应少于构件测区的（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A、40%         B、20%         C、30%         D、10%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43.超声回弹综合法测试混凝土强度时，结构或构件的每一测区，宜先进行___测试，后进行___测试。(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A、回弹  超声    B、 超声  回弹    C、 超声回弹综合测试   钻芯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44.高强回弹仪，标称动能为4.5J和5.5J，适用于强度等级（   ）、骨料最大粒径不大于（   ）的混凝土。</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A.C50～C100，40mm             B.C60～C100，20mm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C.C60～C100，40mm             D.C45～C100，20mm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45、当测区混凝土碳化深度平均值与实测保护层厚度平均值的比值K</w:t>
      </w:r>
      <w:r>
        <w:rPr>
          <w:rFonts w:hint="eastAsia" w:ascii="宋体" w:hAnsi="宋体" w:eastAsia="仿宋" w:cs="宋体"/>
          <w:sz w:val="28"/>
          <w:szCs w:val="22"/>
          <w:vertAlign w:val="subscript"/>
        </w:rPr>
        <w:t>C</w:t>
      </w:r>
      <w:r>
        <w:rPr>
          <w:rFonts w:hint="eastAsia" w:ascii="宋体" w:hAnsi="宋体" w:eastAsia="仿宋" w:cs="宋体"/>
          <w:sz w:val="28"/>
          <w:szCs w:val="22"/>
        </w:rPr>
        <w:t>为（      ）时，评定标度为4。</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A.＜0.5       B.[0.5，1.0）       C.≥2.0       D.[1.5，2.0）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46、混凝土回弹检测单个构件测区的面积不宜大于（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A.0.02m</w:t>
      </w:r>
      <w:r>
        <w:rPr>
          <w:rFonts w:hint="eastAsia" w:ascii="宋体" w:hAnsi="宋体" w:eastAsia="仿宋" w:cs="宋体"/>
          <w:sz w:val="28"/>
          <w:szCs w:val="22"/>
          <w:vertAlign w:val="superscript"/>
        </w:rPr>
        <w:t>2</w:t>
      </w:r>
      <w:r>
        <w:rPr>
          <w:rFonts w:hint="eastAsia" w:ascii="宋体" w:hAnsi="宋体" w:eastAsia="仿宋" w:cs="宋体"/>
          <w:sz w:val="28"/>
          <w:szCs w:val="22"/>
        </w:rPr>
        <w:t xml:space="preserve">         B.0.05m</w:t>
      </w:r>
      <w:r>
        <w:rPr>
          <w:rFonts w:hint="eastAsia" w:ascii="宋体" w:hAnsi="宋体" w:eastAsia="仿宋" w:cs="宋体"/>
          <w:sz w:val="28"/>
          <w:szCs w:val="22"/>
          <w:vertAlign w:val="superscript"/>
        </w:rPr>
        <w:t>2</w:t>
      </w:r>
      <w:r>
        <w:rPr>
          <w:rFonts w:hint="eastAsia" w:ascii="宋体" w:hAnsi="宋体" w:eastAsia="仿宋" w:cs="宋体"/>
          <w:sz w:val="28"/>
          <w:szCs w:val="22"/>
        </w:rPr>
        <w:t xml:space="preserve">         C.0.04m</w:t>
      </w:r>
      <w:r>
        <w:rPr>
          <w:rFonts w:hint="eastAsia" w:ascii="宋体" w:hAnsi="宋体" w:eastAsia="仿宋" w:cs="宋体"/>
          <w:sz w:val="28"/>
          <w:szCs w:val="22"/>
          <w:vertAlign w:val="superscript"/>
        </w:rPr>
        <w:t>2</w:t>
      </w:r>
      <w:r>
        <w:rPr>
          <w:rFonts w:hint="eastAsia" w:ascii="宋体" w:hAnsi="宋体" w:eastAsia="仿宋" w:cs="宋体"/>
          <w:sz w:val="28"/>
          <w:szCs w:val="22"/>
        </w:rPr>
        <w:t xml:space="preserve">         D.0.01m</w:t>
      </w:r>
      <w:r>
        <w:rPr>
          <w:rFonts w:hint="eastAsia" w:ascii="宋体" w:hAnsi="宋体" w:eastAsia="仿宋" w:cs="宋体"/>
          <w:sz w:val="28"/>
          <w:szCs w:val="22"/>
          <w:vertAlign w:val="superscript"/>
        </w:rPr>
        <w:t>2</w:t>
      </w:r>
      <w:r>
        <w:rPr>
          <w:rFonts w:hint="eastAsia" w:ascii="宋体" w:hAnsi="宋体" w:eastAsia="仿宋" w:cs="宋体"/>
          <w:sz w:val="28"/>
          <w:szCs w:val="22"/>
        </w:rPr>
        <w:t>。</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47、当构件的钢筋保护层厚度测点数为20时，其判定系数K</w:t>
      </w:r>
      <w:r>
        <w:rPr>
          <w:rFonts w:hint="eastAsia" w:ascii="宋体" w:hAnsi="宋体" w:eastAsia="仿宋" w:cs="宋体"/>
          <w:sz w:val="28"/>
          <w:szCs w:val="22"/>
          <w:vertAlign w:val="subscript"/>
        </w:rPr>
        <w:t>P</w:t>
      </w:r>
      <w:r>
        <w:rPr>
          <w:rFonts w:hint="eastAsia" w:ascii="宋体" w:hAnsi="宋体" w:eastAsia="仿宋" w:cs="宋体"/>
          <w:sz w:val="28"/>
          <w:szCs w:val="22"/>
        </w:rPr>
        <w:t>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A.1.695        B.1.645        C.1.595        D.1.685</w:t>
      </w:r>
    </w:p>
    <w:p>
      <w:pPr>
        <w:pStyle w:val="5"/>
        <w:keepNext w:val="0"/>
        <w:keepLines w:val="0"/>
        <w:pageBreakBefore w:val="0"/>
        <w:widowControl/>
        <w:shd w:val="clear" w:color="auto" w:fill="FFFFFF"/>
        <w:kinsoku/>
        <w:wordWrap/>
        <w:overflowPunct/>
        <w:topLinePunct w:val="0"/>
        <w:bidi w:val="0"/>
        <w:spacing w:before="0" w:beforeAutospacing="0" w:after="0" w:afterAutospacing="0" w:line="360" w:lineRule="auto"/>
        <w:ind w:left="0" w:firstLine="0" w:firstLineChars="0"/>
        <w:textAlignment w:val="auto"/>
        <w:rPr>
          <w:rFonts w:hint="default" w:eastAsia="仿宋"/>
          <w:sz w:val="28"/>
          <w:szCs w:val="22"/>
        </w:rPr>
      </w:pPr>
      <w:r>
        <w:rPr>
          <w:rFonts w:eastAsia="仿宋"/>
          <w:sz w:val="28"/>
          <w:szCs w:val="22"/>
        </w:rPr>
        <w:t>48、烧结砖回弹法每个检测单元应随机选择( )个测区。每个测区的面积不宜小于1㎡，应在其中随机选择( )块条面向外的转回弹测试。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A、10，10                     B、5、5</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C、5，10                      D、10，5</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49、回弹仪按回弹冲击能量大小分为中型、高强型和重型，普通混凝土抗压强度大于C50时，通常采用(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A、普通回弹仪                    B、高强回弹仪</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C、重型回弹仪                    D、以上都可以</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50、抗压芯样试件宜使用直径为( )mm的芯样，且其直径不宜小于骨料最大粒径的( )倍。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A、100，3                     B、150，3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C、100，4                     D、150，4</w:t>
      </w:r>
    </w:p>
    <w:p>
      <w:pPr>
        <w:pStyle w:val="5"/>
        <w:keepNext w:val="0"/>
        <w:keepLines w:val="0"/>
        <w:pageBreakBefore w:val="0"/>
        <w:widowControl/>
        <w:shd w:val="clear" w:color="auto" w:fill="FFFFFF"/>
        <w:kinsoku/>
        <w:wordWrap/>
        <w:overflowPunct/>
        <w:topLinePunct w:val="0"/>
        <w:bidi w:val="0"/>
        <w:spacing w:before="0" w:beforeAutospacing="0" w:after="0" w:afterAutospacing="0" w:line="360" w:lineRule="auto"/>
        <w:ind w:left="0" w:firstLine="0" w:firstLineChars="0"/>
        <w:textAlignment w:val="auto"/>
        <w:rPr>
          <w:rFonts w:hint="default" w:eastAsia="仿宋"/>
          <w:sz w:val="28"/>
          <w:szCs w:val="22"/>
        </w:rPr>
      </w:pPr>
      <w:r>
        <w:rPr>
          <w:rFonts w:eastAsia="仿宋"/>
          <w:sz w:val="28"/>
          <w:szCs w:val="22"/>
        </w:rPr>
        <w:t>51、采用剔凿法检测钢筋直径时，游标卡尺的测量精度应为( )mm。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A、1mm                      B、0.1mm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C、0.5mm                      D、0.2mm</w:t>
      </w:r>
    </w:p>
    <w:p>
      <w:pPr>
        <w:pStyle w:val="5"/>
        <w:keepNext w:val="0"/>
        <w:keepLines w:val="0"/>
        <w:pageBreakBefore w:val="0"/>
        <w:widowControl/>
        <w:shd w:val="clear" w:color="auto" w:fill="FFFFFF"/>
        <w:kinsoku/>
        <w:wordWrap/>
        <w:overflowPunct/>
        <w:topLinePunct w:val="0"/>
        <w:bidi w:val="0"/>
        <w:spacing w:before="0" w:beforeAutospacing="0" w:after="0" w:afterAutospacing="0" w:line="360" w:lineRule="auto"/>
        <w:ind w:left="0" w:firstLine="0" w:firstLineChars="0"/>
        <w:textAlignment w:val="auto"/>
        <w:rPr>
          <w:rFonts w:hint="default" w:eastAsia="仿宋"/>
          <w:sz w:val="28"/>
          <w:szCs w:val="22"/>
        </w:rPr>
      </w:pPr>
      <w:r>
        <w:rPr>
          <w:rFonts w:eastAsia="仿宋"/>
          <w:sz w:val="28"/>
          <w:szCs w:val="22"/>
        </w:rPr>
        <w:t>52、回弹仪在洛氏硬度HRC为( )的钢砧上，回弹仪的率定值应为(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A、60±2，80±2                       B、80±2，60±2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C、60±1，80±1                       D、80±1，60±1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53、回弹仪按回弹冲击能量大小分为中型、高强型和重型，普通混凝土抗压强度大于C50时，通常采用(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A、普通回弹仪                    B、高强回弹仪</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C、重型回弹仪                    D、以上都可以</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54、抗压芯样试件宜使用直径为100mm的芯样，且其直径不宜小于骨料最大粒径的( )倍；也可采用小直径芯样，但其直径不应小于70mm 且不得小于骨料最大粒径的( )倍。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A、3，2                      B、2，3</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C、3，4                      D、4，3</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highlight w:val="yellow"/>
        </w:rPr>
      </w:pPr>
      <w:r>
        <w:rPr>
          <w:rFonts w:hint="eastAsia" w:ascii="宋体" w:hAnsi="宋体" w:eastAsia="仿宋" w:cs="宋体"/>
          <w:sz w:val="28"/>
          <w:szCs w:val="22"/>
        </w:rPr>
        <w:t>55、采用超声回弹综合法检测混凝土抗压强度，在推定混凝土强度时，宜优先采用( )测强曲线推算。</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   A、统一                      B、专用或地区</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highlight w:val="yellow"/>
        </w:rPr>
      </w:pPr>
      <w:r>
        <w:rPr>
          <w:rFonts w:hint="eastAsia" w:ascii="宋体" w:hAnsi="宋体" w:eastAsia="仿宋" w:cs="宋体"/>
          <w:sz w:val="28"/>
          <w:szCs w:val="22"/>
        </w:rPr>
        <w:t xml:space="preserve">   C、专用                      D、地区</w:t>
      </w:r>
    </w:p>
    <w:p>
      <w:pPr>
        <w:pStyle w:val="5"/>
        <w:keepNext w:val="0"/>
        <w:keepLines w:val="0"/>
        <w:pageBreakBefore w:val="0"/>
        <w:widowControl/>
        <w:shd w:val="clear" w:color="auto" w:fill="FFFFFF"/>
        <w:kinsoku/>
        <w:wordWrap/>
        <w:overflowPunct/>
        <w:topLinePunct w:val="0"/>
        <w:bidi w:val="0"/>
        <w:spacing w:before="0" w:beforeAutospacing="0" w:after="0" w:afterAutospacing="0" w:line="360" w:lineRule="auto"/>
        <w:ind w:left="0" w:firstLine="0" w:firstLineChars="0"/>
        <w:textAlignment w:val="auto"/>
        <w:rPr>
          <w:rFonts w:hint="default" w:eastAsia="仿宋"/>
          <w:sz w:val="28"/>
          <w:szCs w:val="22"/>
        </w:rPr>
      </w:pPr>
      <w:r>
        <w:rPr>
          <w:rFonts w:eastAsia="仿宋"/>
          <w:sz w:val="28"/>
          <w:szCs w:val="22"/>
        </w:rPr>
        <w:t>56、芯样试件应在自然干燥状态下进行抗压试验。当结构工作条件比较潮湿，需要确定潮湿状态下混凝土抗压强度时，芯样试件宜在( )的清水中浸泡( ) ，从水中取出后应去除表面水渍，并立即进行试验。</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w:t>
      </w:r>
      <w:r>
        <w:rPr>
          <w:rFonts w:hint="eastAsia" w:ascii="宋体" w:hAnsi="宋体" w:eastAsia="仿宋" w:cs="宋体"/>
          <w:spacing w:val="20"/>
          <w:kern w:val="0"/>
          <w:sz w:val="28"/>
          <w:szCs w:val="22"/>
        </w:rPr>
        <w:t xml:space="preserve">20℃±5℃，40h～48h        </w:t>
      </w:r>
      <w:r>
        <w:rPr>
          <w:rFonts w:hint="eastAsia" w:ascii="宋体" w:hAnsi="宋体" w:eastAsia="仿宋" w:cs="宋体"/>
          <w:sz w:val="28"/>
          <w:szCs w:val="22"/>
        </w:rPr>
        <w:t xml:space="preserve">     B、</w:t>
      </w:r>
      <w:r>
        <w:rPr>
          <w:rFonts w:hint="eastAsia" w:ascii="宋体" w:hAnsi="宋体" w:eastAsia="仿宋" w:cs="宋体"/>
          <w:spacing w:val="20"/>
          <w:kern w:val="0"/>
          <w:sz w:val="28"/>
          <w:szCs w:val="22"/>
        </w:rPr>
        <w:t>20℃±2℃，40h～48h</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pacing w:val="20"/>
          <w:kern w:val="0"/>
          <w:sz w:val="28"/>
          <w:szCs w:val="22"/>
        </w:rPr>
      </w:pPr>
      <w:r>
        <w:rPr>
          <w:rFonts w:hint="eastAsia" w:ascii="宋体" w:hAnsi="宋体" w:eastAsia="仿宋" w:cs="宋体"/>
          <w:sz w:val="28"/>
          <w:szCs w:val="22"/>
        </w:rPr>
        <w:t>C、</w:t>
      </w:r>
      <w:r>
        <w:rPr>
          <w:rFonts w:hint="eastAsia" w:ascii="宋体" w:hAnsi="宋体" w:eastAsia="仿宋" w:cs="宋体"/>
          <w:spacing w:val="20"/>
          <w:kern w:val="0"/>
          <w:sz w:val="28"/>
          <w:szCs w:val="22"/>
        </w:rPr>
        <w:t xml:space="preserve">23℃±2℃，48h～72h </w:t>
      </w:r>
      <w:r>
        <w:rPr>
          <w:rFonts w:hint="eastAsia" w:ascii="宋体" w:hAnsi="宋体" w:eastAsia="仿宋" w:cs="宋体"/>
          <w:sz w:val="28"/>
          <w:szCs w:val="22"/>
        </w:rPr>
        <w:t xml:space="preserve">              D、</w:t>
      </w:r>
      <w:r>
        <w:rPr>
          <w:rFonts w:hint="eastAsia" w:ascii="宋体" w:hAnsi="宋体" w:eastAsia="仿宋" w:cs="宋体"/>
          <w:spacing w:val="20"/>
          <w:kern w:val="0"/>
          <w:sz w:val="28"/>
          <w:szCs w:val="22"/>
        </w:rPr>
        <w:t>23℃±2℃，40h～48h</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pacing w:val="20"/>
          <w:kern w:val="0"/>
          <w:sz w:val="28"/>
          <w:szCs w:val="22"/>
        </w:rPr>
      </w:pPr>
      <w:r>
        <w:rPr>
          <w:rFonts w:hint="eastAsia" w:ascii="宋体" w:hAnsi="宋体" w:eastAsia="仿宋" w:cs="宋体"/>
          <w:spacing w:val="20"/>
          <w:kern w:val="0"/>
          <w:sz w:val="28"/>
          <w:szCs w:val="22"/>
        </w:rPr>
        <w:t>57、烧结砖回弹法单个测位的回弹值应取( )个弹击点回弹值的平均值。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pacing w:val="20"/>
          <w:kern w:val="0"/>
          <w:sz w:val="28"/>
          <w:szCs w:val="22"/>
        </w:rPr>
      </w:pPr>
      <w:r>
        <w:rPr>
          <w:rFonts w:hint="eastAsia" w:ascii="宋体" w:hAnsi="宋体" w:eastAsia="仿宋" w:cs="宋体"/>
          <w:sz w:val="28"/>
          <w:szCs w:val="22"/>
        </w:rPr>
        <w:t>A、</w:t>
      </w:r>
      <w:r>
        <w:rPr>
          <w:rFonts w:hint="eastAsia" w:ascii="宋体" w:hAnsi="宋体" w:eastAsia="仿宋" w:cs="宋体"/>
          <w:spacing w:val="20"/>
          <w:kern w:val="0"/>
          <w:sz w:val="28"/>
          <w:szCs w:val="22"/>
        </w:rPr>
        <w:t xml:space="preserve">3        </w:t>
      </w:r>
      <w:r>
        <w:rPr>
          <w:rFonts w:hint="eastAsia" w:ascii="宋体" w:hAnsi="宋体" w:eastAsia="仿宋" w:cs="宋体"/>
          <w:sz w:val="28"/>
          <w:szCs w:val="22"/>
        </w:rPr>
        <w:t xml:space="preserve">     B、</w:t>
      </w:r>
      <w:r>
        <w:rPr>
          <w:rFonts w:hint="eastAsia" w:ascii="宋体" w:hAnsi="宋体" w:eastAsia="仿宋" w:cs="宋体"/>
          <w:spacing w:val="20"/>
          <w:kern w:val="0"/>
          <w:sz w:val="28"/>
          <w:szCs w:val="22"/>
        </w:rPr>
        <w:t>10</w:t>
      </w:r>
      <w:r>
        <w:rPr>
          <w:rFonts w:hint="eastAsia" w:ascii="宋体" w:hAnsi="宋体" w:eastAsia="仿宋" w:cs="宋体"/>
          <w:sz w:val="28"/>
          <w:szCs w:val="22"/>
        </w:rPr>
        <w:t xml:space="preserve">       C、</w:t>
      </w:r>
      <w:r>
        <w:rPr>
          <w:rFonts w:hint="eastAsia" w:ascii="宋体" w:hAnsi="宋体" w:eastAsia="仿宋" w:cs="宋体"/>
          <w:spacing w:val="20"/>
          <w:kern w:val="0"/>
          <w:sz w:val="28"/>
          <w:szCs w:val="22"/>
        </w:rPr>
        <w:t xml:space="preserve">5 </w:t>
      </w:r>
      <w:r>
        <w:rPr>
          <w:rFonts w:hint="eastAsia" w:ascii="宋体" w:hAnsi="宋体" w:eastAsia="仿宋" w:cs="宋体"/>
          <w:sz w:val="28"/>
          <w:szCs w:val="22"/>
        </w:rPr>
        <w:t xml:space="preserve">            D、</w:t>
      </w:r>
      <w:r>
        <w:rPr>
          <w:rFonts w:hint="eastAsia" w:ascii="宋体" w:hAnsi="宋体" w:eastAsia="仿宋" w:cs="宋体"/>
          <w:spacing w:val="20"/>
          <w:kern w:val="0"/>
          <w:sz w:val="28"/>
          <w:szCs w:val="22"/>
        </w:rPr>
        <w:t>6</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58、公路工程行业标准体系中，《公路桥涵设计通用规范》( JTG D60-2015)属于(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A.强制性标准      B.推荐性标准      C.综合标准      D.管理标准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59、《公路工程质量检验评定标准第一册土建工程》( JTG F80/ 1-2017)统一了工程质量的(  )和评定标准。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A.检查项目      B.检验标准        C.检验方法      D.检验数量</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60、桥梁工程质量检验评定中，上部构造预制和安装应划归为(  )工程。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A.分项         B.分部           C.单位           D.建设</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61、新建桥梁的工程质量检验评定以(  )工程为基本单元。</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A.单位         B.分项           C.分部           D.建设</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62、分项工程质量检验评定，实测项目按(  )评价是否合格。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A.合格率法   B.百分制评分法    C.资料审查评审法    D。综合评定法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63、新建公路工程质量检验评定中，分项工程的实测项目合格率应满足(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A.关键项目不低于90%，一般项目不低于80 %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B.关键项目不低于90%，一般项目不低于75 %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C.关键项目不低于95%，一般项目不低于80%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D.关键项目不低于95%，一般项目不低于75 %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64、以下不属于分项工程质量检验内容的是(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A。基本要求检查B。质量保证资料完整性C.实测项目合格率D.实测项目得分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65、公路工程质量等级评定的原则是(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A.两级制度、逐级计分评定、合规定质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B.两级制度、逐级评定、合规定质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C.三级制度、逐级计分评定、合规定质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D.三级制度、逐级评定、合规定质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66、水泥混凝土抗弯拉强度试验中，采用100mm x 100mm x 400mm棱柱体非标准试件时，所得的抗弯拉强度值应乘以尺寸修正系数(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A.0.85              B.O.95        C.1.O5           D.1.1</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67、混凝土立方体抗压强度试验，当混凝土强度等级大于或等于(  )时，宜采用标准试件。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C30               B. C40      C. C50              D. C60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68、混凝土立方体劈裂抗拉强度试验中，混凝土强度等级为C40时的加荷速率为(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0.02～0.05MPa/s              B. 0.O5～0.08MPa/s</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0.08～0.10MPa/s               D. 0.10～0.15MPa/s</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69、钢绞线力学试验平行长度为795 mm，摘下引伸计时，两夹口距离为800 mm，钢绞线拉断时夹口距离为840mm，最大力总延伸率应为(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A.4%                  B.5%        C.5.6%            D. 6. 5%</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70、混凝土标准养护室的温度及相对湿度分别为(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20℃±2℃ ,90%以上        B. 20℃±2℃ ,95%以上</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20℃±5 ℃ ,90%以上       D. 20℃±5℃ ,95 %以上</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71、对于批量构件采用回弹法或超声回弹综合法检测混凝土强度，随机抽检数量一般应满足(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A.不少于构件总数的30%且不少于10件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B.不少于构件总数的40%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b w:val="0"/>
          <w:bCs w:val="0"/>
          <w:sz w:val="28"/>
          <w:szCs w:val="22"/>
        </w:rPr>
        <w:t>C</w:t>
      </w:r>
      <w:r>
        <w:rPr>
          <w:rFonts w:hint="eastAsia" w:ascii="宋体" w:hAnsi="宋体" w:eastAsia="仿宋" w:cs="宋体"/>
          <w:sz w:val="28"/>
          <w:szCs w:val="22"/>
        </w:rPr>
        <w:t>.不少于构件总数的40%且不少于10件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D.不少于10件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72、某混凝土立方体试件抗压强度试验结果为，试件A; 43.1 MPa，试件B;51.6 MPa，试件C:58.5 MPa，则该组混凝土立方体抗压强度测定值为(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43.1 MPa     B. 51.1 MPa      C. 51. 6MPa   D.试验结果无效</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73、回弹法检测单个一般构件的混凝土强度，要求的测区数量不宜少于(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5个         B. 10个           C.16个        D.20个</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74、采用回弹法检测混凝土强度，每个测区读取16个回弹值，该测区的回弹平均值为(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3个最大值与3个最小值的平均值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B.该测区全部回弹值平均</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C.剔除3个最大值与3个最小值后的平均值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D.剔除最大值与最小值后的平均值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75、回弹仪在检测前后，均应在洛氏硬度(HRC)为60±2的钢砧上进行率定，率定值应满足(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76±2       B. 78±2        C. 80±2        D. 82±2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76、回弹法检测混凝土强度，回弹测区应优先选择在(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A.能使回弹仪竖直弹击的混凝土浇筑底面</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B.能使回弹仪竖直弹击的混凝土浇筑侧面</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C.能使回弹仪水平弹击的混凝土浇筑底面</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D.能使回弹仪水平弹击的混凝土浇筑侧面</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77、采用超声回弹综合法检测混凝土强度，现场测试的数据应包括(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A.回弹值和碳化深度               B.声波波幅和回弹值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C.声时值、回弹值和碳化深度       D.声时值和回弹值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78、采用回弹法并根据全国统一测强曲线计算非泵送混凝土的抗压强度时(  )的混凝土强度检测。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A.龄期无限制、抗压强度为10MPa～50MPa</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B.龄期7d～2000d、抗压强度为10 MPa～70 MPa</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C.龄期14d～1000d、抗压强度为10 MPa～60 MPa</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D.龄期7d～1000 d、抗压强度为10 MPa～60 MPa</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79、回弹法测定混凝土强度，碳化深度的测点数不应少于构件测区数的(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20%             B. 30%               C. 40%        D. 50%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80、采用钻芯法检测单个构件的混凝土强度，有效芯样数量不得少于( ),小尺寸构件的芯样不得少于();按有效芯样试件抗压强度值的( )确定其推定值。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A.6个，4个，平均值    B. 6个，4个，最小值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C.3个，2个，平均值    D. 3个，2个，最小值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81、使用钻芯法检测混凝土强度，芯样试件的实际高径比应满足(  )，否则测试数据无效。</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0. 85～1.05   B. 1.0～1.5    C.0.95～1.05   D. 1.5～2. 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82、钻芯法检测混凝土强度，按潮湿状态进行试验时，芯样试件在受压前应(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A.自然干燥3d</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B.在20℃±5℃的清水中浸泡20～24h</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C.在20℃±5℃的清水中浸泡40～48h</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D.在20℃±5℃的清水中浸泡70～72h</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83.钻芯法标准芯样试件要求其公称直径为()且不宜小于集料最大粒径的();也可采用小直径芯样试件，但其公称直径不宜小于()且不得小于集料最大粒径的(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70mm , 4倍，50mm,3倍    B.100mm,3倍，70mm , 2倍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100mm,3倍，50mm,2倍    D.70mm,3倍，50mm ,2倍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84、某涵洞遭受了火灾，为确定火灾后墙身混凝土的强度，可采用(  )进行检测。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A.回弹法    B.超声法    C.超声回弹综合法    D.钻芯法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85、钢筋的配置检测可分为：钢筋位置、（  ）、直径、数量等项目。</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抗拉强度      B  抗剪强度       C  保护层厚度      D  延伸率</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86、现浇混凝土结构梁构件保护层厚度允许偏差为（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+8mm，-5mm   B +10mm，-7mm   C +10mm，-5mm  D +8mm，-7mm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87、现浇混凝土板构件结构厚度允许偏差为（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+10mm，-5mm  B +10mm，-7mm   C +8mm，-7mm   D +8mm，-5mm</w:t>
      </w:r>
    </w:p>
    <w:p>
      <w:pPr>
        <w:keepNext w:val="0"/>
        <w:keepLines w:val="0"/>
        <w:pageBreakBefore w:val="0"/>
        <w:kinsoku/>
        <w:wordWrap/>
        <w:overflowPunct/>
        <w:topLinePunct w:val="0"/>
        <w:bidi w:val="0"/>
        <w:spacing w:line="360" w:lineRule="auto"/>
        <w:ind w:left="0" w:firstLine="0" w:firstLineChars="0"/>
        <w:jc w:val="left"/>
        <w:textAlignment w:val="auto"/>
        <w:outlineLvl w:val="0"/>
        <w:rPr>
          <w:rFonts w:ascii="宋体" w:hAnsi="宋体" w:eastAsia="仿宋" w:cs="宋体"/>
          <w:sz w:val="28"/>
          <w:szCs w:val="22"/>
        </w:rPr>
      </w:pPr>
      <w:r>
        <w:rPr>
          <w:rFonts w:hint="eastAsia" w:ascii="宋体" w:hAnsi="宋体" w:eastAsia="仿宋" w:cs="宋体"/>
          <w:sz w:val="28"/>
          <w:szCs w:val="22"/>
        </w:rPr>
        <w:t>88、单项或单元工程的整体锚杆检测抽样率不应低于总锚杆数的(  )，且每批不宜少于(  )根。重要部位或重要功能的锚杆宜全部检测。当单项或单元工程抽检描杆的不合格率大于(  )时，应对未检测的锚杆进行加倍抽检。</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10%  20  10%               B 20%  20  10%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C 10%  20  20%                D 20%  20  20%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89、单元或单项工程锚杆锚固质量全部达到(  )级及以上的应评定为合格，否则应评定为不合格。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  </w:t>
      </w:r>
      <w:r>
        <w:rPr>
          <w:rFonts w:hint="eastAsia" w:ascii="宋体" w:hAnsi="宋体" w:eastAsia="仿宋" w:cs="宋体"/>
          <w:sz w:val="28"/>
          <w:szCs w:val="22"/>
        </w:rPr>
        <w:fldChar w:fldCharType="begin"/>
      </w:r>
      <w:r>
        <w:rPr>
          <w:rFonts w:hint="eastAsia" w:ascii="宋体" w:hAnsi="宋体" w:eastAsia="仿宋" w:cs="宋体"/>
          <w:sz w:val="28"/>
          <w:szCs w:val="22"/>
        </w:rPr>
        <w:instrText xml:space="preserve"> = 1 \* ROMAN \* MERGEFORMAT </w:instrText>
      </w:r>
      <w:r>
        <w:rPr>
          <w:rFonts w:hint="eastAsia" w:ascii="宋体" w:hAnsi="宋体" w:eastAsia="仿宋" w:cs="宋体"/>
          <w:sz w:val="28"/>
          <w:szCs w:val="22"/>
        </w:rPr>
        <w:fldChar w:fldCharType="separate"/>
      </w:r>
      <w:r>
        <w:rPr>
          <w:rFonts w:hint="eastAsia" w:ascii="宋体" w:hAnsi="宋体" w:eastAsia="仿宋" w:cs="宋体"/>
          <w:sz w:val="28"/>
          <w:szCs w:val="22"/>
        </w:rPr>
        <w:t>I</w:t>
      </w:r>
      <w:r>
        <w:rPr>
          <w:rFonts w:hint="eastAsia" w:ascii="宋体" w:hAnsi="宋体" w:eastAsia="仿宋" w:cs="宋体"/>
          <w:sz w:val="28"/>
          <w:szCs w:val="22"/>
        </w:rPr>
        <w:fldChar w:fldCharType="end"/>
      </w:r>
      <w:r>
        <w:rPr>
          <w:rFonts w:hint="eastAsia" w:ascii="宋体" w:hAnsi="宋体" w:eastAsia="仿宋" w:cs="宋体"/>
          <w:sz w:val="28"/>
          <w:szCs w:val="22"/>
        </w:rPr>
        <w:t xml:space="preserve">       B   </w:t>
      </w:r>
      <w:r>
        <w:rPr>
          <w:rFonts w:hint="eastAsia" w:ascii="宋体" w:hAnsi="宋体" w:eastAsia="仿宋" w:cs="宋体"/>
          <w:sz w:val="28"/>
          <w:szCs w:val="22"/>
        </w:rPr>
        <w:fldChar w:fldCharType="begin"/>
      </w:r>
      <w:r>
        <w:rPr>
          <w:rFonts w:hint="eastAsia" w:ascii="宋体" w:hAnsi="宋体" w:eastAsia="仿宋" w:cs="宋体"/>
          <w:sz w:val="28"/>
          <w:szCs w:val="22"/>
        </w:rPr>
        <w:instrText xml:space="preserve"> = 2 \* ROMAN \* MERGEFORMAT </w:instrText>
      </w:r>
      <w:r>
        <w:rPr>
          <w:rFonts w:hint="eastAsia" w:ascii="宋体" w:hAnsi="宋体" w:eastAsia="仿宋" w:cs="宋体"/>
          <w:sz w:val="28"/>
          <w:szCs w:val="22"/>
        </w:rPr>
        <w:fldChar w:fldCharType="separate"/>
      </w:r>
      <w:r>
        <w:rPr>
          <w:rFonts w:hint="eastAsia" w:ascii="宋体" w:hAnsi="宋体" w:eastAsia="仿宋" w:cs="宋体"/>
          <w:sz w:val="28"/>
          <w:szCs w:val="22"/>
        </w:rPr>
        <w:t>II</w:t>
      </w:r>
      <w:r>
        <w:rPr>
          <w:rFonts w:hint="eastAsia" w:ascii="宋体" w:hAnsi="宋体" w:eastAsia="仿宋" w:cs="宋体"/>
          <w:sz w:val="28"/>
          <w:szCs w:val="22"/>
        </w:rPr>
        <w:fldChar w:fldCharType="end"/>
      </w:r>
      <w:r>
        <w:rPr>
          <w:rFonts w:hint="eastAsia" w:ascii="宋体" w:hAnsi="宋体" w:eastAsia="仿宋" w:cs="宋体"/>
          <w:sz w:val="28"/>
          <w:szCs w:val="22"/>
        </w:rPr>
        <w:t xml:space="preserve">        C   </w:t>
      </w:r>
      <w:r>
        <w:rPr>
          <w:rFonts w:hint="eastAsia" w:ascii="宋体" w:hAnsi="宋体" w:eastAsia="仿宋" w:cs="宋体"/>
          <w:sz w:val="28"/>
          <w:szCs w:val="22"/>
        </w:rPr>
        <w:fldChar w:fldCharType="begin"/>
      </w:r>
      <w:r>
        <w:rPr>
          <w:rFonts w:hint="eastAsia" w:ascii="宋体" w:hAnsi="宋体" w:eastAsia="仿宋" w:cs="宋体"/>
          <w:sz w:val="28"/>
          <w:szCs w:val="22"/>
        </w:rPr>
        <w:instrText xml:space="preserve"> = 3 \* ROMAN \* MERGEFORMAT </w:instrText>
      </w:r>
      <w:r>
        <w:rPr>
          <w:rFonts w:hint="eastAsia" w:ascii="宋体" w:hAnsi="宋体" w:eastAsia="仿宋" w:cs="宋体"/>
          <w:sz w:val="28"/>
          <w:szCs w:val="22"/>
        </w:rPr>
        <w:fldChar w:fldCharType="separate"/>
      </w:r>
      <w:r>
        <w:rPr>
          <w:rFonts w:hint="eastAsia" w:ascii="宋体" w:hAnsi="宋体" w:eastAsia="仿宋" w:cs="宋体"/>
          <w:sz w:val="28"/>
          <w:szCs w:val="22"/>
        </w:rPr>
        <w:t>III</w:t>
      </w:r>
      <w:r>
        <w:rPr>
          <w:rFonts w:hint="eastAsia" w:ascii="宋体" w:hAnsi="宋体" w:eastAsia="仿宋" w:cs="宋体"/>
          <w:sz w:val="28"/>
          <w:szCs w:val="22"/>
        </w:rPr>
        <w:fldChar w:fldCharType="end"/>
      </w:r>
      <w:r>
        <w:rPr>
          <w:rFonts w:hint="eastAsia" w:ascii="宋体" w:hAnsi="宋体" w:eastAsia="仿宋" w:cs="宋体"/>
          <w:sz w:val="28"/>
          <w:szCs w:val="22"/>
        </w:rPr>
        <w:t xml:space="preserve">       D  </w:t>
      </w:r>
      <w:r>
        <w:rPr>
          <w:rFonts w:hint="eastAsia" w:ascii="宋体" w:hAnsi="宋体" w:eastAsia="仿宋" w:cs="宋体"/>
          <w:sz w:val="28"/>
          <w:szCs w:val="22"/>
        </w:rPr>
        <w:fldChar w:fldCharType="begin"/>
      </w:r>
      <w:r>
        <w:rPr>
          <w:rFonts w:hint="eastAsia" w:ascii="宋体" w:hAnsi="宋体" w:eastAsia="仿宋" w:cs="宋体"/>
          <w:sz w:val="28"/>
          <w:szCs w:val="22"/>
        </w:rPr>
        <w:instrText xml:space="preserve"> = 4 \* ROMAN \* MERGEFORMAT </w:instrText>
      </w:r>
      <w:r>
        <w:rPr>
          <w:rFonts w:hint="eastAsia" w:ascii="宋体" w:hAnsi="宋体" w:eastAsia="仿宋" w:cs="宋体"/>
          <w:sz w:val="28"/>
          <w:szCs w:val="22"/>
        </w:rPr>
        <w:fldChar w:fldCharType="separate"/>
      </w:r>
      <w:r>
        <w:rPr>
          <w:rFonts w:hint="eastAsia" w:ascii="宋体" w:hAnsi="宋体" w:eastAsia="仿宋" w:cs="宋体"/>
          <w:sz w:val="28"/>
          <w:szCs w:val="22"/>
        </w:rPr>
        <w:t>IV</w:t>
      </w:r>
      <w:r>
        <w:rPr>
          <w:rFonts w:hint="eastAsia" w:ascii="宋体" w:hAnsi="宋体" w:eastAsia="仿宋" w:cs="宋体"/>
          <w:sz w:val="28"/>
          <w:szCs w:val="22"/>
        </w:rPr>
        <w:fldChar w:fldCharType="end"/>
      </w:r>
      <w:r>
        <w:rPr>
          <w:rFonts w:hint="eastAsia" w:ascii="宋体" w:hAnsi="宋体" w:eastAsia="仿宋" w:cs="宋体"/>
          <w:sz w:val="28"/>
          <w:szCs w:val="22"/>
        </w:rPr>
        <w:t xml:space="preserve">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90.根据耐久性要求，对裂缝宽度无特殊外观要求的，当保护层设计厚度超过 (  )时，可将厚度取为(  )计算裂缝的最大宽度。(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20,20  B 30,30    C  20,30   D  30,40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91.设计使用年限50年以上的钢筋混凝土构件，其混凝土氯离子含量在各种环境下均不应超过（  ）。GB/T50476-2019第42页</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0.04%   B  0.06%    C  0.08%   D  0.09%</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92、桥梁施工技术规范中总碱含量要求对一般桥涵宜不大于（ ）对特大桥、大桥和重要桥梁宜不大于（ ）。(  )   桥梁施工技术规范第47页</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vertAlign w:val="superscript"/>
        </w:rPr>
      </w:pPr>
      <w:r>
        <w:rPr>
          <w:rFonts w:hint="eastAsia" w:ascii="宋体" w:hAnsi="宋体" w:eastAsia="仿宋" w:cs="宋体"/>
          <w:sz w:val="28"/>
          <w:szCs w:val="22"/>
        </w:rPr>
        <w:t>A  3.0 kg/m</w:t>
      </w:r>
      <w:r>
        <w:rPr>
          <w:rFonts w:hint="eastAsia" w:ascii="宋体" w:hAnsi="宋体" w:eastAsia="仿宋" w:cs="宋体"/>
          <w:sz w:val="28"/>
          <w:szCs w:val="22"/>
          <w:vertAlign w:val="superscript"/>
        </w:rPr>
        <w:t>3</w:t>
      </w:r>
      <w:r>
        <w:rPr>
          <w:rFonts w:hint="eastAsia" w:ascii="宋体" w:hAnsi="宋体" w:eastAsia="仿宋" w:cs="宋体"/>
          <w:sz w:val="28"/>
          <w:szCs w:val="22"/>
        </w:rPr>
        <w:t>,3.0kg/m</w:t>
      </w:r>
      <w:r>
        <w:rPr>
          <w:rFonts w:hint="eastAsia" w:ascii="宋体" w:hAnsi="宋体" w:eastAsia="仿宋" w:cs="宋体"/>
          <w:sz w:val="28"/>
          <w:szCs w:val="22"/>
          <w:vertAlign w:val="superscript"/>
        </w:rPr>
        <w:t xml:space="preserve">3  </w:t>
      </w:r>
      <w:r>
        <w:rPr>
          <w:rFonts w:hint="eastAsia" w:ascii="宋体" w:hAnsi="宋体" w:eastAsia="仿宋" w:cs="宋体"/>
          <w:b/>
          <w:bCs/>
          <w:sz w:val="28"/>
          <w:szCs w:val="22"/>
        </w:rPr>
        <w:t xml:space="preserve"> </w:t>
      </w:r>
      <w:r>
        <w:rPr>
          <w:rFonts w:hint="eastAsia" w:ascii="宋体" w:hAnsi="宋体" w:eastAsia="仿宋" w:cs="宋体"/>
          <w:sz w:val="28"/>
          <w:szCs w:val="22"/>
        </w:rPr>
        <w:t>B</w:t>
      </w:r>
      <w:r>
        <w:rPr>
          <w:rFonts w:hint="eastAsia" w:ascii="宋体" w:hAnsi="宋体" w:eastAsia="仿宋" w:cs="宋体"/>
          <w:b/>
          <w:bCs/>
          <w:sz w:val="28"/>
          <w:szCs w:val="22"/>
        </w:rPr>
        <w:t xml:space="preserve"> </w:t>
      </w:r>
      <w:r>
        <w:rPr>
          <w:rFonts w:hint="eastAsia" w:ascii="宋体" w:hAnsi="宋体" w:eastAsia="仿宋" w:cs="宋体"/>
          <w:sz w:val="28"/>
          <w:szCs w:val="22"/>
        </w:rPr>
        <w:t>2.5kg/m</w:t>
      </w:r>
      <w:r>
        <w:rPr>
          <w:rFonts w:hint="eastAsia" w:ascii="宋体" w:hAnsi="宋体" w:eastAsia="仿宋" w:cs="宋体"/>
          <w:sz w:val="28"/>
          <w:szCs w:val="22"/>
          <w:vertAlign w:val="superscript"/>
        </w:rPr>
        <w:t>3</w:t>
      </w:r>
      <w:r>
        <w:rPr>
          <w:rFonts w:hint="eastAsia" w:ascii="宋体" w:hAnsi="宋体" w:eastAsia="仿宋" w:cs="宋体"/>
          <w:sz w:val="28"/>
          <w:szCs w:val="22"/>
        </w:rPr>
        <w:t>,3.0kg/m</w:t>
      </w:r>
      <w:r>
        <w:rPr>
          <w:rFonts w:hint="eastAsia" w:ascii="宋体" w:hAnsi="宋体" w:eastAsia="仿宋" w:cs="宋体"/>
          <w:sz w:val="28"/>
          <w:szCs w:val="22"/>
          <w:vertAlign w:val="superscript"/>
        </w:rPr>
        <w:t xml:space="preserve">3  </w:t>
      </w:r>
      <w:r>
        <w:rPr>
          <w:rFonts w:hint="eastAsia" w:ascii="宋体" w:hAnsi="宋体" w:eastAsia="仿宋" w:cs="宋体"/>
          <w:sz w:val="28"/>
          <w:szCs w:val="22"/>
        </w:rPr>
        <w:t xml:space="preserve"> C 3.0 kg/m</w:t>
      </w:r>
      <w:r>
        <w:rPr>
          <w:rFonts w:hint="eastAsia" w:ascii="宋体" w:hAnsi="宋体" w:eastAsia="仿宋" w:cs="宋体"/>
          <w:sz w:val="28"/>
          <w:szCs w:val="22"/>
          <w:vertAlign w:val="superscript"/>
        </w:rPr>
        <w:t>3</w:t>
      </w:r>
      <w:r>
        <w:rPr>
          <w:rFonts w:hint="eastAsia" w:ascii="宋体" w:hAnsi="宋体" w:eastAsia="仿宋" w:cs="宋体"/>
          <w:sz w:val="28"/>
          <w:szCs w:val="22"/>
        </w:rPr>
        <w:t>,2.1kg/m</w:t>
      </w:r>
      <w:r>
        <w:rPr>
          <w:rFonts w:hint="eastAsia" w:ascii="宋体" w:hAnsi="宋体" w:eastAsia="仿宋" w:cs="宋体"/>
          <w:sz w:val="28"/>
          <w:szCs w:val="22"/>
          <w:vertAlign w:val="superscript"/>
        </w:rPr>
        <w:t xml:space="preserve">3 </w:t>
      </w:r>
      <w:r>
        <w:rPr>
          <w:rFonts w:hint="eastAsia" w:ascii="宋体" w:hAnsi="宋体" w:eastAsia="仿宋" w:cs="宋体"/>
          <w:sz w:val="28"/>
          <w:szCs w:val="22"/>
        </w:rPr>
        <w:t xml:space="preserve">  D 2.5kg/m</w:t>
      </w:r>
      <w:r>
        <w:rPr>
          <w:rFonts w:hint="eastAsia" w:ascii="宋体" w:hAnsi="宋体" w:eastAsia="仿宋" w:cs="宋体"/>
          <w:sz w:val="28"/>
          <w:szCs w:val="22"/>
          <w:vertAlign w:val="superscript"/>
        </w:rPr>
        <w:t>3</w:t>
      </w:r>
      <w:r>
        <w:rPr>
          <w:rFonts w:hint="eastAsia" w:ascii="宋体" w:hAnsi="宋体" w:eastAsia="仿宋" w:cs="宋体"/>
          <w:sz w:val="28"/>
          <w:szCs w:val="22"/>
        </w:rPr>
        <w:t>,2.0kg/m</w:t>
      </w:r>
      <w:r>
        <w:rPr>
          <w:rFonts w:hint="eastAsia" w:ascii="宋体" w:hAnsi="宋体" w:eastAsia="仿宋" w:cs="宋体"/>
          <w:sz w:val="28"/>
          <w:szCs w:val="22"/>
          <w:vertAlign w:val="superscript"/>
        </w:rPr>
        <w:t>3</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93.T/CECS 02-2020换能器的实测主频与标称频率相差的允许误差应为(  )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±10%      B ±5%   C ±15%      D±8%</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94.按T/CECS 02-2020规范要求，超声平测时,回弹测试应在测区内超声波的发射测点和接收测点之间测读（__）回弹值，并应用剩余（__）有效回弹值计算。(  )  第12页</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10，10          B 16，10      C 10，8     D 16，12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95.依据JGJ/T182-2009规范,锚杆锚固质量检测方法有（  ）  第10页</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A超声法    B透射法  C高应变法    D 声波反射法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96.依据《岩土锚杆（索）技术规程》CECS 22-2005锚杆工程质量检验主控项目中杆体长度允许偏差为（  ）mm     CECS 22-2005第40页</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+100，-30   B +100，-50     C +150,-30    D +150，-50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97.依据GB 50205-2020规范，钢材复验检验批量标准值是根据同批钢材量确定的，同批钢材应由同一牌号、同一质量等级、同一规格、(  )的钢材组成。 第104页</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A同一炉号   B同一批号  C同一交货条件  D同一工艺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98.将设计开挖断面分成左、右两个断面，先开挖隧道一侧， 并施工中隔壁竖向支撑,再开挖另一侧的开挖方法是（  ）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A环形开挖留核心土法    B双侧壁导坑法    C交叉中隔壁法  D中隔壁法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99.依据岩土锚杆（索）技术规程CECS 22-2005，用于岩体加固、地质条件复杂、钻孔后极易塌孔的地层支护，隧道、地下工程或边坡工程长度大于2. 5m的锚杆支护，单锚拉力设计值100~ 350kN应选用以下哪种锚杆（  ）   第48页</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A自钻式中空锚杆和普通中空锚杆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B摩擦型锚杆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C树脂卷锚杆与快硬水泥卷锚杆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D灌浆型预应力锚杆</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100.（  ）是我国现在、将来公路隧道大量采用的断面跨度。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A小跨度隧道  B一般跨度隧道  C中等跨度隧道   D大跨度隧道公</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101.防水板双焊缝焊接质量应采用充气法检查，充气压力在0.25MPa保持（  ）后，压力下降应小于10%。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 15min    B 10min    C12min    D20min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102.隧道施工中，人员接触噪声40h等效声级应不大于（85)dB(A)。洞口位于居民区时，噪声声级限值应不大于(70)dB(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80,70    B 70,70  C 85,70  D80,75</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103.采用钻芯法检测单个构件的混凝土强度，有效芯样数量不得少于（）个，小尺寸构件的芯样不得少于（），按有效芯样试件抗压强度值的（）确定其推定值。(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  6个，4个，平均值   B  6个，4个，最小值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  3个，2个，平均值   D  3个，2个，最小值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104.混凝土发生碳化后，对结构耐久性的不利影响主要是（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A使混凝土的强度降低     B 会导致混凝土裂</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C使混凝土碱度降低，对钢筋保护作用减弱  D降低混凝土的弹性模量</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105.对于批量构件采用回弹法或超声回弹综合法检测混凝土强度,随机抽检数量一般应满足(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A.不少于构件总数的30%且不少于10件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B.不少于构件总数的40%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C.不少于构件总数的40%且不少于10件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D.不少于10件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106.回弹法检测单个一般构件的混凝土强度,要求的测区数量不宜少于(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A.5个  B.10个  C.16个  D.20个</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107.回弹仪在检测前后,均应在洛氏硬度(HRC)为60±2的钢砧上进行率定,率定值应满足(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A.76±2  B.78±2  C.80±2  D.82±2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108.采用回弹法检测混凝土强度,每个测区读取16个回弹值,该测区的回弹平均值为(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A.3个最大值与3个最小值的平均值</w:t>
      </w:r>
    </w:p>
    <w:p>
      <w:pPr>
        <w:keepNext w:val="0"/>
        <w:keepLines w:val="0"/>
        <w:pageBreakBefore w:val="0"/>
        <w:numPr>
          <w:ilvl w:val="0"/>
          <w:numId w:val="5"/>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该测区全部回弹值平均</w:t>
      </w:r>
    </w:p>
    <w:p>
      <w:pPr>
        <w:keepNext w:val="0"/>
        <w:keepLines w:val="0"/>
        <w:pageBreakBefore w:val="0"/>
        <w:numPr>
          <w:ilvl w:val="0"/>
          <w:numId w:val="5"/>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剔除3个最大值与3个最小值后的平均值</w:t>
      </w:r>
    </w:p>
    <w:p>
      <w:pPr>
        <w:keepNext w:val="0"/>
        <w:keepLines w:val="0"/>
        <w:pageBreakBefore w:val="0"/>
        <w:numPr>
          <w:ilvl w:val="0"/>
          <w:numId w:val="5"/>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剔除最大值与最小值后的平均值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109.回弹法检测混凝土强度,回弹测区应优先选择在(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A.能使回弹仪竖直弹击的混凝土浇筑底面</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B.能使回弹仪竖直弹击的混凝土浇筑侧面</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C.能使回弹仪水平弹击的混凝土浇筑底面</w:t>
      </w:r>
    </w:p>
    <w:p>
      <w:pPr>
        <w:keepNext w:val="0"/>
        <w:keepLines w:val="0"/>
        <w:pageBreakBefore w:val="0"/>
        <w:numPr>
          <w:ilvl w:val="255"/>
          <w:numId w:val="0"/>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D.能使回弹仪水平弹击的混凝土浇筑侧面</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110.采用超声回弹综合法检测混凝土强度,现场测试的数据应包括(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A.回弹值和碳化深度                 B.声波波幅和回弹值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C.声时值、回弹值和碳化深度         D.声时值和回弹值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111.采用回弹法并根据全国统一测强曲线计算非泵送混凝土的抗压强度时,该方法适用于(  )的混凝土强度检测。</w:t>
      </w:r>
    </w:p>
    <w:p>
      <w:pPr>
        <w:keepNext w:val="0"/>
        <w:keepLines w:val="0"/>
        <w:pageBreakBefore w:val="0"/>
        <w:numPr>
          <w:ilvl w:val="0"/>
          <w:numId w:val="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龄期无限制、抗压强度为10~50MPa</w:t>
      </w:r>
    </w:p>
    <w:p>
      <w:pPr>
        <w:keepNext w:val="0"/>
        <w:keepLines w:val="0"/>
        <w:pageBreakBefore w:val="0"/>
        <w:numPr>
          <w:ilvl w:val="0"/>
          <w:numId w:val="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龄期7~2000d、抗压强度为10~70MPa</w:t>
      </w:r>
    </w:p>
    <w:p>
      <w:pPr>
        <w:keepNext w:val="0"/>
        <w:keepLines w:val="0"/>
        <w:pageBreakBefore w:val="0"/>
        <w:numPr>
          <w:ilvl w:val="0"/>
          <w:numId w:val="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龄期14~1000d、抗压强度为10~60MPa</w:t>
      </w:r>
    </w:p>
    <w:p>
      <w:pPr>
        <w:keepNext w:val="0"/>
        <w:keepLines w:val="0"/>
        <w:pageBreakBefore w:val="0"/>
        <w:numPr>
          <w:ilvl w:val="0"/>
          <w:numId w:val="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龄期7~1000d、抗压强度为10~60MPa</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112.回弹法测定混凝土强度,碳化深度的测点数不应少于构件测区数的(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A.20%      B.30%       C.40%     D.50%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113.采用钻芯法检测单个构件的混凝土强度,有效芯样数量不得少于( ),小尺寸构件的芯样不得少于();按有效芯样试件抗压强度值的(  )确定其推定值。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A.6个,4个,平均值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B,6个,4个,最小值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C.3个,2个,平均值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D.3个,2个,最小值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114.钻芯法检测混凝土强度,按潮湿状态进行试验时,芯样试件在受压前应(  )。</w:t>
      </w:r>
    </w:p>
    <w:p>
      <w:pPr>
        <w:keepNext w:val="0"/>
        <w:keepLines w:val="0"/>
        <w:pageBreakBefore w:val="0"/>
        <w:numPr>
          <w:ilvl w:val="0"/>
          <w:numId w:val="7"/>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自然干燥3d</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B.在20℃±5℃的清水中浸泡20~24h</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C.在20℃±5℃的清水中浸泡40~48h</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D.在20℃±5℃的清水中浸泡70~72h</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115..桥梁结构混凝土材质强度的评定标度,是根据(  )的取值范围确定的。</w:t>
      </w:r>
    </w:p>
    <w:p>
      <w:pPr>
        <w:keepNext w:val="0"/>
        <w:keepLines w:val="0"/>
        <w:pageBreakBefore w:val="0"/>
        <w:numPr>
          <w:ilvl w:val="0"/>
          <w:numId w:val="8"/>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推定强度匀质系数Kbt和平均强度匀质系数Kbm</w:t>
      </w:r>
    </w:p>
    <w:p>
      <w:pPr>
        <w:keepNext w:val="0"/>
        <w:keepLines w:val="0"/>
        <w:pageBreakBefore w:val="0"/>
        <w:numPr>
          <w:ilvl w:val="0"/>
          <w:numId w:val="8"/>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强度推定值r</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C,强度标准差</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D,测区强度换算值的平均值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116.某涵洞遭受了火灾,为确定火灾后墙身混凝土的强度,可采用(  )进行检测。</w:t>
      </w:r>
    </w:p>
    <w:p>
      <w:pPr>
        <w:keepNext w:val="0"/>
        <w:keepLines w:val="0"/>
        <w:pageBreakBefore w:val="0"/>
        <w:numPr>
          <w:ilvl w:val="0"/>
          <w:numId w:val="9"/>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回弹法  B,超声法  C,超声回弹综合法  D.钻芯法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117.钻芯法标准芯样试件要求其公称直径为()且不宜小于集料最大粒径的();也可采用小直径芯样试件,但其公称直径不宜小于()且不得小于集料最大粒径的()。(   )</w:t>
      </w:r>
    </w:p>
    <w:p>
      <w:pPr>
        <w:keepNext w:val="0"/>
        <w:keepLines w:val="0"/>
        <w:pageBreakBefore w:val="0"/>
        <w:tabs>
          <w:tab w:val="left" w:pos="312"/>
        </w:tabs>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A,70mm,4倍,50mm,3倍      B.100mm,3倍,70mm,2倍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C,100mm,3倍,50mm,2倍     D.70mm,3倍,50mm,2倍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118.使用钻芯法检测混凝土强度,芯样试件的实际高径比应满足(  ),否则测试数据无效。</w:t>
      </w:r>
    </w:p>
    <w:p>
      <w:pPr>
        <w:keepNext w:val="0"/>
        <w:keepLines w:val="0"/>
        <w:pageBreakBefore w:val="0"/>
        <w:numPr>
          <w:ilvl w:val="0"/>
          <w:numId w:val="10"/>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0,85~1.05  B.1,0~1.5  C.0.95~1,05  D.1.5~2.0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119.用半电池电位法检测钢筋锈蚀的方法以电位水平作为判据,判断“有锈蚀活动性,严重锈蚀可能性极大”的电位水平界限是(  )。</w:t>
      </w:r>
    </w:p>
    <w:p>
      <w:pPr>
        <w:keepNext w:val="0"/>
        <w:keepLines w:val="0"/>
        <w:pageBreakBefore w:val="0"/>
        <w:numPr>
          <w:ilvl w:val="0"/>
          <w:numId w:val="1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≥-200mV  B,(~300,-400]mV  C.(-400,-500]mV  D.＞-500mV</w:t>
      </w:r>
    </w:p>
    <w:p>
      <w:pPr>
        <w:keepNext w:val="0"/>
        <w:keepLines w:val="0"/>
        <w:pageBreakBefore w:val="0"/>
        <w:numPr>
          <w:ilvl w:val="255"/>
          <w:numId w:val="0"/>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120.混凝土中氯离子的主要危害是(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A,降低混凝土的强度   B.降低混凝土的弹性模量</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C.加速混凝土的碳化   D.诱发或加速钢筋的锈蚀</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121.单个混凝土构件的氯离子含量测区数量不宜少于(  )个。</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A.2    B,3    C,6    D.10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122.混凝土中钢筋锈蚀电位的检测方法可采用(  )</w:t>
      </w:r>
    </w:p>
    <w:p>
      <w:pPr>
        <w:keepNext w:val="0"/>
        <w:keepLines w:val="0"/>
        <w:pageBreakBefore w:val="0"/>
        <w:numPr>
          <w:ilvl w:val="0"/>
          <w:numId w:val="12"/>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半电池电位法  B.滴定条法  C.四电极法  D,惠斯顿电桥法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123.采用半电池电位法检测混凝土桥梁主要构件的钢筋锈蚀电位,每一测区的测点数不宜少于(  )个。</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A.20  B.15  C.10  D.5</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124.当混凝土氯离子含量(  )时,可判定钢筋锈蚀活化。</w:t>
      </w:r>
    </w:p>
    <w:p>
      <w:pPr>
        <w:keepNext w:val="0"/>
        <w:keepLines w:val="0"/>
        <w:pageBreakBefore w:val="0"/>
        <w:numPr>
          <w:ilvl w:val="0"/>
          <w:numId w:val="13"/>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≥0.20%    B.≥0.50%    C.≥1.00%    D.≥2.00%</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125.采用基于电磁原理的钢筋保护层测试仪进行钢筋位置测试,当探头位于(  )时指示信号最强。</w:t>
      </w:r>
    </w:p>
    <w:p>
      <w:pPr>
        <w:keepNext w:val="0"/>
        <w:keepLines w:val="0"/>
        <w:pageBreakBefore w:val="0"/>
        <w:numPr>
          <w:ilvl w:val="0"/>
          <w:numId w:val="14"/>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与钢筋轴线平行且位于钢筋正上方</w:t>
      </w:r>
    </w:p>
    <w:p>
      <w:pPr>
        <w:keepNext w:val="0"/>
        <w:keepLines w:val="0"/>
        <w:pageBreakBefore w:val="0"/>
        <w:numPr>
          <w:ilvl w:val="0"/>
          <w:numId w:val="14"/>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与钢筋轴线垂直且位于钢筋正上方</w:t>
      </w:r>
    </w:p>
    <w:p>
      <w:pPr>
        <w:keepNext w:val="0"/>
        <w:keepLines w:val="0"/>
        <w:pageBreakBefore w:val="0"/>
        <w:numPr>
          <w:ilvl w:val="0"/>
          <w:numId w:val="14"/>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与钢筋轴线成45°且位于钢筋正上方</w:t>
      </w:r>
    </w:p>
    <w:p>
      <w:pPr>
        <w:keepNext w:val="0"/>
        <w:keepLines w:val="0"/>
        <w:pageBreakBefore w:val="0"/>
        <w:numPr>
          <w:ilvl w:val="0"/>
          <w:numId w:val="14"/>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远离钢筋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126.进行钢筋保护层厚度测试时,在被测钢筋的同一位置应重复读取(  )次数据,且相差不能超过1mm,否则数据无效。</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A.2    B,3    C.5    D.6</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127..在采用钢筋探测仪进行构件混凝土内部钢筋保护层厚度测试时,如出现实测钢筋的根数、位置与设计有较大偏差的情形,以下处理方式正确的是(  )。</w:t>
      </w:r>
    </w:p>
    <w:p>
      <w:pPr>
        <w:keepNext w:val="0"/>
        <w:keepLines w:val="0"/>
        <w:pageBreakBefore w:val="0"/>
        <w:numPr>
          <w:ilvl w:val="0"/>
          <w:numId w:val="15"/>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判定该构件不满足要求</w:t>
      </w:r>
    </w:p>
    <w:p>
      <w:pPr>
        <w:keepNext w:val="0"/>
        <w:keepLines w:val="0"/>
        <w:pageBreakBefore w:val="0"/>
        <w:numPr>
          <w:ilvl w:val="0"/>
          <w:numId w:val="15"/>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如实测钢筋的实际根数多于设计但位置有利,可不做处理</w:t>
      </w:r>
    </w:p>
    <w:p>
      <w:pPr>
        <w:keepNext w:val="0"/>
        <w:keepLines w:val="0"/>
        <w:pageBreakBefore w:val="0"/>
        <w:numPr>
          <w:ilvl w:val="0"/>
          <w:numId w:val="15"/>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应选取不少于30%的已测钢筋,且不少于6处采用钻孔、剔凿等方法验证</w:t>
      </w:r>
    </w:p>
    <w:p>
      <w:pPr>
        <w:keepNext w:val="0"/>
        <w:keepLines w:val="0"/>
        <w:pageBreakBefore w:val="0"/>
        <w:numPr>
          <w:ilvl w:val="0"/>
          <w:numId w:val="15"/>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按抽检数量加倍的方式继续测试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128.测定混凝土电阻率所采用的方法是(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A,半电池电位法    B.滴定条法    C.四电极法    D.超声波法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129.对混凝土桥梁进行电阻率测试,被测构件或部位的测区数不宜少于(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A.5个    B,10个    C.20个    D.30个</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130.下列关于混凝土电阻率测试的叙述,正确的是(  )。</w:t>
      </w:r>
    </w:p>
    <w:p>
      <w:pPr>
        <w:keepNext w:val="0"/>
        <w:keepLines w:val="0"/>
        <w:pageBreakBefore w:val="0"/>
        <w:numPr>
          <w:ilvl w:val="0"/>
          <w:numId w:val="1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混凝上电阻率越大,对结构耐久性越不利</w:t>
      </w:r>
    </w:p>
    <w:p>
      <w:pPr>
        <w:keepNext w:val="0"/>
        <w:keepLines w:val="0"/>
        <w:pageBreakBefore w:val="0"/>
        <w:numPr>
          <w:ilvl w:val="0"/>
          <w:numId w:val="1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混凝土表面湿度不影响电阻率的测试结果</w:t>
      </w:r>
    </w:p>
    <w:p>
      <w:pPr>
        <w:keepNext w:val="0"/>
        <w:keepLines w:val="0"/>
        <w:pageBreakBefore w:val="0"/>
        <w:numPr>
          <w:ilvl w:val="0"/>
          <w:numId w:val="1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混凝土表面碳化不影响电阻率的测试结果</w:t>
      </w:r>
    </w:p>
    <w:p>
      <w:pPr>
        <w:keepNext w:val="0"/>
        <w:keepLines w:val="0"/>
        <w:pageBreakBefore w:val="0"/>
        <w:numPr>
          <w:ilvl w:val="0"/>
          <w:numId w:val="1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一般采用四电极法进行测试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131.混凝土发生碳化后,对结构耐久性的不利影响主要是(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A,使混凝土的强度降低</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B.会导致混凝土开裂</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C.使混凝土碱度降低,对钢筋的保护作用减弱</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D.降低混凝土的弹性模量</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132.下列选项中不能采用非金属超声波探测仪检测的项目是(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A.混凝土内部钢筋锈蚀情况B,混凝土强度C.裂缝深度D.基桩完整性检测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133.超声法检测混凝土结构内部缺陷,是否存在缺陷的判据不包括(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A.声速    B,接收波幅    C.接收频率    D.发射波幅</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134.超声法检测混凝土结构内部缺陷,如采用钻孔法测试,应使用的换能器是(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A.平面换能器    B.径向换能器    C,平板换能器    D.大功率换能器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135.超声检测仪测量声时一般以(  )为单位。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A.s    B.ms    C.us    D·min</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397.进行混凝土碳化深度测试时,每测区应布置(  )个测孔</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A.1    B.2    C.3    D.4</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136.酒精酚酞试剂喷洒在已碳化的混凝土表面,其颜色应为(  )。</w:t>
      </w:r>
    </w:p>
    <w:p>
      <w:pPr>
        <w:keepNext w:val="0"/>
        <w:keepLines w:val="0"/>
        <w:pageBreakBefore w:val="0"/>
        <w:numPr>
          <w:ilvl w:val="0"/>
          <w:numId w:val="17"/>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紫色    B.蓝色    C.黑色    D.不变色</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137.可用于碳化深度检测的酚酞酒精溶剂的浓度为(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A.0.5%~l%    B.1%~2%.    C.5%~10%    D,75%</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138.混凝土桥梁的碳化评定标度是根据(  )确定。</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A.实测碳化深度平均值      B.实测碳化深度最大值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C.实测碳化深度平均值与设计钢筋保护层厚度的比值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D.实测碳化深度平均值与实测钢筋保护层厚度的比值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139.某混凝土构件表面裂缝的预估深度大于500m,且只有一个可测表面时,可采用(  )测试其裂缝深度。</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A.超声对测法B.超声平测法C,超声斜测法D.超声钻孔法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140.在结构混凝土抗压强度检测中，属于无损检测方法的是（）。</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A、钻芯法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B、拉脱法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C、回弹法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D、射击法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141.按规定在回弹仪需要进行率定时，在标准钢砧上率定回弹值应为（）。</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A、60±2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B、80±2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C、60±1</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D、80±1</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142.关于混凝土的电阻率，说法正确的是（）。</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A、钢筋锈蚀速度与混凝土的电阻率成正比。</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B、氯离子增加溶液的导电性，使混凝土的电阻率增大。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C、混凝土碳化使混凝土的孔隙率降低，密实度提高，提高混凝土的电阻率。</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D、降低水灰比和延长养护龄期、提高水泥水化程度可降低混凝土的电阻率。</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143.在进行混凝土结构的无损检测时，正确的检测顺序为（）。</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A、回弹→超声→碳化→锈蚀</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B、超声→回弹→保护层→碳化</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C、电阻率→碳化→超声→回弹</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D、氯离子→锈蚀→超声→保护层</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144.超声法检测结构混凝土裂缝时，当结构的裂缝部位只有一个可测表面时，单面平测法适用于裂缝深度不大于（）的情况。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A、200mm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B、300mm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C、400mm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D、500mm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145.超声法检测时应避免超声传播路径与附近钢筋轴线平行，如无法避免，应使两个换能器连线与该钢筋的最短距离不小于超声测距的（）</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A、1/2</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B、1/3</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C、1/4</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D、1/6</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146.超声法检测混凝土结合面时，构件的被测部位应具有使声波（ ）结合面的测试条件。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A、垂直</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B、斜穿</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C、平行</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D、垂直或斜穿</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147.根据《超声法检测混凝土缺陷技术规程》CECS21:2000的定义，不带波形显示的超声波检测仪（）用于混凝土的超声法检测。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A、不能</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B、可以</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C、经过验证可以</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D、无法确定</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148.依据CECS21:2000规范要求，用于混凝土缺陷检测的超声波检测仪声时最小分度应不大于（ ）μs。</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A、1</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B、0.1</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C、0.01</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D、0.5</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149.混凝土裂缝深度常用的无损检测方法是（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A、尺量法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B、塞尺法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C、显微镜法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D、超声波法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150.超声波在金属材料中传播时，其能量逐步降低的原因是（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A、波束的扩散</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B、波在介质中的散射</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C、介质对波动的粘滞和吸收作用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D、以上都是</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151.超声法检测中，换能器应通过（）与混凝土测试表面保持紧密结合。</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A、胶粘剂</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B、耦合剂</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C、防腐剂</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D、阻锈剂</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152.在高应变动力试桩中，速度信号对桩身缺陷的敏感程度高于力信号主要是因为（）。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A、加速度计的频响特性优于力传感器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B、加速度计的信噪比优于力传感器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C、加速度计只用一个螺栓固定，而力传感器需两个螺栓固定</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D、缺陷引起的拉伸波在桩顶的反射和叠加作用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153.钢筋混凝土预制桩成桩后应休止一定时间才可以开始静载试验，原因是（）。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A、打桩引起的孔隙水压力有待消散</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B、因打桩而被挤实的土体，其强度会随时间而下降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C、桩身混凝土强度会进一步提高</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D、需待周围的桩施工完毕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154.使用千斤顶时会出现荷载量和油压不呈严格的线性关系的状况，这是由于 （）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A、油压的影响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B、活塞摩擦力的影响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C、温度的影响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D、空气的影响</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155.声波透射法是（）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A、反射波法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B、直达波法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C、表面波法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D、折射波法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156.声波透射法所用换能器的振动类型是 （）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A、厚度振动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B、径向振动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C、纵向长度振动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D、横向长度振动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157.钻芯法中，应取受检桩中不同深度位置的混凝土芯样试件抗压强度代表值中的哪个值为该桩混凝土芯样试件抗压强度代表值。（）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B、最小值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C、最大值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D、统计值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 xml:space="preserve">158.有一砼桩，分别采用高应变、低应变和超声波三种方法进行检测，其中以哪种方法测出的桩身波速最小。（）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A、高应变法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B、低应变法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C、超声法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D、不能肯定</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159.采用基于电磁原理的钢筋保护层测试仪进行钢筋位置测试时，当探头位于（   ）时，其指示信号最强。</w:t>
      </w:r>
    </w:p>
    <w:p>
      <w:pPr>
        <w:keepNext w:val="0"/>
        <w:keepLines w:val="0"/>
        <w:pageBreakBefore w:val="0"/>
        <w:numPr>
          <w:ilvl w:val="0"/>
          <w:numId w:val="18"/>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与钢筋轴线平行且位于钢筋正上方     B、与钢筋轴线垂直且位于钢筋正上方</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C、与钢筋轴线成45°且位于钢筋正上方   D、远离钢筋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160.冲击回波法检测混凝土构件的厚度、不密实度及空洞是根据在混凝土表面利用一个短时的机械冲击激发（   ），该波传播到结构内部，被缺陷表面或构件底面反射回来。</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A、电磁波      B、低频冲击弹性波       C、超声波         D、射线</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161.混凝土裂缝深度常用的无损检测方法是（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A、尺量法     B、塞尺法     C、超声波法     D、显微镜法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162.钢筋位置及混凝土保护层厚度检测仪的工作原理是基于（  ）</w:t>
      </w:r>
    </w:p>
    <w:p>
      <w:pPr>
        <w:keepNext w:val="0"/>
        <w:keepLines w:val="0"/>
        <w:pageBreakBefore w:val="0"/>
        <w:numPr>
          <w:ilvl w:val="0"/>
          <w:numId w:val="19"/>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电化学反应   B、超声波透射   C、X射线透射    D、电磁感应</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163.进行钢筋保护层厚度测试时，在被测钢筋的同一位置应重复读取（  ）次数据，且相差不能超过1mm，否则数据无效。</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A、2           B、3            C、5             D、6</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164.采用超声法检测混凝土裂缝时，其中钻孔对测法适用于大体积混凝土，预计深度在（    ）以上的裂缝检测。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A、500mm   B、1000 mm   C、50 mm    D、200 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165.采用超声法检测裂缝深度时，被测裂缝中不得有积水或泥浆等，否则（    ）无明显差异，给裂缝深度判断造成很大困难。</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A、超声首波信号   B、超声波信号   C、超声波波幅    D、超声波声时</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166.在采用钢筋探测仪进行构件混凝土内部钢筋保护层厚度测试时，如出现实测钢筋的根数、位置与设计有较大偏差的情形，以下处理方式正确的是（   ）。</w:t>
      </w:r>
    </w:p>
    <w:p>
      <w:pPr>
        <w:keepNext w:val="0"/>
        <w:keepLines w:val="0"/>
        <w:pageBreakBefore w:val="0"/>
        <w:numPr>
          <w:ilvl w:val="0"/>
          <w:numId w:val="20"/>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判定该构件不满足要求</w:t>
      </w:r>
    </w:p>
    <w:p>
      <w:pPr>
        <w:keepNext w:val="0"/>
        <w:keepLines w:val="0"/>
        <w:pageBreakBefore w:val="0"/>
        <w:numPr>
          <w:ilvl w:val="0"/>
          <w:numId w:val="20"/>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如实测钢筋的实际根数多于设计、位置有利，可以不做处理。</w:t>
      </w:r>
    </w:p>
    <w:p>
      <w:pPr>
        <w:keepNext w:val="0"/>
        <w:keepLines w:val="0"/>
        <w:pageBreakBefore w:val="0"/>
        <w:numPr>
          <w:ilvl w:val="0"/>
          <w:numId w:val="20"/>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应选取不少于30%的已测钢筋，且不少于6处采用钻孔、剔凿等方法验证。</w:t>
      </w:r>
    </w:p>
    <w:p>
      <w:pPr>
        <w:keepNext w:val="0"/>
        <w:keepLines w:val="0"/>
        <w:pageBreakBefore w:val="0"/>
        <w:numPr>
          <w:ilvl w:val="0"/>
          <w:numId w:val="20"/>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按抽检数量加倍的方式继续测试。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167.超声法检测混凝土结构内部缺陷，是否存在缺陷的判定依据不包括（    ）。</w:t>
      </w:r>
    </w:p>
    <w:p>
      <w:pPr>
        <w:keepNext w:val="0"/>
        <w:keepLines w:val="0"/>
        <w:pageBreakBefore w:val="0"/>
        <w:numPr>
          <w:ilvl w:val="0"/>
          <w:numId w:val="21"/>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声速        B、接收波幅       C、接收频率        D、发射波幅</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168.下列选项中，不能采用非金属超声波探测仪检测的项目是（  A   ）。</w:t>
      </w:r>
    </w:p>
    <w:p>
      <w:pPr>
        <w:keepNext w:val="0"/>
        <w:keepLines w:val="0"/>
        <w:pageBreakBefore w:val="0"/>
        <w:numPr>
          <w:ilvl w:val="0"/>
          <w:numId w:val="22"/>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混凝土内部钢筋锈蚀情况        B、混凝土强度</w:t>
      </w:r>
    </w:p>
    <w:p>
      <w:pPr>
        <w:keepNext w:val="0"/>
        <w:keepLines w:val="0"/>
        <w:pageBreakBefore w:val="0"/>
        <w:numPr>
          <w:ilvl w:val="0"/>
          <w:numId w:val="22"/>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裂缝宽度                      D、桩基完整性检测</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169.用超声法检测灌注桩的混凝土质量，当超声波穿过缺陷区域时（    ）。</w:t>
      </w:r>
    </w:p>
    <w:p>
      <w:pPr>
        <w:keepNext w:val="0"/>
        <w:keepLines w:val="0"/>
        <w:pageBreakBefore w:val="0"/>
        <w:numPr>
          <w:ilvl w:val="0"/>
          <w:numId w:val="23"/>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声时增大        B、声时变小       C、频率变大     D、波幅增大</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170.某混凝土构件表面裂缝的预估深度大于500mm，且只有一个可测面，应采用（   ）测试其裂缝深度。</w:t>
      </w:r>
    </w:p>
    <w:p>
      <w:pPr>
        <w:keepNext w:val="0"/>
        <w:keepLines w:val="0"/>
        <w:pageBreakBefore w:val="0"/>
        <w:numPr>
          <w:ilvl w:val="0"/>
          <w:numId w:val="24"/>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对测法          B、平测法         C、斜测法       D、钻孔法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171.当结构的裂缝部位只有一个可测面，预估裂缝深度又不大于（   ）时，可以采用单面平测法。</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A、350mm          B、400mm        C、450mm        D、500mm</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172.超声法检测混凝土结构内部缺陷，采用厚度振动式换能器平测，测距为（ B  ）。</w:t>
      </w:r>
    </w:p>
    <w:p>
      <w:pPr>
        <w:keepNext w:val="0"/>
        <w:keepLines w:val="0"/>
        <w:pageBreakBefore w:val="0"/>
        <w:numPr>
          <w:ilvl w:val="0"/>
          <w:numId w:val="25"/>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两换能器中心的距离           B、两换能器内边缘之间的距离</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C、两换能器外边缘之间的距离     D、两换能器内边缘之间的距离</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173.超声法检测混凝土内部缺陷，在满足首波波幅测度精确的条件下，应尽量选取（   ）。</w:t>
      </w:r>
    </w:p>
    <w:p>
      <w:pPr>
        <w:keepNext w:val="0"/>
        <w:keepLines w:val="0"/>
        <w:pageBreakBefore w:val="0"/>
        <w:numPr>
          <w:ilvl w:val="0"/>
          <w:numId w:val="26"/>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较高频率的换能器  B、较低频率的换能器  C、除A和B之外频率的换能器</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174.调试超声波检测仪时，测得零声时</w:t>
      </w:r>
      <w:r>
        <w:rPr>
          <w:rFonts w:hint="eastAsia" w:ascii="宋体" w:hAnsi="宋体" w:eastAsia="仿宋" w:cs="宋体"/>
          <w:position w:val="-12"/>
          <w:sz w:val="28"/>
          <w:szCs w:val="22"/>
        </w:rPr>
        <w:object>
          <v:shape id="_x0000_i1025" o:spt="75" type="#_x0000_t75" style="height:18pt;width:42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ascii="宋体" w:hAnsi="宋体" w:eastAsia="仿宋" w:cs="宋体"/>
          <w:sz w:val="28"/>
          <w:szCs w:val="22"/>
        </w:rPr>
        <w:t>，某测点测距为30cm，仪器显示声时为</w:t>
      </w:r>
      <w:r>
        <w:rPr>
          <w:rFonts w:hint="eastAsia" w:ascii="宋体" w:hAnsi="宋体" w:eastAsia="仿宋" w:cs="宋体"/>
          <w:position w:val="-10"/>
          <w:sz w:val="28"/>
          <w:szCs w:val="22"/>
        </w:rPr>
        <w:object>
          <v:shape id="_x0000_i1026" o:spt="75" type="#_x0000_t75" style="height:15.75pt;width:32.2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eastAsia="仿宋" w:cs="宋体"/>
          <w:sz w:val="28"/>
          <w:szCs w:val="22"/>
        </w:rPr>
        <w:t>，则该测点超声波传播的声速为（  B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A、2857m/s        B、3000m/s        C、3200m/s       D、3500m/s</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175.锚杆锚固质量无损检测仪应（    ）年检定或校准一次。</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A、半年     B、1年     C、2年    D、3个月</w:t>
      </w:r>
    </w:p>
    <w:p>
      <w:pPr>
        <w:keepNext w:val="0"/>
        <w:keepLines w:val="0"/>
        <w:pageBreakBefore w:val="0"/>
        <w:widowControl/>
        <w:shd w:val="clear" w:color="auto" w:fill="FFFFFF"/>
        <w:kinsoku/>
        <w:wordWrap/>
        <w:overflowPunct/>
        <w:topLinePunct w:val="0"/>
        <w:bidi w:val="0"/>
        <w:spacing w:line="360" w:lineRule="auto"/>
        <w:ind w:left="0" w:firstLine="0" w:firstLineChars="0"/>
        <w:jc w:val="left"/>
        <w:textAlignment w:val="auto"/>
        <w:rPr>
          <w:rFonts w:ascii="宋体" w:hAnsi="宋体" w:eastAsia="仿宋" w:cs="宋体"/>
          <w:kern w:val="0"/>
          <w:sz w:val="28"/>
          <w:szCs w:val="22"/>
        </w:rPr>
      </w:pPr>
      <w:r>
        <w:rPr>
          <w:rFonts w:hint="eastAsia" w:ascii="宋体" w:hAnsi="宋体" w:eastAsia="仿宋" w:cs="宋体"/>
          <w:kern w:val="0"/>
          <w:sz w:val="28"/>
          <w:szCs w:val="22"/>
        </w:rPr>
        <w:t>176.按照《锚杆锚固质量无损检测技术规程》JGJT 182-2009中锚固密实度评判标准，锚杆锚固质量等级为“C”的波形特征描述正确的是（ ）。</w:t>
      </w:r>
    </w:p>
    <w:p>
      <w:pPr>
        <w:keepNext w:val="0"/>
        <w:keepLines w:val="0"/>
        <w:pageBreakBefore w:val="0"/>
        <w:widowControl/>
        <w:shd w:val="clear" w:color="auto" w:fill="FFFFFF"/>
        <w:kinsoku/>
        <w:wordWrap/>
        <w:overflowPunct/>
        <w:topLinePunct w:val="0"/>
        <w:bidi w:val="0"/>
        <w:spacing w:line="360" w:lineRule="auto"/>
        <w:ind w:left="0" w:firstLine="0" w:firstLineChars="0"/>
        <w:jc w:val="left"/>
        <w:textAlignment w:val="auto"/>
        <w:rPr>
          <w:rFonts w:ascii="宋体" w:hAnsi="宋体" w:eastAsia="仿宋" w:cs="宋体"/>
          <w:kern w:val="0"/>
          <w:sz w:val="28"/>
          <w:szCs w:val="22"/>
        </w:rPr>
      </w:pPr>
      <w:r>
        <w:rPr>
          <w:rFonts w:hint="eastAsia" w:ascii="宋体" w:hAnsi="宋体" w:eastAsia="仿宋" w:cs="宋体"/>
          <w:kern w:val="0"/>
          <w:sz w:val="28"/>
          <w:szCs w:val="22"/>
        </w:rPr>
        <w:t>A.波形较规则，呈较快速衰减，持续时间短。</w:t>
      </w:r>
    </w:p>
    <w:p>
      <w:pPr>
        <w:keepNext w:val="0"/>
        <w:keepLines w:val="0"/>
        <w:pageBreakBefore w:val="0"/>
        <w:widowControl/>
        <w:shd w:val="clear" w:color="auto" w:fill="FFFFFF"/>
        <w:kinsoku/>
        <w:wordWrap/>
        <w:overflowPunct/>
        <w:topLinePunct w:val="0"/>
        <w:bidi w:val="0"/>
        <w:spacing w:line="360" w:lineRule="auto"/>
        <w:ind w:left="0" w:firstLine="0" w:firstLineChars="0"/>
        <w:jc w:val="left"/>
        <w:textAlignment w:val="auto"/>
        <w:rPr>
          <w:rFonts w:ascii="宋体" w:hAnsi="宋体" w:eastAsia="仿宋" w:cs="宋体"/>
          <w:kern w:val="0"/>
          <w:sz w:val="28"/>
          <w:szCs w:val="22"/>
        </w:rPr>
      </w:pPr>
      <w:r>
        <w:rPr>
          <w:rFonts w:hint="eastAsia" w:ascii="宋体" w:hAnsi="宋体" w:eastAsia="仿宋" w:cs="宋体"/>
          <w:kern w:val="0"/>
          <w:sz w:val="28"/>
          <w:szCs w:val="22"/>
        </w:rPr>
        <w:t>B.波形欠规则，呈逐步衰减或间歇衰减趋势形态，持续时间较长。</w:t>
      </w:r>
    </w:p>
    <w:p>
      <w:pPr>
        <w:keepNext w:val="0"/>
        <w:keepLines w:val="0"/>
        <w:pageBreakBefore w:val="0"/>
        <w:widowControl/>
        <w:shd w:val="clear" w:color="auto" w:fill="FFFFFF"/>
        <w:kinsoku/>
        <w:wordWrap/>
        <w:overflowPunct/>
        <w:topLinePunct w:val="0"/>
        <w:bidi w:val="0"/>
        <w:spacing w:line="360" w:lineRule="auto"/>
        <w:ind w:left="0" w:firstLine="0" w:firstLineChars="0"/>
        <w:jc w:val="left"/>
        <w:textAlignment w:val="auto"/>
        <w:rPr>
          <w:rFonts w:ascii="宋体" w:hAnsi="宋体" w:eastAsia="仿宋" w:cs="宋体"/>
          <w:kern w:val="0"/>
          <w:sz w:val="28"/>
          <w:szCs w:val="22"/>
        </w:rPr>
      </w:pPr>
      <w:r>
        <w:rPr>
          <w:rFonts w:hint="eastAsia" w:ascii="宋体" w:hAnsi="宋体" w:eastAsia="仿宋" w:cs="宋体"/>
          <w:kern w:val="0"/>
          <w:sz w:val="28"/>
          <w:szCs w:val="22"/>
        </w:rPr>
        <w:t>C.波形规则，呈指数快速衰减，持续时间短。</w:t>
      </w:r>
    </w:p>
    <w:p>
      <w:pPr>
        <w:keepNext w:val="0"/>
        <w:keepLines w:val="0"/>
        <w:pageBreakBefore w:val="0"/>
        <w:widowControl/>
        <w:shd w:val="clear" w:color="auto" w:fill="FFFFFF"/>
        <w:kinsoku/>
        <w:wordWrap/>
        <w:overflowPunct/>
        <w:topLinePunct w:val="0"/>
        <w:bidi w:val="0"/>
        <w:spacing w:line="360" w:lineRule="auto"/>
        <w:ind w:left="0" w:firstLine="0" w:firstLineChars="0"/>
        <w:jc w:val="left"/>
        <w:textAlignment w:val="auto"/>
        <w:rPr>
          <w:rFonts w:ascii="宋体" w:hAnsi="宋体" w:eastAsia="仿宋" w:cs="宋体"/>
          <w:kern w:val="0"/>
          <w:sz w:val="28"/>
          <w:szCs w:val="22"/>
        </w:rPr>
      </w:pPr>
      <w:r>
        <w:rPr>
          <w:rFonts w:hint="eastAsia" w:ascii="宋体" w:hAnsi="宋体" w:eastAsia="仿宋" w:cs="宋体"/>
          <w:kern w:val="0"/>
          <w:sz w:val="28"/>
          <w:szCs w:val="22"/>
        </w:rPr>
        <w:t>D.波形不规则，呈慢速衰减或间歇增强后衰减形态，持续时间长。</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kern w:val="0"/>
          <w:sz w:val="28"/>
          <w:szCs w:val="22"/>
        </w:rPr>
      </w:pPr>
      <w:r>
        <w:rPr>
          <w:rFonts w:hint="eastAsia" w:ascii="宋体" w:hAnsi="宋体" w:eastAsia="仿宋" w:cs="宋体"/>
          <w:kern w:val="0"/>
          <w:sz w:val="28"/>
          <w:szCs w:val="22"/>
        </w:rPr>
        <w:t xml:space="preserve">177.根据《锚杆锚固质量无损检测技术规程》JGJT 182-2009，锚杆长度检测时利用了波的（ </w:t>
      </w:r>
      <w:r>
        <w:rPr>
          <w:rFonts w:hint="eastAsia" w:ascii="宋体" w:hAnsi="宋体" w:eastAsia="仿宋" w:cs="宋体"/>
          <w:sz w:val="28"/>
          <w:szCs w:val="22"/>
        </w:rPr>
        <w:t xml:space="preserve"> </w:t>
      </w:r>
      <w:r>
        <w:rPr>
          <w:rFonts w:hint="eastAsia" w:ascii="宋体" w:hAnsi="宋体" w:eastAsia="仿宋" w:cs="宋体"/>
          <w:kern w:val="0"/>
          <w:sz w:val="28"/>
          <w:szCs w:val="22"/>
        </w:rPr>
        <w:t xml:space="preserve"> ）特性。</w:t>
      </w:r>
    </w:p>
    <w:p>
      <w:pPr>
        <w:keepNext w:val="0"/>
        <w:keepLines w:val="0"/>
        <w:pageBreakBefore w:val="0"/>
        <w:widowControl/>
        <w:shd w:val="clear" w:color="auto" w:fill="FFFFFF"/>
        <w:kinsoku/>
        <w:wordWrap/>
        <w:overflowPunct/>
        <w:topLinePunct w:val="0"/>
        <w:bidi w:val="0"/>
        <w:spacing w:line="360" w:lineRule="auto"/>
        <w:ind w:left="0" w:firstLine="0" w:firstLineChars="0"/>
        <w:jc w:val="left"/>
        <w:textAlignment w:val="auto"/>
        <w:rPr>
          <w:rFonts w:ascii="宋体" w:hAnsi="宋体" w:eastAsia="仿宋" w:cs="宋体"/>
          <w:kern w:val="0"/>
          <w:sz w:val="28"/>
          <w:szCs w:val="22"/>
        </w:rPr>
      </w:pPr>
      <w:r>
        <w:rPr>
          <w:rFonts w:hint="eastAsia" w:ascii="宋体" w:hAnsi="宋体" w:eastAsia="仿宋" w:cs="宋体"/>
          <w:kern w:val="0"/>
          <w:sz w:val="28"/>
          <w:szCs w:val="22"/>
        </w:rPr>
        <w:t>A.反射     B.衍射    C.绕射    D.折射</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178.依据</w:t>
      </w:r>
      <w:r>
        <w:rPr>
          <w:rFonts w:hint="eastAsia" w:ascii="宋体" w:hAnsi="宋体" w:eastAsia="仿宋" w:cs="宋体"/>
          <w:kern w:val="0"/>
          <w:sz w:val="28"/>
          <w:szCs w:val="22"/>
        </w:rPr>
        <w:t>《锚杆锚固质量无损检测技术规程》JGJT 182-2009对单根锚杆锚固质量无损检测进行分级评判，当密实度为C级，且长度合格时，其锚固质量等级为</w:t>
      </w:r>
      <w:r>
        <w:rPr>
          <w:rFonts w:hint="eastAsia" w:ascii="宋体" w:hAnsi="宋体" w:eastAsia="仿宋" w:cs="宋体"/>
          <w:sz w:val="28"/>
          <w:szCs w:val="22"/>
        </w:rPr>
        <w:t>（  C  ）。</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A、Ⅰ     B、Ⅱ     C、Ⅲ    D、Ⅳ</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179.下面哪些领域不适合红外成像法的检测？（  ）</w:t>
      </w:r>
    </w:p>
    <w:p>
      <w:pPr>
        <w:keepNext w:val="0"/>
        <w:keepLines w:val="0"/>
        <w:pageBreakBefore w:val="0"/>
        <w:numPr>
          <w:ilvl w:val="0"/>
          <w:numId w:val="27"/>
        </w:numPr>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隧道衬砌检测   B、外墙饰面层剥离检测   C、变压器漏电   D、外墙保温隔热效果</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180.锚杆长度的计算中，杆底反射波与杆端入射波首波（  ）的时间差即为杆底反射时差，若多次杆底反射信号，则应取各次时差的平均值。</w:t>
      </w:r>
    </w:p>
    <w:p>
      <w:pPr>
        <w:keepNext w:val="0"/>
        <w:keepLines w:val="0"/>
        <w:pageBreakBefore w:val="0"/>
        <w:kinsoku/>
        <w:wordWrap/>
        <w:overflowPunct/>
        <w:topLinePunct w:val="0"/>
        <w:bidi w:val="0"/>
        <w:spacing w:line="360" w:lineRule="auto"/>
        <w:ind w:left="0" w:firstLine="0" w:firstLineChars="0"/>
        <w:jc w:val="left"/>
        <w:textAlignment w:val="auto"/>
        <w:rPr>
          <w:rFonts w:ascii="宋体" w:hAnsi="宋体" w:eastAsia="仿宋" w:cs="宋体"/>
          <w:sz w:val="28"/>
          <w:szCs w:val="22"/>
        </w:rPr>
      </w:pPr>
      <w:r>
        <w:rPr>
          <w:rFonts w:hint="eastAsia" w:ascii="宋体" w:hAnsi="宋体" w:eastAsia="仿宋" w:cs="宋体"/>
          <w:sz w:val="28"/>
          <w:szCs w:val="22"/>
        </w:rPr>
        <w:t>A、波峰间     B、波谷间     C、波峰-波谷间    D、波谷-波峰间</w:t>
      </w:r>
    </w:p>
    <w:p>
      <w:pPr>
        <w:keepNext w:val="0"/>
        <w:keepLines w:val="0"/>
        <w:pageBreakBefore w:val="0"/>
        <w:kinsoku/>
        <w:wordWrap/>
        <w:overflowPunct/>
        <w:topLinePunct w:val="0"/>
        <w:bidi w:val="0"/>
        <w:spacing w:line="360" w:lineRule="auto"/>
        <w:ind w:left="0" w:firstLine="0" w:firstLineChars="0"/>
        <w:jc w:val="left"/>
        <w:textAlignment w:val="auto"/>
        <w:rPr>
          <w:rFonts w:hint="eastAsia" w:ascii="宋体" w:hAnsi="宋体" w:eastAsia="宋体" w:cs="宋体"/>
          <w:b/>
          <w:bCs/>
          <w:spacing w:val="20"/>
          <w:kern w:val="0"/>
          <w:sz w:val="28"/>
          <w:szCs w:val="22"/>
        </w:rPr>
      </w:pPr>
      <w:r>
        <w:rPr>
          <w:rFonts w:hint="eastAsia" w:ascii="宋体" w:hAnsi="宋体" w:eastAsia="宋体" w:cs="宋体"/>
          <w:b/>
          <w:bCs/>
          <w:spacing w:val="20"/>
          <w:kern w:val="0"/>
          <w:sz w:val="28"/>
          <w:szCs w:val="22"/>
          <w:lang w:eastAsia="zh-CN"/>
        </w:rPr>
        <w:t>（</w:t>
      </w:r>
      <w:r>
        <w:rPr>
          <w:rFonts w:hint="eastAsia" w:ascii="宋体" w:hAnsi="宋体" w:eastAsia="宋体" w:cs="宋体"/>
          <w:b/>
          <w:bCs/>
          <w:spacing w:val="20"/>
          <w:kern w:val="0"/>
          <w:sz w:val="28"/>
          <w:szCs w:val="22"/>
          <w:lang w:val="en-US" w:eastAsia="zh-CN"/>
        </w:rPr>
        <w:t>二</w:t>
      </w:r>
      <w:r>
        <w:rPr>
          <w:rFonts w:hint="eastAsia" w:ascii="宋体" w:hAnsi="宋体" w:eastAsia="宋体" w:cs="宋体"/>
          <w:b/>
          <w:bCs/>
          <w:spacing w:val="20"/>
          <w:kern w:val="0"/>
          <w:sz w:val="28"/>
          <w:szCs w:val="22"/>
          <w:lang w:eastAsia="zh-CN"/>
        </w:rPr>
        <w:t>）</w:t>
      </w:r>
      <w:r>
        <w:rPr>
          <w:rFonts w:hint="eastAsia" w:ascii="宋体" w:hAnsi="宋体" w:eastAsia="宋体" w:cs="宋体"/>
          <w:b/>
          <w:bCs/>
          <w:spacing w:val="20"/>
          <w:kern w:val="0"/>
          <w:sz w:val="28"/>
          <w:szCs w:val="22"/>
        </w:rPr>
        <w:t>多项选择</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1.作业区域内根据具体作业内容和作业要求进行防护，并按“上游（   ），下游过渡区、终止区”设置防护区。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A.过渡区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B.缓冲区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C.警告区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D.作业区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2.现场养护作业人员均应配备（    ）以及防滑鞋等基本劳动防护用品，按照相关安全规范佩戴使用，并应按有效使用时间定期更换。</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A.安全帽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B.反光背心或反光工作服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C.帆布手套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D.以上全错</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3.作业区交通标志是为养护作业而临时设置的交通标志，主要有（    ）等。</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A.警告标志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B.禁令标志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C.指示标志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D.作业区标志</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4.养护安全标志和设施主要有（    ）以及作业隔离墩和防撞桶（墙）等。</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A.渠化装置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B.锥形交通路标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C.安全带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D.路栏</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5.沥青路面的养护工作分为（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A.日常巡视与检查</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B.预防养护</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C.应急养护</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D.专项养护</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6.道路养护作业占用行车道断面时，为保障作业区外车辆通行有序，需对车辆（    ）采取强制性的管理。</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A.行驶速度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B.路线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C.方向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kern w:val="0"/>
          <w:sz w:val="28"/>
          <w:szCs w:val="22"/>
        </w:rPr>
      </w:pPr>
      <w:r>
        <w:rPr>
          <w:rFonts w:hint="eastAsia" w:ascii="宋体" w:hAnsi="宋体" w:eastAsia="仿宋" w:cs="宋体"/>
          <w:sz w:val="28"/>
          <w:szCs w:val="22"/>
        </w:rPr>
        <w:t>D.以上全错</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kern w:val="0"/>
          <w:sz w:val="28"/>
          <w:szCs w:val="22"/>
        </w:rPr>
        <w:t>7.</w:t>
      </w:r>
      <w:r>
        <w:rPr>
          <w:rFonts w:hint="eastAsia" w:ascii="宋体" w:hAnsi="宋体" w:eastAsia="仿宋" w:cs="宋体"/>
          <w:sz w:val="28"/>
          <w:szCs w:val="22"/>
        </w:rPr>
        <w:t>高等级公路特别是山区高等级公路的边坡病害是路基最常见病害之一，通常有：崩坍、落石、（   ）等。</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A.滑坡</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B.坡面冲刷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C.坍塌</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D.剥落</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8.常用的沟渠加固类型（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A.草皮式</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B.筑捣式</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C.干砌式和浆砌式</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D.砖砌</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9.局部发生翻浆的路段，不能采用打(  )的方法予以改善。</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A.砂桩</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B.水泥砂砾桩</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C.粉喷桩</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D.预制桩</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10.（  ）可用于路基边坡整形。</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A.推土机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B.铲运机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C.平地机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D.挖掘机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11.理想的筑路用土是（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A.粘土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B.亚砂土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C.亚粘土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D.膨胀土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12.路基施工时要满足（    ）的基本要求。</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A.设计断面尺寸</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B.强度</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C.整体稳定性</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D.纵断面高程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13.挖方路基常用的机械有（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A.推土机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B.装载机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C.运土车</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D.压路机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14.路基防护与加固设施，主要包括（  ）三大类。</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A.坡面防护工程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B.冲刷防护工程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C.支挡防护工程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D.排水工程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15.对于不适宜草本生长的较陡岩石边坡，可以采用（ ）等防护方法进行工程防护。</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A.抹面</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B.网格</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C.二灰土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D.砂浆</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16.石砌挡土墙按开采与加工程度分为（  ）三种。</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A.片石</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B.块石</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C.细料石</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D.料石</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17.浆砌原理是利用砂浆胶结砌体材料，使之成为整体而组成人工构筑物，一般有（ ）多种。</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A.坐浆法</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B.抹浆法</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C.灌浆法</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D.挤浆法</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18.路基养护工作的主要内容之一为有计划地（  ）以逐步提高其技术标准和服务水平。</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A.局部加宽路基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B.改善急弯、陡坡和视距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C.局部加高路基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D.改善照明设施</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19.地面排水设施通常有边沟、跌水、（ ）等。</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A.截水沟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B.洞式渗沟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C.拦水带</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D.排水沟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20.排水沟渠加固类型选择与(   )有关。</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A.土质</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B.水流速度</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C.沟底纵坡</w:t>
      </w:r>
      <w:r>
        <w:rPr>
          <w:rFonts w:hint="eastAsia" w:ascii="宋体" w:hAnsi="宋体" w:eastAsia="仿宋" w:cs="宋体"/>
          <w:sz w:val="28"/>
          <w:szCs w:val="22"/>
        </w:rPr>
        <w:tab/>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D.断面形状</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21.高速公路移动作业主要包括（    ）及道路检测等。</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A.人工捡拾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B.除雪作业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C.机械清扫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D.保洁作业</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22.不适于开挖整段边沟的施工机械是（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A.推土机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B.平地机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C.铣刨机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D.挖掘机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23.泥石流对路基的危害主要是通过（  ）等方式造成。</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A.堵塞</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B.淤埋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C.冲刷</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D.撞击</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24.针对路堤沉陷变形，应采取相应处理方法，常用有（  ）几种。</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A.填换土层法</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B.固化剂法</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C.预压法</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D.打桩加固法</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25.土路肩的杂物有（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A.沙</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B.碎石</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C.纸屑</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D.树叶</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E.泥土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26.路肩杂物的清除方法的是（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A.铲除</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B.扫除</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C.修理</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D.机械清除</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E.风吹</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27.路肩边缘缺口的维修方法有（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A.石块铺砌</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B.预制块铺砌</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C.沙</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D.粘土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E.铺草皮</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28.路基路肩的加固类型有（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A.草皮</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B.种树</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C.沙浆铺砌</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D.沥青表处</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E.粘土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29.何种形式（ ）的边沟不能防止路基旁侧堆雪，不适宜用于积雪地区的路基。</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A.流线型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B.梯型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C.三角型</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D.凹型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30.不能通过设置（ ）以降低地下水位，截断地下水潜流，使路基保持干燥。</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A.截水沟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B.排水沟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C.盲沟</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pacing w:val="20"/>
          <w:kern w:val="0"/>
          <w:sz w:val="28"/>
          <w:szCs w:val="22"/>
        </w:rPr>
      </w:pPr>
      <w:r>
        <w:rPr>
          <w:rFonts w:hint="eastAsia" w:ascii="宋体" w:hAnsi="宋体" w:eastAsia="仿宋" w:cs="宋体"/>
          <w:sz w:val="28"/>
          <w:szCs w:val="22"/>
        </w:rPr>
        <w:t xml:space="preserve">D.暗沟 </w:t>
      </w:r>
    </w:p>
    <w:p>
      <w:pPr>
        <w:keepNext w:val="0"/>
        <w:keepLines w:val="0"/>
        <w:pageBreakBefore w:val="0"/>
        <w:kinsoku/>
        <w:wordWrap/>
        <w:overflowPunct/>
        <w:topLinePunct w:val="0"/>
        <w:bidi w:val="0"/>
        <w:spacing w:line="360" w:lineRule="auto"/>
        <w:ind w:left="0" w:firstLine="0" w:firstLineChars="0"/>
        <w:jc w:val="left"/>
        <w:textAlignment w:val="auto"/>
        <w:rPr>
          <w:rFonts w:hint="eastAsia" w:ascii="宋体" w:hAnsi="宋体" w:eastAsia="宋体" w:cs="宋体"/>
          <w:b/>
          <w:bCs/>
          <w:spacing w:val="20"/>
          <w:kern w:val="0"/>
          <w:sz w:val="28"/>
          <w:szCs w:val="22"/>
        </w:rPr>
      </w:pPr>
      <w:r>
        <w:rPr>
          <w:rFonts w:hint="eastAsia" w:ascii="宋体" w:hAnsi="宋体" w:eastAsia="宋体" w:cs="宋体"/>
          <w:b/>
          <w:bCs/>
          <w:spacing w:val="20"/>
          <w:kern w:val="0"/>
          <w:sz w:val="28"/>
          <w:szCs w:val="22"/>
          <w:lang w:eastAsia="zh-CN"/>
        </w:rPr>
        <w:t>（</w:t>
      </w:r>
      <w:r>
        <w:rPr>
          <w:rFonts w:hint="eastAsia" w:ascii="宋体" w:hAnsi="宋体" w:eastAsia="宋体" w:cs="宋体"/>
          <w:b/>
          <w:bCs/>
          <w:spacing w:val="20"/>
          <w:kern w:val="0"/>
          <w:sz w:val="28"/>
          <w:szCs w:val="22"/>
          <w:lang w:val="en-US" w:eastAsia="zh-CN"/>
        </w:rPr>
        <w:t>三</w:t>
      </w:r>
      <w:r>
        <w:rPr>
          <w:rFonts w:hint="eastAsia" w:ascii="宋体" w:hAnsi="宋体" w:eastAsia="宋体" w:cs="宋体"/>
          <w:b/>
          <w:bCs/>
          <w:spacing w:val="20"/>
          <w:kern w:val="0"/>
          <w:sz w:val="28"/>
          <w:szCs w:val="22"/>
          <w:lang w:eastAsia="zh-CN"/>
        </w:rPr>
        <w:t>）</w:t>
      </w:r>
      <w:r>
        <w:rPr>
          <w:rFonts w:hint="eastAsia" w:ascii="宋体" w:hAnsi="宋体" w:eastAsia="宋体" w:cs="宋体"/>
          <w:b/>
          <w:bCs/>
          <w:spacing w:val="20"/>
          <w:kern w:val="0"/>
          <w:sz w:val="28"/>
          <w:szCs w:val="22"/>
        </w:rPr>
        <w:t>判断题</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1.当回弹仪率定值超出80士2的范围时,应按T/CECS 02-2020规定对回弹仪进行检定或保养。( )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2.单项或单元工程的整体锚杆检测抽样率不应低于总锚杆数的10%.  ( )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3.单根锚杆检测的有效波形记录不应少于2个，且一致性较好。( )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4.锚杆密度度检测时，当波形较规则，呈较快速衰减，持续时间较短，评价质量等级为A级。（ )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5.对于杆体长度不小于设计长度的95%、且不足长度不超过0.5m的锚杆，可评定锚杆长度合格。（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6.当锚固密实度达到C级以上，应评定锚固密实度合格。（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7.依据《岩土锚杆（索）技术规程》CECS 22-2005验收试验的锚杆数量不得少于锚杆总数的5%,且不得少于3根。对有特殊要求的工程,可按设计要求增加验收锚杆的数量。（ ）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8.钢构件组装中，焊接H型钢的翼缘板拼接长度不应小于2倍翼缘板宽且不小于500mm（ ）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9.公路隧道施工技术规范JTG/T3660-2020适用于以钻爆法为主要开挖手段的隧道施工。（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10.当岩层完整、岩石抗压强度大于30MPa并确认不影响衬砌结构稳定和强度时，每1m</w:t>
      </w:r>
      <w:r>
        <w:rPr>
          <w:rFonts w:hint="eastAsia" w:ascii="宋体" w:hAnsi="宋体" w:eastAsia="仿宋" w:cs="宋体"/>
          <w:sz w:val="28"/>
          <w:szCs w:val="22"/>
          <w:vertAlign w:val="superscript"/>
        </w:rPr>
        <w:t xml:space="preserve">2 </w:t>
      </w:r>
      <w:r>
        <w:rPr>
          <w:rFonts w:hint="eastAsia" w:ascii="宋体" w:hAnsi="宋体" w:eastAsia="仿宋" w:cs="宋体"/>
          <w:sz w:val="28"/>
          <w:szCs w:val="22"/>
        </w:rPr>
        <w:t>内欠挖面积不宜大于0.1m</w:t>
      </w:r>
      <w:r>
        <w:rPr>
          <w:rFonts w:hint="eastAsia" w:ascii="宋体" w:hAnsi="宋体" w:eastAsia="仿宋" w:cs="宋体"/>
          <w:sz w:val="28"/>
          <w:szCs w:val="22"/>
          <w:vertAlign w:val="superscript"/>
        </w:rPr>
        <w:t>2</w:t>
      </w:r>
      <w:r>
        <w:rPr>
          <w:rFonts w:hint="eastAsia" w:ascii="宋体" w:hAnsi="宋体" w:eastAsia="仿宋" w:cs="宋体"/>
          <w:sz w:val="28"/>
          <w:szCs w:val="22"/>
        </w:rPr>
        <w:t>，欠挖隆起量不得大于5cm。（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11.超声法不适用于深度超过500mm的裂缝深度检测。（ ）</w:t>
      </w:r>
    </w:p>
    <w:p>
      <w:pPr>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12.采用地质雷达对隧道衬砌质量进行检查时，分段测量相邻测量段接头重复长度不应小于0.5m(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13.钢筋探测仪的工作原理是基于电磁感应,因此该仪器比较适用于含有铁磁性物质的混凝土内部的钢筋检测。(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14.钢筋探测仪在进行混凝土内部钢筋探测前,应将探头放置于金属标准块上调零。(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15.采用钢筋探测仪检测混凝土内部的钢筋直径时,每根钢筋重复检测2次,第二次检测时探头应旋转180°。(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16.在进行混凝土中钢筋保护层以及直径检测时,为提高准确性,应尽量在钢筋交叉部位进行测量。(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17.使用钢筋探测仪检测混凝土中钢筋的保护层厚度,当实际保护层厚度小于仪器的最小厚度探测范围时,则该方法不可用。(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18.回弹法检测混凝土强度,在计算测区回弹值时,应先进行浇筑面修正,然后进行角度修正。(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19.对某构件采用回弹法检测混凝土抗压强度,如测区数少于10个,该构件的混凝土强度推定值取各测区中最小的混凝土强度换算值。(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20.在钢管混凝土缺陷检测中，超声波法仅适用于管壁与混凝土胶结良好的钢管混凝土缺陷检测。（）</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21.裂缝检测时，每条裂缝应至少布设3组观测标志，其中一组应在裂缝的最宽处，另两组应分别在裂缝的末端。（）</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22.超声法检测混凝土缺陷时，测位混凝土表面应清洁、平整，必要时可用砂轮磨平或用高强度的快凝砂浆抹平。抹平砂浆必须与混凝土粘结良好。（）</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23.构件的潮湿不会影响超声法检测混凝土缺陷的结果。（）</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24.无损检测的方法不可用于推定混凝土强度。（）</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25.无损检测技术以不损坏被测物体的内部结构、受力性能为前提，检测物体内部或表面的物理性能、状态特性以及内部结构。（）</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26无损检测由于属直接测试，检测结果受许多因素的影响，检测精度和可靠性低于破坏性试验。（）</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27.纵波、横波和表面波是根据介质质点运动速度和波的传播方向来区分的。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 xml:space="preserve">28.高应变检测桩较短时，可用低应变法确定高应变的平均波速。 （）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29不同标号的混凝土波速一般不同，标号越高且浇筑情况越好，混凝土波速一般越高。（  ）</w:t>
      </w:r>
    </w:p>
    <w:p>
      <w:pPr>
        <w:pStyle w:val="9"/>
        <w:keepNext w:val="0"/>
        <w:keepLines w:val="0"/>
        <w:pageBreakBefore w:val="0"/>
        <w:kinsoku/>
        <w:wordWrap/>
        <w:overflowPunct/>
        <w:topLinePunct w:val="0"/>
        <w:bidi w:val="0"/>
        <w:spacing w:line="360" w:lineRule="auto"/>
        <w:ind w:left="0" w:firstLine="0" w:firstLineChars="0"/>
        <w:textAlignment w:val="auto"/>
        <w:rPr>
          <w:rFonts w:ascii="宋体" w:hAnsi="宋体" w:eastAsia="仿宋" w:cs="宋体"/>
          <w:sz w:val="28"/>
          <w:szCs w:val="22"/>
        </w:rPr>
      </w:pPr>
      <w:r>
        <w:rPr>
          <w:rFonts w:hint="eastAsia" w:ascii="宋体" w:hAnsi="宋体" w:eastAsia="仿宋" w:cs="宋体"/>
          <w:sz w:val="28"/>
          <w:szCs w:val="22"/>
        </w:rPr>
        <w:t>30.IE法测试混凝土强度时不需要知道测试对象厚度信息。（  ）</w:t>
      </w:r>
    </w:p>
    <w:p>
      <w:pPr>
        <w:pStyle w:val="9"/>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left"/>
        <w:textAlignment w:val="auto"/>
        <w:rPr>
          <w:rFonts w:hint="eastAsia" w:ascii="宋体" w:hAnsi="宋体" w:eastAsia="宋体" w:cs="宋体"/>
          <w:i w:val="0"/>
          <w:iCs w:val="0"/>
          <w:color w:val="000000"/>
          <w:kern w:val="0"/>
          <w:sz w:val="36"/>
          <w:szCs w:val="36"/>
          <w:u w:val="none"/>
          <w:lang w:val="en-US" w:eastAsia="zh-CN" w:bidi="ar"/>
        </w:rPr>
      </w:pPr>
      <w:r>
        <w:rPr>
          <w:rFonts w:hint="eastAsia" w:ascii="方正小标宋简体" w:hAnsi="方正小标宋简体" w:eastAsia="方正小标宋简体" w:cs="方正小标宋简体"/>
          <w:sz w:val="32"/>
          <w:szCs w:val="32"/>
          <w:lang w:val="en-US" w:eastAsia="zh-CN"/>
        </w:rPr>
        <w:t>实操竞赛</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566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序号</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题目类型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操作</w:t>
            </w:r>
          </w:p>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时长（h）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1</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混凝土裂缝动态监测</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2</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zh-CN" w:eastAsia="zh-CN" w:bidi="ar"/>
              </w:rPr>
            </w:pPr>
            <w:r>
              <w:rPr>
                <w:rFonts w:hint="default" w:ascii="宋体" w:hAnsi="宋体" w:eastAsia="宋体" w:cs="宋体"/>
                <w:i w:val="0"/>
                <w:iCs w:val="0"/>
                <w:color w:val="000000"/>
                <w:kern w:val="0"/>
                <w:sz w:val="36"/>
                <w:szCs w:val="36"/>
                <w:u w:val="none"/>
                <w:lang w:val="en-US" w:eastAsia="zh-CN" w:bidi="ar"/>
              </w:rPr>
              <w:t>红外线热成像检测</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3</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zh-CN" w:eastAsia="zh-CN" w:bidi="ar"/>
              </w:rPr>
            </w:pPr>
            <w:r>
              <w:rPr>
                <w:rFonts w:hint="default" w:ascii="宋体" w:hAnsi="宋体" w:eastAsia="宋体" w:cs="宋体"/>
                <w:i w:val="0"/>
                <w:iCs w:val="0"/>
                <w:color w:val="000000"/>
                <w:kern w:val="0"/>
                <w:sz w:val="36"/>
                <w:szCs w:val="36"/>
                <w:u w:val="none"/>
                <w:lang w:val="en-US" w:eastAsia="zh-CN" w:bidi="ar"/>
              </w:rPr>
              <w:t>磁致伸缩检测</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4</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default" w:ascii="宋体" w:hAnsi="宋体" w:eastAsia="宋体" w:cs="宋体"/>
                <w:i w:val="0"/>
                <w:iCs w:val="0"/>
                <w:color w:val="000000"/>
                <w:kern w:val="0"/>
                <w:sz w:val="36"/>
                <w:szCs w:val="36"/>
                <w:u w:val="none"/>
                <w:lang w:val="en-US" w:eastAsia="zh-CN" w:bidi="ar"/>
              </w:rPr>
              <w:t>光纤传感检测</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5</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反拉法检测有效预应力</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6</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default" w:ascii="宋体" w:hAnsi="宋体" w:eastAsia="宋体" w:cs="宋体"/>
                <w:i w:val="0"/>
                <w:iCs w:val="0"/>
                <w:color w:val="000000"/>
                <w:kern w:val="0"/>
                <w:sz w:val="36"/>
                <w:szCs w:val="36"/>
                <w:u w:val="none"/>
                <w:lang w:val="en-US" w:eastAsia="zh-CN" w:bidi="ar"/>
              </w:rPr>
              <w:t>超声波层析成像测试</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7</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default" w:ascii="宋体" w:hAnsi="宋体" w:eastAsia="宋体" w:cs="宋体"/>
                <w:i w:val="0"/>
                <w:iCs w:val="0"/>
                <w:color w:val="000000"/>
                <w:kern w:val="0"/>
                <w:sz w:val="36"/>
                <w:szCs w:val="36"/>
                <w:u w:val="none"/>
                <w:lang w:val="en-US" w:eastAsia="zh-CN" w:bidi="ar"/>
              </w:rPr>
              <w:t>微波辐射检测混凝土结构缺陷</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8</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default" w:ascii="宋体" w:hAnsi="宋体" w:eastAsia="宋体" w:cs="宋体"/>
                <w:i w:val="0"/>
                <w:iCs w:val="0"/>
                <w:color w:val="000000"/>
                <w:kern w:val="0"/>
                <w:sz w:val="36"/>
                <w:szCs w:val="36"/>
                <w:u w:val="none"/>
                <w:lang w:val="en-US" w:eastAsia="zh-CN" w:bidi="ar"/>
              </w:rPr>
              <w:t>数字射线检测钢结构缺陷</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9</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default" w:ascii="宋体" w:hAnsi="宋体" w:eastAsia="宋体" w:cs="宋体"/>
                <w:i w:val="0"/>
                <w:iCs w:val="0"/>
                <w:color w:val="000000"/>
                <w:kern w:val="0"/>
                <w:sz w:val="36"/>
                <w:szCs w:val="36"/>
                <w:u w:val="none"/>
                <w:lang w:val="en-US" w:eastAsia="zh-CN" w:bidi="ar"/>
              </w:rPr>
              <w:t>磁粉探伤检测</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10</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default" w:ascii="宋体" w:hAnsi="宋体" w:eastAsia="宋体" w:cs="宋体"/>
                <w:i w:val="0"/>
                <w:iCs w:val="0"/>
                <w:color w:val="000000"/>
                <w:kern w:val="0"/>
                <w:sz w:val="36"/>
                <w:szCs w:val="36"/>
                <w:u w:val="none"/>
                <w:lang w:val="en-US" w:eastAsia="zh-CN" w:bidi="ar"/>
              </w:rPr>
              <w:t>电阻率测试土壤和混凝土中的含水量和密度</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11</w:t>
            </w:r>
          </w:p>
        </w:tc>
        <w:tc>
          <w:tcPr>
            <w:tcW w:w="566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default" w:ascii="宋体" w:hAnsi="宋体" w:eastAsia="宋体" w:cs="宋体"/>
                <w:i w:val="0"/>
                <w:iCs w:val="0"/>
                <w:color w:val="000000"/>
                <w:kern w:val="0"/>
                <w:sz w:val="36"/>
                <w:szCs w:val="36"/>
                <w:u w:val="none"/>
                <w:lang w:val="en-US" w:eastAsia="zh-CN" w:bidi="ar"/>
              </w:rPr>
              <w:t>光渗透检测用混凝土材料中的裂缝和毛细孔</w:t>
            </w:r>
          </w:p>
        </w:tc>
        <w:tc>
          <w:tcPr>
            <w:tcW w:w="155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6" w:type="dxa"/>
            <w:gridSpan w:val="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合计</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6</w:t>
            </w:r>
          </w:p>
        </w:tc>
      </w:tr>
    </w:tbl>
    <w:p>
      <w:pPr>
        <w:spacing w:beforeLines="50" w:line="360" w:lineRule="auto"/>
        <w:ind w:left="108"/>
        <w:rPr>
          <w:sz w:val="22"/>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w:altName w:val="Times New Roman"/>
    <w:panose1 w:val="02040603050705020303"/>
    <w:charset w:val="00"/>
    <w:family w:val="roman"/>
    <w:pitch w:val="default"/>
    <w:sig w:usb0="00000000" w:usb1="00000000" w:usb2="00000000" w:usb3="00000000" w:csb0="00000001" w:csb1="00000000"/>
  </w:font>
  <w:font w:name="MS Mincho">
    <w:altName w:val="Kozuka Mincho Pro M"/>
    <w:panose1 w:val="02020609040205080304"/>
    <w:charset w:val="80"/>
    <w:family w:val="moder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Kozuka Mincho Pro M">
    <w:panose1 w:val="02020600000000000000"/>
    <w:charset w:val="80"/>
    <w:family w:val="auto"/>
    <w:pitch w:val="default"/>
    <w:sig w:usb0="00000083" w:usb1="2AC71C11" w:usb2="00000012" w:usb3="00000000" w:csb0="20020005"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体-简">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47CC6"/>
    <w:multiLevelType w:val="singleLevel"/>
    <w:tmpl w:val="99C47CC6"/>
    <w:lvl w:ilvl="0" w:tentative="0">
      <w:start w:val="1"/>
      <w:numFmt w:val="upperLetter"/>
      <w:suff w:val="nothing"/>
      <w:lvlText w:val="%1、"/>
      <w:lvlJc w:val="left"/>
    </w:lvl>
  </w:abstractNum>
  <w:abstractNum w:abstractNumId="1">
    <w:nsid w:val="A28BFA95"/>
    <w:multiLevelType w:val="singleLevel"/>
    <w:tmpl w:val="A28BFA95"/>
    <w:lvl w:ilvl="0" w:tentative="0">
      <w:start w:val="1"/>
      <w:numFmt w:val="upperLetter"/>
      <w:lvlText w:val="%1."/>
      <w:lvlJc w:val="left"/>
      <w:pPr>
        <w:tabs>
          <w:tab w:val="left" w:pos="312"/>
        </w:tabs>
        <w:ind w:left="420" w:firstLine="0"/>
      </w:pPr>
    </w:lvl>
  </w:abstractNum>
  <w:abstractNum w:abstractNumId="2">
    <w:nsid w:val="A5B13DA3"/>
    <w:multiLevelType w:val="singleLevel"/>
    <w:tmpl w:val="A5B13DA3"/>
    <w:lvl w:ilvl="0" w:tentative="0">
      <w:start w:val="1"/>
      <w:numFmt w:val="upperLetter"/>
      <w:lvlText w:val="%1."/>
      <w:lvlJc w:val="left"/>
      <w:pPr>
        <w:tabs>
          <w:tab w:val="left" w:pos="312"/>
        </w:tabs>
        <w:ind w:left="140" w:firstLine="0"/>
      </w:pPr>
    </w:lvl>
  </w:abstractNum>
  <w:abstractNum w:abstractNumId="3">
    <w:nsid w:val="AD5D1CE2"/>
    <w:multiLevelType w:val="singleLevel"/>
    <w:tmpl w:val="AD5D1CE2"/>
    <w:lvl w:ilvl="0" w:tentative="0">
      <w:start w:val="1"/>
      <w:numFmt w:val="upperLetter"/>
      <w:suff w:val="nothing"/>
      <w:lvlText w:val="%1、"/>
      <w:lvlJc w:val="left"/>
    </w:lvl>
  </w:abstractNum>
  <w:abstractNum w:abstractNumId="4">
    <w:nsid w:val="B02A488A"/>
    <w:multiLevelType w:val="singleLevel"/>
    <w:tmpl w:val="B02A488A"/>
    <w:lvl w:ilvl="0" w:tentative="0">
      <w:start w:val="1"/>
      <w:numFmt w:val="upperLetter"/>
      <w:lvlText w:val="%1."/>
      <w:lvlJc w:val="left"/>
      <w:pPr>
        <w:tabs>
          <w:tab w:val="left" w:pos="312"/>
        </w:tabs>
        <w:ind w:left="140" w:firstLine="0"/>
      </w:pPr>
    </w:lvl>
  </w:abstractNum>
  <w:abstractNum w:abstractNumId="5">
    <w:nsid w:val="C0780619"/>
    <w:multiLevelType w:val="singleLevel"/>
    <w:tmpl w:val="C0780619"/>
    <w:lvl w:ilvl="0" w:tentative="0">
      <w:start w:val="1"/>
      <w:numFmt w:val="decimal"/>
      <w:suff w:val="nothing"/>
      <w:lvlText w:val="%1、"/>
      <w:lvlJc w:val="left"/>
      <w:pPr>
        <w:ind w:left="284" w:firstLine="0"/>
      </w:pPr>
    </w:lvl>
  </w:abstractNum>
  <w:abstractNum w:abstractNumId="6">
    <w:nsid w:val="D8F161F8"/>
    <w:multiLevelType w:val="singleLevel"/>
    <w:tmpl w:val="D8F161F8"/>
    <w:lvl w:ilvl="0" w:tentative="0">
      <w:start w:val="1"/>
      <w:numFmt w:val="upperLetter"/>
      <w:suff w:val="nothing"/>
      <w:lvlText w:val="%1、"/>
      <w:lvlJc w:val="left"/>
    </w:lvl>
  </w:abstractNum>
  <w:abstractNum w:abstractNumId="7">
    <w:nsid w:val="DDBD54DC"/>
    <w:multiLevelType w:val="singleLevel"/>
    <w:tmpl w:val="DDBD54DC"/>
    <w:lvl w:ilvl="0" w:tentative="0">
      <w:start w:val="1"/>
      <w:numFmt w:val="upperLetter"/>
      <w:suff w:val="nothing"/>
      <w:lvlText w:val="%1、"/>
      <w:lvlJc w:val="left"/>
    </w:lvl>
  </w:abstractNum>
  <w:abstractNum w:abstractNumId="8">
    <w:nsid w:val="DEAF6834"/>
    <w:multiLevelType w:val="singleLevel"/>
    <w:tmpl w:val="DEAF6834"/>
    <w:lvl w:ilvl="0" w:tentative="0">
      <w:start w:val="1"/>
      <w:numFmt w:val="upperLetter"/>
      <w:lvlText w:val="%1."/>
      <w:lvlJc w:val="left"/>
      <w:pPr>
        <w:tabs>
          <w:tab w:val="left" w:pos="312"/>
        </w:tabs>
        <w:ind w:left="140" w:firstLine="0"/>
      </w:pPr>
    </w:lvl>
  </w:abstractNum>
  <w:abstractNum w:abstractNumId="9">
    <w:nsid w:val="E5B3A818"/>
    <w:multiLevelType w:val="singleLevel"/>
    <w:tmpl w:val="E5B3A818"/>
    <w:lvl w:ilvl="0" w:tentative="0">
      <w:start w:val="1"/>
      <w:numFmt w:val="upperLetter"/>
      <w:lvlText w:val="%1."/>
      <w:lvlJc w:val="left"/>
      <w:pPr>
        <w:tabs>
          <w:tab w:val="left" w:pos="312"/>
        </w:tabs>
      </w:pPr>
    </w:lvl>
  </w:abstractNum>
  <w:abstractNum w:abstractNumId="10">
    <w:nsid w:val="EACC3D31"/>
    <w:multiLevelType w:val="singleLevel"/>
    <w:tmpl w:val="EACC3D31"/>
    <w:lvl w:ilvl="0" w:tentative="0">
      <w:start w:val="2"/>
      <w:numFmt w:val="upperLetter"/>
      <w:lvlText w:val="%1."/>
      <w:lvlJc w:val="left"/>
      <w:pPr>
        <w:tabs>
          <w:tab w:val="left" w:pos="312"/>
        </w:tabs>
      </w:pPr>
    </w:lvl>
  </w:abstractNum>
  <w:abstractNum w:abstractNumId="11">
    <w:nsid w:val="FEE6A3FC"/>
    <w:multiLevelType w:val="singleLevel"/>
    <w:tmpl w:val="FEE6A3FC"/>
    <w:lvl w:ilvl="0" w:tentative="0">
      <w:start w:val="1"/>
      <w:numFmt w:val="upperLetter"/>
      <w:suff w:val="nothing"/>
      <w:lvlText w:val="%1、"/>
      <w:lvlJc w:val="left"/>
    </w:lvl>
  </w:abstractNum>
  <w:abstractNum w:abstractNumId="12">
    <w:nsid w:val="045B36EF"/>
    <w:multiLevelType w:val="singleLevel"/>
    <w:tmpl w:val="045B36EF"/>
    <w:lvl w:ilvl="0" w:tentative="0">
      <w:start w:val="1"/>
      <w:numFmt w:val="upperLetter"/>
      <w:suff w:val="nothing"/>
      <w:lvlText w:val="%1、"/>
      <w:lvlJc w:val="left"/>
    </w:lvl>
  </w:abstractNum>
  <w:abstractNum w:abstractNumId="13">
    <w:nsid w:val="289037CB"/>
    <w:multiLevelType w:val="singleLevel"/>
    <w:tmpl w:val="289037CB"/>
    <w:lvl w:ilvl="0" w:tentative="0">
      <w:start w:val="1"/>
      <w:numFmt w:val="upperLetter"/>
      <w:suff w:val="nothing"/>
      <w:lvlText w:val="%1、"/>
      <w:lvlJc w:val="left"/>
    </w:lvl>
  </w:abstractNum>
  <w:abstractNum w:abstractNumId="14">
    <w:nsid w:val="2AF94AB7"/>
    <w:multiLevelType w:val="singleLevel"/>
    <w:tmpl w:val="2AF94AB7"/>
    <w:lvl w:ilvl="0" w:tentative="0">
      <w:start w:val="1"/>
      <w:numFmt w:val="upperLetter"/>
      <w:lvlText w:val="%1."/>
      <w:lvlJc w:val="left"/>
      <w:pPr>
        <w:tabs>
          <w:tab w:val="left" w:pos="312"/>
        </w:tabs>
        <w:ind w:left="280" w:firstLine="0"/>
      </w:pPr>
    </w:lvl>
  </w:abstractNum>
  <w:abstractNum w:abstractNumId="15">
    <w:nsid w:val="5A921BC9"/>
    <w:multiLevelType w:val="singleLevel"/>
    <w:tmpl w:val="5A921BC9"/>
    <w:lvl w:ilvl="0" w:tentative="0">
      <w:start w:val="1"/>
      <w:numFmt w:val="upperLetter"/>
      <w:lvlText w:val="%1."/>
      <w:lvlJc w:val="left"/>
      <w:pPr>
        <w:tabs>
          <w:tab w:val="left" w:pos="312"/>
        </w:tabs>
      </w:pPr>
    </w:lvl>
  </w:abstractNum>
  <w:abstractNum w:abstractNumId="16">
    <w:nsid w:val="5A9224C4"/>
    <w:multiLevelType w:val="singleLevel"/>
    <w:tmpl w:val="5A9224C4"/>
    <w:lvl w:ilvl="0" w:tentative="0">
      <w:start w:val="1"/>
      <w:numFmt w:val="upperLetter"/>
      <w:lvlText w:val="%1."/>
      <w:lvlJc w:val="left"/>
      <w:pPr>
        <w:tabs>
          <w:tab w:val="left" w:pos="312"/>
        </w:tabs>
      </w:pPr>
    </w:lvl>
  </w:abstractNum>
  <w:abstractNum w:abstractNumId="17">
    <w:nsid w:val="5A922BB7"/>
    <w:multiLevelType w:val="singleLevel"/>
    <w:tmpl w:val="5A922BB7"/>
    <w:lvl w:ilvl="0" w:tentative="0">
      <w:start w:val="1"/>
      <w:numFmt w:val="upperLetter"/>
      <w:lvlText w:val="%1."/>
      <w:lvlJc w:val="left"/>
      <w:pPr>
        <w:tabs>
          <w:tab w:val="left" w:pos="312"/>
        </w:tabs>
      </w:pPr>
    </w:lvl>
  </w:abstractNum>
  <w:abstractNum w:abstractNumId="18">
    <w:nsid w:val="5D079A0F"/>
    <w:multiLevelType w:val="singleLevel"/>
    <w:tmpl w:val="5D079A0F"/>
    <w:lvl w:ilvl="0" w:tentative="0">
      <w:start w:val="1"/>
      <w:numFmt w:val="upperLetter"/>
      <w:lvlText w:val="%1."/>
      <w:lvlJc w:val="left"/>
      <w:pPr>
        <w:tabs>
          <w:tab w:val="left" w:pos="312"/>
        </w:tabs>
        <w:ind w:left="140" w:firstLine="0"/>
      </w:pPr>
    </w:lvl>
  </w:abstractNum>
  <w:abstractNum w:abstractNumId="19">
    <w:nsid w:val="5E96BD59"/>
    <w:multiLevelType w:val="singleLevel"/>
    <w:tmpl w:val="5E96BD59"/>
    <w:lvl w:ilvl="0" w:tentative="0">
      <w:start w:val="1"/>
      <w:numFmt w:val="upperLetter"/>
      <w:suff w:val="nothing"/>
      <w:lvlText w:val="%1、"/>
      <w:lvlJc w:val="left"/>
    </w:lvl>
  </w:abstractNum>
  <w:abstractNum w:abstractNumId="20">
    <w:nsid w:val="62116C6F"/>
    <w:multiLevelType w:val="singleLevel"/>
    <w:tmpl w:val="62116C6F"/>
    <w:lvl w:ilvl="0" w:tentative="0">
      <w:start w:val="1"/>
      <w:numFmt w:val="upperLetter"/>
      <w:lvlText w:val="%1."/>
      <w:lvlJc w:val="left"/>
      <w:pPr>
        <w:tabs>
          <w:tab w:val="left" w:pos="312"/>
        </w:tabs>
        <w:ind w:left="280" w:firstLine="0"/>
      </w:pPr>
    </w:lvl>
  </w:abstractNum>
  <w:abstractNum w:abstractNumId="21">
    <w:nsid w:val="63DF3D63"/>
    <w:multiLevelType w:val="singleLevel"/>
    <w:tmpl w:val="63DF3D63"/>
    <w:lvl w:ilvl="0" w:tentative="0">
      <w:start w:val="1"/>
      <w:numFmt w:val="upperLetter"/>
      <w:lvlText w:val="%1."/>
      <w:lvlJc w:val="left"/>
      <w:pPr>
        <w:tabs>
          <w:tab w:val="left" w:pos="312"/>
        </w:tabs>
        <w:ind w:left="280" w:firstLine="0"/>
      </w:pPr>
    </w:lvl>
  </w:abstractNum>
  <w:abstractNum w:abstractNumId="22">
    <w:nsid w:val="64DF3694"/>
    <w:multiLevelType w:val="singleLevel"/>
    <w:tmpl w:val="64DF3694"/>
    <w:lvl w:ilvl="0" w:tentative="0">
      <w:start w:val="1"/>
      <w:numFmt w:val="upperLetter"/>
      <w:suff w:val="nothing"/>
      <w:lvlText w:val="%1、"/>
      <w:lvlJc w:val="left"/>
      <w:rPr>
        <w:color w:val="000000" w:themeColor="text1"/>
      </w:rPr>
    </w:lvl>
  </w:abstractNum>
  <w:abstractNum w:abstractNumId="23">
    <w:nsid w:val="70B87671"/>
    <w:multiLevelType w:val="singleLevel"/>
    <w:tmpl w:val="70B87671"/>
    <w:lvl w:ilvl="0" w:tentative="0">
      <w:start w:val="1"/>
      <w:numFmt w:val="upperLetter"/>
      <w:suff w:val="nothing"/>
      <w:lvlText w:val="%1、"/>
      <w:lvlJc w:val="left"/>
      <w:rPr>
        <w:color w:val="000000" w:themeColor="text1"/>
      </w:rPr>
    </w:lvl>
  </w:abstractNum>
  <w:abstractNum w:abstractNumId="24">
    <w:nsid w:val="7510119F"/>
    <w:multiLevelType w:val="singleLevel"/>
    <w:tmpl w:val="7510119F"/>
    <w:lvl w:ilvl="0" w:tentative="0">
      <w:start w:val="1"/>
      <w:numFmt w:val="upperLetter"/>
      <w:lvlText w:val="%1."/>
      <w:lvlJc w:val="left"/>
      <w:pPr>
        <w:tabs>
          <w:tab w:val="left" w:pos="312"/>
        </w:tabs>
        <w:ind w:left="140" w:firstLine="0"/>
      </w:pPr>
    </w:lvl>
  </w:abstractNum>
  <w:abstractNum w:abstractNumId="25">
    <w:nsid w:val="76758575"/>
    <w:multiLevelType w:val="singleLevel"/>
    <w:tmpl w:val="76758575"/>
    <w:lvl w:ilvl="0" w:tentative="0">
      <w:start w:val="1"/>
      <w:numFmt w:val="upperLetter"/>
      <w:lvlText w:val="%1."/>
      <w:lvlJc w:val="left"/>
      <w:pPr>
        <w:tabs>
          <w:tab w:val="left" w:pos="312"/>
        </w:tabs>
      </w:pPr>
    </w:lvl>
  </w:abstractNum>
  <w:abstractNum w:abstractNumId="26">
    <w:nsid w:val="7BDFA8E8"/>
    <w:multiLevelType w:val="singleLevel"/>
    <w:tmpl w:val="7BDFA8E8"/>
    <w:lvl w:ilvl="0" w:tentative="0">
      <w:start w:val="1"/>
      <w:numFmt w:val="upperLetter"/>
      <w:lvlText w:val="%1."/>
      <w:lvlJc w:val="left"/>
      <w:pPr>
        <w:tabs>
          <w:tab w:val="left" w:pos="312"/>
        </w:tabs>
        <w:ind w:left="140" w:firstLine="0"/>
      </w:pPr>
    </w:lvl>
  </w:abstractNum>
  <w:num w:numId="1">
    <w:abstractNumId w:val="5"/>
  </w:num>
  <w:num w:numId="2">
    <w:abstractNumId w:val="16"/>
  </w:num>
  <w:num w:numId="3">
    <w:abstractNumId w:val="15"/>
  </w:num>
  <w:num w:numId="4">
    <w:abstractNumId w:val="17"/>
  </w:num>
  <w:num w:numId="5">
    <w:abstractNumId w:val="10"/>
  </w:num>
  <w:num w:numId="6">
    <w:abstractNumId w:val="2"/>
  </w:num>
  <w:num w:numId="7">
    <w:abstractNumId w:val="8"/>
  </w:num>
  <w:num w:numId="8">
    <w:abstractNumId w:val="14"/>
  </w:num>
  <w:num w:numId="9">
    <w:abstractNumId w:val="4"/>
  </w:num>
  <w:num w:numId="10">
    <w:abstractNumId w:val="24"/>
  </w:num>
  <w:num w:numId="11">
    <w:abstractNumId w:val="18"/>
  </w:num>
  <w:num w:numId="12">
    <w:abstractNumId w:val="26"/>
  </w:num>
  <w:num w:numId="13">
    <w:abstractNumId w:val="21"/>
  </w:num>
  <w:num w:numId="14">
    <w:abstractNumId w:val="25"/>
  </w:num>
  <w:num w:numId="15">
    <w:abstractNumId w:val="20"/>
  </w:num>
  <w:num w:numId="16">
    <w:abstractNumId w:val="9"/>
  </w:num>
  <w:num w:numId="17">
    <w:abstractNumId w:val="1"/>
  </w:num>
  <w:num w:numId="18">
    <w:abstractNumId w:val="3"/>
  </w:num>
  <w:num w:numId="19">
    <w:abstractNumId w:val="12"/>
  </w:num>
  <w:num w:numId="20">
    <w:abstractNumId w:val="6"/>
  </w:num>
  <w:num w:numId="21">
    <w:abstractNumId w:val="23"/>
  </w:num>
  <w:num w:numId="22">
    <w:abstractNumId w:val="13"/>
  </w:num>
  <w:num w:numId="23">
    <w:abstractNumId w:val="11"/>
  </w:num>
  <w:num w:numId="24">
    <w:abstractNumId w:val="0"/>
  </w:num>
  <w:num w:numId="25">
    <w:abstractNumId w:val="22"/>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M3N2RkNTgzYjEyMzgxMTA3MzdjMDE5OGUxYjA3NGMifQ=="/>
  </w:docVars>
  <w:rsids>
    <w:rsidRoot w:val="000228BC"/>
    <w:rsid w:val="000228BC"/>
    <w:rsid w:val="002A43E7"/>
    <w:rsid w:val="23AD1B74"/>
    <w:rsid w:val="274A6DDF"/>
    <w:rsid w:val="43290586"/>
    <w:rsid w:val="6F152DFC"/>
    <w:rsid w:val="72F66875"/>
    <w:rsid w:val="73B94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entury" w:hAnsi="Century" w:eastAsia="MS Mincho"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uiPriority w:val="0"/>
    <w:rPr>
      <w:rFonts w:ascii="宋体" w:hAnsi="Courier New"/>
      <w:kern w:val="0"/>
      <w:sz w:val="20"/>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line="340" w:lineRule="atLeast"/>
      <w:ind w:firstLine="420"/>
      <w:jc w:val="left"/>
    </w:pPr>
    <w:rPr>
      <w:rFonts w:hint="eastAsia" w:ascii="宋体" w:hAnsi="宋体" w:eastAsia="宋体" w:cs="宋体"/>
      <w:spacing w:val="20"/>
      <w:kern w:val="0"/>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99"/>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14618</Words>
  <Characters>17241</Characters>
  <Lines>154</Lines>
  <Paragraphs>43</Paragraphs>
  <TotalTime>1</TotalTime>
  <ScaleCrop>false</ScaleCrop>
  <LinksUpToDate>false</LinksUpToDate>
  <CharactersWithSpaces>20872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2023-04-01T02:07:00Z</dcterms:created>
  <dc:creator>86180</dc:creator>
  <cp:lastModifiedBy>HP</cp:lastModifiedBy>
  <dcterms:modified xsi:type="dcterms:W3CDTF">2023-04-04T02:35:24Z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5841F4D01A7C416C8264C2A9985BD1DF_12</vt:lpwstr>
  </property>
</Properties>
</file>