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3DC2A">
      <w:pPr>
        <w:keepNext w:val="0"/>
        <w:keepLines w:val="0"/>
        <w:pageBreakBefore w:val="0"/>
        <w:widowControl/>
        <w:kinsoku/>
        <w:wordWrap/>
        <w:overflowPunct/>
        <w:topLinePunct w:val="0"/>
        <w:autoSpaceDE w:val="0"/>
        <w:autoSpaceDN w:val="0"/>
        <w:bidi w:val="0"/>
        <w:adjustRightInd w:val="0"/>
        <w:snapToGrid w:val="0"/>
        <w:spacing w:before="64" w:line="720" w:lineRule="exact"/>
        <w:ind w:left="28"/>
        <w:jc w:val="center"/>
        <w:textAlignment w:val="baseline"/>
        <w:rPr>
          <w:rFonts w:hint="eastAsia" w:ascii="黑体" w:hAnsi="黑体" w:eastAsia="黑体" w:cs="黑体"/>
          <w:b/>
          <w:bCs/>
          <w:spacing w:val="7"/>
          <w:position w:val="2"/>
          <w:sz w:val="36"/>
          <w:szCs w:val="36"/>
          <w:highlight w:val="none"/>
          <w:lang w:val="en-US" w:eastAsia="zh-CN"/>
        </w:rPr>
      </w:pPr>
      <w:bookmarkStart w:id="0" w:name="_Toc19826"/>
      <w:bookmarkStart w:id="10" w:name="_GoBack"/>
      <w:r>
        <w:rPr>
          <w:rFonts w:hint="eastAsia" w:ascii="黑体" w:hAnsi="黑体" w:eastAsia="黑体" w:cs="黑体"/>
          <w:b/>
          <w:bCs/>
          <w:spacing w:val="7"/>
          <w:position w:val="2"/>
          <w:sz w:val="36"/>
          <w:szCs w:val="36"/>
          <w:highlight w:val="none"/>
          <w:lang w:val="en-US" w:eastAsia="zh-CN"/>
        </w:rPr>
        <w:t>2025年河北省职业院校技能大赛(高职组)</w:t>
      </w:r>
    </w:p>
    <w:p w14:paraId="135391BC">
      <w:pPr>
        <w:keepNext w:val="0"/>
        <w:keepLines w:val="0"/>
        <w:pageBreakBefore w:val="0"/>
        <w:widowControl/>
        <w:kinsoku/>
        <w:wordWrap/>
        <w:overflowPunct/>
        <w:topLinePunct w:val="0"/>
        <w:autoSpaceDE w:val="0"/>
        <w:autoSpaceDN w:val="0"/>
        <w:bidi w:val="0"/>
        <w:adjustRightInd w:val="0"/>
        <w:snapToGrid w:val="0"/>
        <w:spacing w:before="64" w:line="720" w:lineRule="exact"/>
        <w:ind w:left="28"/>
        <w:jc w:val="center"/>
        <w:textAlignment w:val="baseline"/>
        <w:rPr>
          <w:rFonts w:hint="eastAsia" w:ascii="黑体" w:hAnsi="黑体" w:eastAsia="黑体" w:cs="黑体"/>
          <w:b/>
          <w:bCs/>
          <w:spacing w:val="7"/>
          <w:position w:val="2"/>
          <w:sz w:val="36"/>
          <w:szCs w:val="36"/>
          <w:highlight w:val="none"/>
          <w:lang w:val="en-US" w:eastAsia="zh-CN"/>
        </w:rPr>
      </w:pPr>
      <w:r>
        <w:rPr>
          <w:rFonts w:hint="eastAsia" w:ascii="黑体" w:hAnsi="黑体" w:eastAsia="黑体" w:cs="黑体"/>
          <w:b/>
          <w:bCs/>
          <w:spacing w:val="7"/>
          <w:position w:val="2"/>
          <w:sz w:val="36"/>
          <w:szCs w:val="36"/>
          <w:highlight w:val="none"/>
          <w:lang w:val="en-US" w:eastAsia="zh-CN"/>
        </w:rPr>
        <w:t>大数据财务分析与决策技能赛项竞赛规程</w:t>
      </w:r>
    </w:p>
    <w:p w14:paraId="025B16ED">
      <w:pPr>
        <w:pStyle w:val="2"/>
        <w:ind w:firstLine="602"/>
        <w:rPr>
          <w:highlight w:val="none"/>
        </w:rPr>
      </w:pPr>
      <w:r>
        <w:rPr>
          <w:rFonts w:hint="eastAsia"/>
          <w:highlight w:val="none"/>
        </w:rPr>
        <w:t>一、赛项名称</w:t>
      </w:r>
      <w:bookmarkEnd w:id="0"/>
    </w:p>
    <w:p w14:paraId="0EE4CB73">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大数据财务分析与决策技能</w:t>
      </w:r>
    </w:p>
    <w:p w14:paraId="085A87F7">
      <w:pPr>
        <w:pStyle w:val="2"/>
        <w:ind w:firstLine="602"/>
        <w:rPr>
          <w:highlight w:val="none"/>
        </w:rPr>
      </w:pPr>
      <w:bookmarkStart w:id="1" w:name="_Toc32060"/>
      <w:r>
        <w:rPr>
          <w:rFonts w:hint="eastAsia"/>
          <w:highlight w:val="none"/>
        </w:rPr>
        <w:t>二、赛项组别</w:t>
      </w:r>
      <w:bookmarkEnd w:id="1"/>
    </w:p>
    <w:p w14:paraId="26E8BFD0">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高职组</w:t>
      </w:r>
    </w:p>
    <w:p w14:paraId="706110EF">
      <w:pPr>
        <w:autoSpaceDE w:val="0"/>
        <w:autoSpaceDN w:val="0"/>
        <w:spacing w:line="560" w:lineRule="exact"/>
        <w:ind w:firstLine="602" w:firstLineChars="200"/>
        <w:rPr>
          <w:rFonts w:eastAsia="黑体"/>
          <w:b/>
          <w:bCs/>
          <w:kern w:val="44"/>
          <w:sz w:val="30"/>
          <w:szCs w:val="44"/>
          <w:highlight w:val="none"/>
        </w:rPr>
      </w:pPr>
      <w:bookmarkStart w:id="2" w:name="_Toc19290"/>
      <w:r>
        <w:rPr>
          <w:rFonts w:hint="eastAsia" w:eastAsia="黑体"/>
          <w:b/>
          <w:bCs/>
          <w:kern w:val="44"/>
          <w:sz w:val="30"/>
          <w:szCs w:val="44"/>
          <w:highlight w:val="none"/>
        </w:rPr>
        <w:t>三、</w:t>
      </w:r>
      <w:bookmarkEnd w:id="2"/>
      <w:r>
        <w:rPr>
          <w:rFonts w:hint="eastAsia" w:eastAsia="黑体"/>
          <w:b/>
          <w:bCs/>
          <w:kern w:val="44"/>
          <w:sz w:val="30"/>
          <w:szCs w:val="44"/>
          <w:highlight w:val="none"/>
        </w:rPr>
        <w:t>竞赛内容</w:t>
      </w:r>
      <w:r>
        <w:rPr>
          <w:rFonts w:hint="eastAsia" w:eastAsia="黑体"/>
          <w:b/>
          <w:bCs/>
          <w:kern w:val="44"/>
          <w:sz w:val="30"/>
          <w:szCs w:val="44"/>
          <w:highlight w:val="none"/>
        </w:rPr>
        <w:tab/>
      </w:r>
    </w:p>
    <w:p w14:paraId="1E0C4304">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竞赛内容分为“管理会计技能”竞赛环节和“大数据业财处理技能”竞赛环节。</w:t>
      </w:r>
    </w:p>
    <w:p w14:paraId="5AA949CD">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管理会计技能”竞赛环节设置资金管理、营运管理、成本管理、绩效管理四个管理会计岗位，竞赛案例提供完整的业财一体化信息资料，模拟企业管理会计工作环境及内容，内容涵盖战略管理、风险管理、投融资管理、预算管理、营运管理、成本管理、企业管理会计报告、绩效管理。</w:t>
      </w:r>
    </w:p>
    <w:p w14:paraId="360CA5A1">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“大数据业财处理技能”竞赛环节为单人单岗竞赛，竞赛案例提供一家制造企业一个月的经济业务资料，要求选手遵循《企业会计准则》和现行税法（截止202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月3</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日）的规定，独立运用python语言，实现对给定的业财数据进行提取、合并、清洗、筛选、转换、分析等操作，生成科目余额表、资产负债表和利润表。</w:t>
      </w:r>
    </w:p>
    <w:p w14:paraId="15B59B49">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（一）管理会计技能竞赛环节</w:t>
      </w:r>
    </w:p>
    <w:p w14:paraId="55227563">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竞赛使用科云管理会计能力养成平台，</w:t>
      </w:r>
      <w:r>
        <w:rPr>
          <w:rFonts w:hint="eastAsia" w:ascii="仿宋" w:hAnsi="仿宋" w:eastAsia="仿宋" w:cs="仿宋"/>
          <w:sz w:val="32"/>
          <w:szCs w:val="32"/>
          <w:highlight w:val="none"/>
        </w:rPr>
        <w:t>竞赛案例提供完整的业财一体化信息资料，模拟企业管理会计工作环境及内容。竞赛的知识和能力范围以财政部颁布的《管理会计应用指引》（管理会计应用指引第 100-101 号—战略管理，管理会计应用指引第 200-201 号—预算管理，管理会计应用指引第 300-304 号—成本管理，管理会计应用指引第 400-403 号—营运管理，管理会计应用指引第 500-502 号—投融资管理，管理会计应用指引第 600-603 号—绩效管理，管理会计应用指引第 801 号—企业管理会计报告）为框架。四个岗位人员协同分工完成竞赛案例各岗位业务和综合业务。</w:t>
      </w:r>
    </w:p>
    <w:p w14:paraId="18BAAB08">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1.各岗位业务要求</w:t>
      </w:r>
    </w:p>
    <w:p w14:paraId="4B8290F1">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（1）资金管理岗位</w:t>
      </w:r>
    </w:p>
    <w:p w14:paraId="06749271">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1）负责完成风险管理及战略决策分析业务；</w:t>
      </w:r>
    </w:p>
    <w:p w14:paraId="4AFABE4F">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2）负责完成投融资决策的分析业务；</w:t>
      </w:r>
    </w:p>
    <w:p w14:paraId="7674874F">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3）负责完成财务费用预算业务；</w:t>
      </w:r>
    </w:p>
    <w:p w14:paraId="7B754D88">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4）负责组织团队完成财务预算业务。</w:t>
      </w:r>
    </w:p>
    <w:p w14:paraId="0F60F265">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（2）营运管理岗位</w:t>
      </w:r>
    </w:p>
    <w:p w14:paraId="6D26E535">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1）负责完成销售预算编制业务；</w:t>
      </w:r>
    </w:p>
    <w:p w14:paraId="65958703">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2）负责完成费用预算编制业务；</w:t>
      </w:r>
    </w:p>
    <w:p w14:paraId="5F30D361">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3）负责完成营运资本及经营决策分析业务；</w:t>
      </w:r>
    </w:p>
    <w:p w14:paraId="1039644B">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4）配合团队完成财务预算业务。</w:t>
      </w:r>
    </w:p>
    <w:p w14:paraId="2EFB5F37">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（3）成本管理岗位</w:t>
      </w:r>
    </w:p>
    <w:p w14:paraId="09A8E86D">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1）负责完成成本预算编制业务；</w:t>
      </w:r>
    </w:p>
    <w:p w14:paraId="1F224A80">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2）负责完成成本计算业务；</w:t>
      </w:r>
    </w:p>
    <w:p w14:paraId="6B185A06">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3）负责完成成本控制与差异分析业务；</w:t>
      </w:r>
    </w:p>
    <w:p w14:paraId="503C6B55">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4）配合团队完成财务预算业务。</w:t>
      </w:r>
    </w:p>
    <w:p w14:paraId="1006A08A">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（4）绩效管理岗位</w:t>
      </w:r>
    </w:p>
    <w:p w14:paraId="722820E9">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1）负责完成管理会计信息报告编制业务；</w:t>
      </w:r>
    </w:p>
    <w:p w14:paraId="46270BD4">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2）负责完成绩效评价业务；</w:t>
      </w:r>
    </w:p>
    <w:p w14:paraId="662A6CB5">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3）负责完成激励计划业务；</w:t>
      </w:r>
    </w:p>
    <w:p w14:paraId="3F94A18E">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4）配合团队完成财务预算业务。</w:t>
      </w:r>
    </w:p>
    <w:p w14:paraId="5E73C929">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2.竞赛能力要求</w:t>
      </w:r>
    </w:p>
    <w:p w14:paraId="5CA2317F">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（1）战略管理能力要求</w:t>
      </w:r>
    </w:p>
    <w:p w14:paraId="1858C9E8">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1）了解战略管理的形成与发展；</w:t>
      </w:r>
    </w:p>
    <w:p w14:paraId="4C8CF788">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2）熟悉战略管理的含义与特点，战略地图的概念，战略地图实施的步骤；</w:t>
      </w:r>
    </w:p>
    <w:p w14:paraId="7539BBB5">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3）掌握战略分析工具（例如：SWOT分析法），战略地图的设计。</w:t>
      </w:r>
    </w:p>
    <w:p w14:paraId="60B92FA1">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（2）风险管理能力要求</w:t>
      </w:r>
    </w:p>
    <w:p w14:paraId="110CB864">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1）掌握风险管理工具方法，不限于风险矩阵、风险清单；</w:t>
      </w:r>
    </w:p>
    <w:p w14:paraId="772D00F6">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2）掌握风险投资决策的方法，不限于期望值决策法、风险因素调整法、决策树法。</w:t>
      </w:r>
    </w:p>
    <w:p w14:paraId="342C3854">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（3）投融资管理能力要求</w:t>
      </w:r>
    </w:p>
    <w:p w14:paraId="41B4914D">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1）了解投资管理、融资管理的基本含义；</w:t>
      </w:r>
    </w:p>
    <w:p w14:paraId="4660FC88">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2）熟悉投资管理和融资管理的基本原则，投资管理和融资管理的一般程序；</w:t>
      </w:r>
    </w:p>
    <w:p w14:paraId="7A43BCC9">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3）掌握投资管理工具——贴现现金流法（学会估计项目的现金流，选择合适项目的贴现率，计算相关指标，进行合理性判断，形成项目投资分析报告）情景分析、约束资源优化；</w:t>
      </w:r>
    </w:p>
    <w:p w14:paraId="5B6949CA">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4）掌握投资项目评价方法的运用，不限于净现值法、内含报酬率法、回收期法、现值指数法、会计报酬率法、总量有限时的资本分配以及互斥项目的优先选择问题等；</w:t>
      </w:r>
    </w:p>
    <w:p w14:paraId="4C3F7C38">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5）掌握项目管理的工具方法，包括挣值法、成本效益法、价值工程法等，学会用这些方法对项目进行管理；</w:t>
      </w:r>
    </w:p>
    <w:p w14:paraId="1E273A8B">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6）掌握筹资资本的计算，不限于债券资本成本计算、股票资本成本计算；掌握筹资资本的影响因素，不限于无风险利率、经营风险溢价、财务风险溢价；</w:t>
      </w:r>
    </w:p>
    <w:p w14:paraId="6C45AAFE">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7）掌握项目的敏感分析；掌握资本需求的测算；</w:t>
      </w:r>
    </w:p>
    <w:p w14:paraId="12D7B41E">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8）掌握各种融资渠道的优缺点，能够为企业选择合适的融资渠道。</w:t>
      </w:r>
    </w:p>
    <w:p w14:paraId="46A5ADF3">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（4）预算管理能力要求</w:t>
      </w:r>
    </w:p>
    <w:p w14:paraId="644A5041">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1）了解预算管理的含义，预算管理的应用环境；</w:t>
      </w:r>
    </w:p>
    <w:p w14:paraId="397099E6">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2）熟悉预算管理的内容，预算管理的原则，预算管理工具方法；</w:t>
      </w:r>
    </w:p>
    <w:p w14:paraId="6C425162">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3）掌握业务预算编制，专门决策预算编制，财务预算编制，滚动预算编制，弹性预算编制。</w:t>
      </w:r>
    </w:p>
    <w:p w14:paraId="3CAE3534">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（5）营运管理能力要求</w:t>
      </w:r>
    </w:p>
    <w:p w14:paraId="0D9A0D75">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1）了解营运管理领域的管理会计工具；</w:t>
      </w:r>
    </w:p>
    <w:p w14:paraId="6954D359">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2）熟悉敏感性分析的概念，边际分析的概念，标杆管理的概念，本量利分析的概念；短期经营决策的概念；</w:t>
      </w:r>
    </w:p>
    <w:p w14:paraId="17751136">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3）掌握敏感性分析方法的运用，边际分析方法的运用，不限于运用边际分析方法优化产品组合，经营杠杆系数计算，标杆管理方法的运用；</w:t>
      </w:r>
    </w:p>
    <w:p w14:paraId="5BB6BD69">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4）掌握本量利方法的运用，能够运用本量利计算保本点，保净利点，进行安全边际计算及分析，能够运用短期经营决策方法进行生产决策、定价决策等，短期经营决策方法不限于边际贡献分析法、差量分析法、成本平衡点分析法、概率分析法、相关损益分析法、相关成本分析法、利润无差别点法、大中取大法、小中取大法、最大后悔值法、折中决策法。</w:t>
      </w:r>
    </w:p>
    <w:p w14:paraId="5E091D40">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（6）成本管理能力要求</w:t>
      </w:r>
    </w:p>
    <w:p w14:paraId="0D8B8C03">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1）了解成本管理的工作范畴和工作目标；</w:t>
      </w:r>
    </w:p>
    <w:p w14:paraId="26E404AC">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2）熟悉熟悉各种成本方法的特点；</w:t>
      </w:r>
    </w:p>
    <w:p w14:paraId="01ACEEA7">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3）掌握目标成本法的应用；</w:t>
      </w:r>
    </w:p>
    <w:p w14:paraId="5FE85D67">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4）掌握标准成本法的应用，能够进行标准成本的制定核算、差异核算并分析原因；</w:t>
      </w:r>
    </w:p>
    <w:p w14:paraId="612B1825">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5）掌握成本性态分析，能够对企业成本项目进行性态划分，能够对企业的混合成本进行分解；</w:t>
      </w:r>
    </w:p>
    <w:p w14:paraId="2E408859">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6）掌握变动成本法，能够运用变动成本法计算产品的总成本和单位成本；变动成本法计算单个会计期间和多个会计期间的营业利润并分析营业利润产生差异的原因；</w:t>
      </w:r>
    </w:p>
    <w:p w14:paraId="2B12C451">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7）掌握作业成本法，能够识别增值作业和非增值作业，能够运用作业成本法进行资源归集计算，作业成本计算，能够分析作业成本和传统成本计算的差异，能够进行作业成本管理与控制；掌握质量成本控制方法，掌握存货成本控制方法。</w:t>
      </w:r>
    </w:p>
    <w:p w14:paraId="1A0DF2FA">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（7）管理会计报告能力要求</w:t>
      </w:r>
    </w:p>
    <w:p w14:paraId="7E5C8B03">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1）了解管理会计信息报告的含义；</w:t>
      </w:r>
    </w:p>
    <w:p w14:paraId="166E7F41">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 熟悉管理会计信息载体，企业管理会计报告的工作环节，企业管理会计报告体系；</w:t>
      </w:r>
    </w:p>
    <w:p w14:paraId="37E3CD20">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3）掌握管理会计报告具体内容的编制要点。</w:t>
      </w:r>
    </w:p>
    <w:p w14:paraId="01D6F65B">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（8）绩效管理能力要求</w:t>
      </w:r>
    </w:p>
    <w:p w14:paraId="1434F28F">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1）了解绩效管理的应用环境，平衡计分卡管理体系的发展历程，平衡计分卡的应用环境；</w:t>
      </w:r>
    </w:p>
    <w:p w14:paraId="534D0FBC">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2）熟悉绩效管理的定义，绩效管理的原则，绩效管理的工具方法，绩效管理的一般程序；</w:t>
      </w:r>
    </w:p>
    <w:p w14:paraId="5C30DB98">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掌握绩效管理会计工具的运用，不限于关键绩效指标法、经济增加值法、平衡计分卡、股权激励、国有企业绩效评价法、绩效金字塔模型、绩效棱柱模型、杜邦分析法、沃尔评分法；掌握指标权重方法；掌握绩效目标值的确定；掌握绩效评价计分方法，不限于定量法、定性法；掌握激励计划的制订与执行，包括激励对象、激励形式、激励条件、激励周期等内容；掌握内部转移定价工具方法的运用。</w:t>
      </w:r>
    </w:p>
    <w:p w14:paraId="088BB2A5">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（二）大数据业财处理技能竞赛环节</w:t>
      </w:r>
    </w:p>
    <w:p w14:paraId="664D4A6E">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提供某制造业企业一个月的经济业务资料，执行《企业会计准则》和现行税法（截止202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月3</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日），使用九九网智大数据财务竞赛云平台，根据该企业一个月的40笔经济业务的财务核算数据，以及历史财务报表及相关业务数据，运用python语言，实现对给定的业财数据进行提取、合并、清洗、筛选、转换、分析等操作，生成科目余额表、资产负债表和利润表。</w:t>
      </w:r>
    </w:p>
    <w:p w14:paraId="0256B7D9">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提供企业业务环节的相关数据、财务数据及企业业务场景，对数据进行数据采集、数据处理、数据挖掘分析和可视化操作，使用厦门九九网智大数据财务竞赛云平台，根据清洗后的数据，</w:t>
      </w:r>
      <w:bookmarkStart w:id="3" w:name="OLE_LINK5"/>
      <w:r>
        <w:rPr>
          <w:rFonts w:hint="eastAsia" w:ascii="仿宋" w:hAnsi="仿宋" w:eastAsia="仿宋" w:cs="仿宋"/>
          <w:sz w:val="32"/>
          <w:szCs w:val="32"/>
          <w:highlight w:val="none"/>
        </w:rPr>
        <w:t>对货币资金、往来核算、固定资产、职工薪酬、收入费用利润、销售等业务和财务报表相关数据进行具体的分析。</w:t>
      </w:r>
    </w:p>
    <w:p w14:paraId="4EFE1A69">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竞赛内容范围：</w:t>
      </w:r>
    </w:p>
    <w:bookmarkEnd w:id="3"/>
    <w:p w14:paraId="799BD708">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1.会计应用相关的Python语言基础：财会相关大数据基础语法、变量、会计信息与数据类型、财税核算中的判断与条件等；</w:t>
      </w:r>
    </w:p>
    <w:p w14:paraId="334930A4">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2.输入与输出、查看EXCEL业财数据源、财税数据提取、连接与合并、分组聚合、可视化中的应用；</w:t>
      </w:r>
    </w:p>
    <w:p w14:paraId="17E3C386">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3.编制科目余额表；</w:t>
      </w:r>
    </w:p>
    <w:p w14:paraId="1C24B9A9">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4.编制资产负债表及利润表；</w:t>
      </w:r>
    </w:p>
    <w:p w14:paraId="72D214BD">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5.货币资金、往来核算、固定资产、职工薪酬、收入费用利润、销售业务中的数据分析应用；</w:t>
      </w:r>
    </w:p>
    <w:p w14:paraId="22A184C7">
      <w:pPr>
        <w:snapToGrid w:val="0"/>
        <w:spacing w:line="560" w:lineRule="exact"/>
        <w:ind w:firstLine="640" w:firstLineChars="200"/>
        <w:rPr>
          <w:rFonts w:eastAsia="黑体"/>
          <w:b/>
          <w:bCs/>
          <w:kern w:val="44"/>
          <w:sz w:val="30"/>
          <w:szCs w:val="44"/>
          <w:highlight w:val="none"/>
        </w:rPr>
      </w:pPr>
      <w:r>
        <w:rPr>
          <w:rFonts w:hint="eastAsia" w:ascii="仿宋" w:hAnsi="仿宋" w:eastAsia="仿宋" w:cs="仿宋"/>
          <w:sz w:val="32"/>
          <w:szCs w:val="32"/>
          <w:highlight w:val="none"/>
        </w:rPr>
        <w:t>6.财务报表业务中的数据分析应用。</w:t>
      </w:r>
    </w:p>
    <w:p w14:paraId="54D8E563">
      <w:pPr>
        <w:autoSpaceDE w:val="0"/>
        <w:autoSpaceDN w:val="0"/>
        <w:spacing w:line="560" w:lineRule="exact"/>
        <w:ind w:firstLine="602" w:firstLineChars="200"/>
        <w:rPr>
          <w:rFonts w:ascii="仿宋" w:hAnsi="仿宋" w:eastAsia="仿宋" w:cs="仿宋"/>
          <w:sz w:val="32"/>
          <w:szCs w:val="32"/>
          <w:highlight w:val="none"/>
        </w:rPr>
      </w:pPr>
      <w:r>
        <w:rPr>
          <w:rFonts w:hint="eastAsia" w:eastAsia="黑体"/>
          <w:b/>
          <w:bCs/>
          <w:kern w:val="44"/>
          <w:sz w:val="30"/>
          <w:szCs w:val="44"/>
          <w:highlight w:val="none"/>
        </w:rPr>
        <w:t>七、竞赛方式</w:t>
      </w:r>
      <w:r>
        <w:rPr>
          <w:rFonts w:hint="eastAsia" w:ascii="仿宋" w:hAnsi="仿宋" w:eastAsia="仿宋" w:cs="仿宋"/>
          <w:sz w:val="32"/>
          <w:szCs w:val="32"/>
          <w:highlight w:val="none"/>
        </w:rPr>
        <w:tab/>
      </w:r>
    </w:p>
    <w:p w14:paraId="4984E1AB">
      <w:pPr>
        <w:snapToGrid w:val="0"/>
        <w:spacing w:line="560" w:lineRule="exact"/>
        <w:ind w:firstLine="640" w:firstLineChars="200"/>
        <w:rPr>
          <w:rFonts w:ascii="仿宋" w:hAnsi="仿宋" w:eastAsia="仿宋" w:cs="仿宋"/>
          <w:sz w:val="32"/>
          <w:szCs w:val="32"/>
          <w:highlight w:val="none"/>
        </w:rPr>
      </w:pPr>
      <w:bookmarkStart w:id="4" w:name="_Toc28873"/>
      <w:r>
        <w:rPr>
          <w:rFonts w:hint="eastAsia" w:ascii="仿宋" w:hAnsi="仿宋" w:eastAsia="仿宋" w:cs="仿宋"/>
          <w:sz w:val="32"/>
          <w:szCs w:val="32"/>
          <w:highlight w:val="none"/>
        </w:rPr>
        <w:t>（一）</w:t>
      </w:r>
      <w:bookmarkEnd w:id="4"/>
      <w:bookmarkStart w:id="5" w:name="_Toc3671"/>
      <w:r>
        <w:rPr>
          <w:rFonts w:hint="eastAsia" w:ascii="仿宋" w:hAnsi="仿宋" w:eastAsia="仿宋" w:cs="仿宋"/>
          <w:sz w:val="32"/>
          <w:szCs w:val="32"/>
          <w:highlight w:val="none"/>
        </w:rPr>
        <w:t>组队方式</w:t>
      </w:r>
      <w:bookmarkEnd w:id="5"/>
    </w:p>
    <w:p w14:paraId="4F1D8913">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赛项为团队赛形式，以院校为单位报名参赛，不得跨校组队报名。每支队伍由1</w:t>
      </w:r>
      <w:r>
        <w:rPr>
          <w:rFonts w:ascii="仿宋" w:hAnsi="仿宋" w:eastAsia="仿宋" w:cs="仿宋"/>
          <w:sz w:val="32"/>
          <w:szCs w:val="32"/>
          <w:highlight w:val="none"/>
        </w:rPr>
        <w:t>-</w:t>
      </w:r>
      <w:r>
        <w:rPr>
          <w:rFonts w:hint="eastAsia" w:ascii="仿宋" w:hAnsi="仿宋" w:eastAsia="仿宋" w:cs="仿宋"/>
          <w:sz w:val="32"/>
          <w:szCs w:val="32"/>
          <w:highlight w:val="none"/>
        </w:rPr>
        <w:t>2名指导教师、4名选手组成。竞赛项目包括“管理会计技能”和“大数据业财处理技能”2个环节。</w:t>
      </w:r>
    </w:p>
    <w:p w14:paraId="2538FCD9">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1.管理会计技能竞赛环节，每支队伍4名参赛选手可以根据实际情况分别选择担任资金管理、营运管理、成本管理、绩效管理4个管理会计岗位，并根据比赛要求协作完成相应的业务处理。</w:t>
      </w:r>
    </w:p>
    <w:p w14:paraId="7758231A">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2.大数据业财处理技能环节，每支队伍4名参赛选手需根据比赛要求独立完成整个案例业财数据处理全流程，对给定的业财数据进行提取、合并、清洗、筛选、转换、分析等操作，</w:t>
      </w:r>
      <w:r>
        <w:rPr>
          <w:rFonts w:hint="eastAsia" w:ascii="仿宋" w:hAnsi="仿宋" w:eastAsia="仿宋" w:cs="仿宋"/>
          <w:sz w:val="32"/>
          <w:szCs w:val="32"/>
          <w:highlight w:val="none"/>
          <w:lang w:val="en-US" w:eastAsia="zh-CN"/>
        </w:rPr>
        <w:t>完成业财数据分析及报表分析等</w:t>
      </w:r>
      <w:r>
        <w:rPr>
          <w:rFonts w:hint="eastAsia" w:ascii="仿宋" w:hAnsi="仿宋" w:eastAsia="仿宋" w:cs="仿宋"/>
          <w:sz w:val="32"/>
          <w:szCs w:val="32"/>
          <w:highlight w:val="none"/>
        </w:rPr>
        <w:t>。</w:t>
      </w:r>
    </w:p>
    <w:p w14:paraId="3A38F389">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（二）</w:t>
      </w:r>
      <w:bookmarkStart w:id="6" w:name="_Toc25275"/>
      <w:r>
        <w:rPr>
          <w:rFonts w:hint="eastAsia" w:ascii="仿宋" w:hAnsi="仿宋" w:eastAsia="仿宋" w:cs="仿宋"/>
          <w:sz w:val="32"/>
          <w:szCs w:val="32"/>
          <w:highlight w:val="none"/>
        </w:rPr>
        <w:t>竞赛时长</w:t>
      </w:r>
      <w:bookmarkEnd w:id="6"/>
    </w:p>
    <w:p w14:paraId="3B2624B3">
      <w:pPr>
        <w:snapToGrid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竞赛总时长为330分钟，分为上下半场，上半场管理会计技能竞赛环节为180分钟，下半场大数据业财处理技能竞赛环节为150分钟。</w:t>
      </w:r>
    </w:p>
    <w:p w14:paraId="74EFE81C">
      <w:pPr>
        <w:autoSpaceDE w:val="0"/>
        <w:autoSpaceDN w:val="0"/>
        <w:spacing w:line="560" w:lineRule="exact"/>
        <w:ind w:firstLine="602" w:firstLineChars="200"/>
        <w:rPr>
          <w:rFonts w:ascii="仿宋" w:hAnsi="仿宋" w:eastAsia="仿宋" w:cs="仿宋"/>
          <w:sz w:val="32"/>
          <w:szCs w:val="32"/>
          <w:highlight w:val="none"/>
        </w:rPr>
      </w:pPr>
      <w:r>
        <w:rPr>
          <w:rFonts w:hint="eastAsia" w:eastAsia="黑体"/>
          <w:b/>
          <w:bCs/>
          <w:kern w:val="44"/>
          <w:sz w:val="30"/>
          <w:szCs w:val="44"/>
          <w:highlight w:val="none"/>
        </w:rPr>
        <w:t>八、竞赛试题</w:t>
      </w:r>
      <w:r>
        <w:rPr>
          <w:rFonts w:hint="eastAsia" w:ascii="仿宋" w:hAnsi="仿宋" w:eastAsia="仿宋" w:cs="仿宋"/>
          <w:sz w:val="32"/>
          <w:szCs w:val="32"/>
          <w:highlight w:val="none"/>
        </w:rPr>
        <w:tab/>
      </w:r>
    </w:p>
    <w:p w14:paraId="612FC0CD">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为保证竞赛公平、公正。本次竞赛由大赛专家组出题，提前免费开放训练平台，使未购买软件的院校能够试用，降低参赛院校费用门槛。</w:t>
      </w:r>
    </w:p>
    <w:p w14:paraId="5B55A34A">
      <w:pPr>
        <w:autoSpaceDE w:val="0"/>
        <w:autoSpaceDN w:val="0"/>
        <w:spacing w:line="560" w:lineRule="exact"/>
        <w:ind w:firstLine="602" w:firstLineChars="200"/>
        <w:rPr>
          <w:rFonts w:eastAsia="黑体"/>
          <w:b/>
          <w:bCs/>
          <w:kern w:val="44"/>
          <w:sz w:val="30"/>
          <w:szCs w:val="44"/>
          <w:highlight w:val="none"/>
        </w:rPr>
      </w:pPr>
      <w:r>
        <w:rPr>
          <w:rFonts w:hint="eastAsia" w:eastAsia="黑体"/>
          <w:b/>
          <w:bCs/>
          <w:kern w:val="44"/>
          <w:sz w:val="30"/>
          <w:szCs w:val="44"/>
          <w:highlight w:val="none"/>
        </w:rPr>
        <w:t>九、评分标准制定原则、评分方法、评分细则</w:t>
      </w:r>
      <w:r>
        <w:rPr>
          <w:rFonts w:hint="eastAsia" w:eastAsia="黑体"/>
          <w:b/>
          <w:bCs/>
          <w:kern w:val="44"/>
          <w:sz w:val="30"/>
          <w:szCs w:val="44"/>
          <w:highlight w:val="none"/>
        </w:rPr>
        <w:tab/>
      </w:r>
    </w:p>
    <w:p w14:paraId="01664315">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（一）评分标准的制定原则</w:t>
      </w:r>
    </w:p>
    <w:p w14:paraId="3A80449D">
      <w:pPr>
        <w:autoSpaceDE w:val="0"/>
        <w:autoSpaceDN w:val="0"/>
        <w:spacing w:line="560" w:lineRule="exact"/>
        <w:ind w:firstLine="640" w:firstLineChars="200"/>
        <w:rPr>
          <w:rFonts w:ascii="仿宋" w:hAnsi="仿宋" w:eastAsia="仿宋" w:cs="仿宋"/>
          <w:sz w:val="32"/>
          <w:szCs w:val="32"/>
          <w:highlight w:val="none"/>
        </w:rPr>
      </w:pPr>
      <w:bookmarkStart w:id="7" w:name="_Toc490723174"/>
      <w:bookmarkStart w:id="8" w:name="_Toc460654217"/>
      <w:r>
        <w:rPr>
          <w:rFonts w:hint="eastAsia" w:ascii="仿宋" w:hAnsi="仿宋" w:eastAsia="仿宋" w:cs="仿宋"/>
          <w:sz w:val="32"/>
          <w:szCs w:val="32"/>
          <w:highlight w:val="none"/>
        </w:rPr>
        <w:t>竞赛评分标准由赛项专家组制定，本着公开、公平、公正的原则，对参赛选手相关方面进行考核。竞赛结果由系统自动评分。</w:t>
      </w:r>
    </w:p>
    <w:p w14:paraId="1E2A9BD1">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（二）评分方法</w:t>
      </w:r>
      <w:bookmarkEnd w:id="7"/>
      <w:bookmarkEnd w:id="8"/>
      <w:r>
        <w:rPr>
          <w:rFonts w:hint="eastAsia" w:ascii="仿宋" w:hAnsi="仿宋" w:eastAsia="仿宋" w:cs="仿宋"/>
          <w:sz w:val="32"/>
          <w:szCs w:val="32"/>
          <w:highlight w:val="none"/>
        </w:rPr>
        <w:t>及细则</w:t>
      </w:r>
    </w:p>
    <w:p w14:paraId="75446849">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竞赛总分800分，每个竞赛环节各400分，竞赛结果由系统自动评分，小数点后保留两位。每个参赛团队的总成绩等于两个环节实际系统得分之和。</w:t>
      </w:r>
    </w:p>
    <w:p w14:paraId="459274A6">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1.管理会计技能竞赛环节</w:t>
      </w:r>
    </w:p>
    <w:p w14:paraId="5523531B">
      <w:pPr>
        <w:spacing w:line="560" w:lineRule="exact"/>
        <w:ind w:firstLine="600" w:firstLineChars="200"/>
        <w:rPr>
          <w:rFonts w:ascii="Arial Narrow" w:hAnsi="Arial Narrow" w:eastAsia="仿宋_GB2312" w:cs="Arial"/>
          <w:sz w:val="30"/>
          <w:szCs w:val="30"/>
          <w:highlight w:val="none"/>
        </w:rPr>
      </w:pPr>
      <w:r>
        <w:rPr>
          <w:rFonts w:hint="eastAsia" w:ascii="Arial Narrow" w:hAnsi="Arial Narrow" w:eastAsia="仿宋_GB2312" w:cs="Arial"/>
          <w:sz w:val="30"/>
          <w:szCs w:val="30"/>
          <w:highlight w:val="none"/>
        </w:rPr>
        <w:t>该环节总分400分，分值比例分配如下：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2220"/>
        <w:gridCol w:w="1960"/>
        <w:gridCol w:w="2180"/>
      </w:tblGrid>
      <w:tr w14:paraId="1BF5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10" w:type="dxa"/>
            <w:vAlign w:val="center"/>
          </w:tcPr>
          <w:p w14:paraId="5DFB30C3">
            <w:pPr>
              <w:jc w:val="center"/>
              <w:rPr>
                <w:rFonts w:ascii="仿宋" w:hAnsi="仿宋" w:eastAsia="仿宋" w:cs="仿宋"/>
                <w:b/>
                <w:bCs/>
                <w:sz w:val="24"/>
                <w:highlight w:val="none"/>
              </w:rPr>
            </w:pPr>
            <w:r>
              <w:rPr>
                <w:rFonts w:hint="eastAsia" w:ascii="仿宋" w:hAnsi="仿宋" w:eastAsia="仿宋" w:cs="仿宋"/>
                <w:b/>
                <w:bCs/>
                <w:sz w:val="24"/>
                <w:highlight w:val="none"/>
              </w:rPr>
              <w:t>岗位</w:t>
            </w:r>
          </w:p>
        </w:tc>
        <w:tc>
          <w:tcPr>
            <w:tcW w:w="2220" w:type="dxa"/>
            <w:vAlign w:val="center"/>
          </w:tcPr>
          <w:p w14:paraId="672FCB87">
            <w:pPr>
              <w:jc w:val="center"/>
              <w:rPr>
                <w:rFonts w:ascii="仿宋" w:hAnsi="仿宋" w:eastAsia="仿宋" w:cs="仿宋"/>
                <w:b/>
                <w:bCs/>
                <w:sz w:val="24"/>
                <w:highlight w:val="none"/>
              </w:rPr>
            </w:pPr>
            <w:r>
              <w:rPr>
                <w:rFonts w:hint="eastAsia" w:ascii="仿宋" w:hAnsi="仿宋" w:eastAsia="仿宋" w:cs="仿宋"/>
                <w:b/>
                <w:bCs/>
                <w:sz w:val="24"/>
                <w:highlight w:val="none"/>
              </w:rPr>
              <w:t>各岗位分值</w:t>
            </w:r>
          </w:p>
        </w:tc>
        <w:tc>
          <w:tcPr>
            <w:tcW w:w="1960" w:type="dxa"/>
            <w:vAlign w:val="center"/>
          </w:tcPr>
          <w:p w14:paraId="54B1CB8D">
            <w:pPr>
              <w:jc w:val="center"/>
              <w:rPr>
                <w:rFonts w:ascii="仿宋" w:hAnsi="仿宋" w:eastAsia="仿宋" w:cs="仿宋"/>
                <w:b/>
                <w:bCs/>
                <w:sz w:val="24"/>
                <w:highlight w:val="none"/>
              </w:rPr>
            </w:pPr>
            <w:r>
              <w:rPr>
                <w:rFonts w:hint="eastAsia" w:ascii="仿宋" w:hAnsi="仿宋" w:eastAsia="仿宋" w:cs="仿宋"/>
                <w:b/>
                <w:bCs/>
                <w:sz w:val="24"/>
                <w:highlight w:val="none"/>
              </w:rPr>
              <w:t>综合业务分值</w:t>
            </w:r>
          </w:p>
        </w:tc>
        <w:tc>
          <w:tcPr>
            <w:tcW w:w="2180" w:type="dxa"/>
            <w:vAlign w:val="center"/>
          </w:tcPr>
          <w:p w14:paraId="5662EC78">
            <w:pPr>
              <w:jc w:val="center"/>
              <w:rPr>
                <w:rFonts w:ascii="仿宋" w:hAnsi="仿宋" w:eastAsia="仿宋" w:cs="仿宋"/>
                <w:b/>
                <w:bCs/>
                <w:sz w:val="24"/>
                <w:highlight w:val="none"/>
              </w:rPr>
            </w:pPr>
            <w:r>
              <w:rPr>
                <w:rFonts w:hint="eastAsia" w:ascii="仿宋" w:hAnsi="仿宋" w:eastAsia="仿宋" w:cs="仿宋"/>
                <w:b/>
                <w:bCs/>
                <w:sz w:val="24"/>
                <w:highlight w:val="none"/>
              </w:rPr>
              <w:t>合计</w:t>
            </w:r>
          </w:p>
        </w:tc>
      </w:tr>
      <w:tr w14:paraId="7470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10" w:type="dxa"/>
            <w:vAlign w:val="center"/>
          </w:tcPr>
          <w:p w14:paraId="64D1F070">
            <w:pPr>
              <w:jc w:val="center"/>
              <w:rPr>
                <w:rFonts w:ascii="仿宋" w:hAnsi="仿宋" w:eastAsia="仿宋" w:cs="仿宋"/>
                <w:sz w:val="24"/>
                <w:highlight w:val="none"/>
              </w:rPr>
            </w:pPr>
            <w:r>
              <w:rPr>
                <w:rFonts w:hint="eastAsia" w:ascii="仿宋" w:hAnsi="仿宋" w:eastAsia="仿宋" w:cs="仿宋"/>
                <w:sz w:val="24"/>
                <w:highlight w:val="none"/>
              </w:rPr>
              <w:t>资金管理</w:t>
            </w:r>
          </w:p>
        </w:tc>
        <w:tc>
          <w:tcPr>
            <w:tcW w:w="2220" w:type="dxa"/>
            <w:vAlign w:val="center"/>
          </w:tcPr>
          <w:p w14:paraId="7689DA9B">
            <w:pPr>
              <w:jc w:val="center"/>
              <w:rPr>
                <w:rFonts w:ascii="仿宋" w:hAnsi="仿宋" w:eastAsia="仿宋" w:cs="仿宋"/>
                <w:sz w:val="24"/>
                <w:highlight w:val="none"/>
              </w:rPr>
            </w:pPr>
            <w:r>
              <w:rPr>
                <w:rFonts w:hint="eastAsia" w:ascii="仿宋" w:hAnsi="仿宋" w:eastAsia="仿宋" w:cs="仿宋"/>
                <w:sz w:val="24"/>
                <w:highlight w:val="none"/>
              </w:rPr>
              <w:t>85.00</w:t>
            </w:r>
          </w:p>
        </w:tc>
        <w:tc>
          <w:tcPr>
            <w:tcW w:w="1960" w:type="dxa"/>
            <w:vMerge w:val="restart"/>
            <w:vAlign w:val="center"/>
          </w:tcPr>
          <w:p w14:paraId="15FD29F1">
            <w:pPr>
              <w:jc w:val="center"/>
              <w:rPr>
                <w:rFonts w:ascii="仿宋" w:hAnsi="仿宋" w:eastAsia="仿宋" w:cs="仿宋"/>
                <w:sz w:val="24"/>
                <w:highlight w:val="none"/>
              </w:rPr>
            </w:pPr>
            <w:r>
              <w:rPr>
                <w:rFonts w:hint="eastAsia" w:ascii="仿宋" w:hAnsi="仿宋" w:eastAsia="仿宋" w:cs="仿宋"/>
                <w:sz w:val="24"/>
                <w:highlight w:val="none"/>
              </w:rPr>
              <w:t>60.00</w:t>
            </w:r>
          </w:p>
        </w:tc>
        <w:tc>
          <w:tcPr>
            <w:tcW w:w="2180" w:type="dxa"/>
            <w:vMerge w:val="restart"/>
            <w:vAlign w:val="center"/>
          </w:tcPr>
          <w:p w14:paraId="7645870F">
            <w:pPr>
              <w:jc w:val="center"/>
              <w:rPr>
                <w:rFonts w:ascii="仿宋" w:hAnsi="仿宋" w:eastAsia="仿宋" w:cs="仿宋"/>
                <w:sz w:val="24"/>
                <w:highlight w:val="none"/>
              </w:rPr>
            </w:pPr>
            <w:r>
              <w:rPr>
                <w:rFonts w:hint="eastAsia" w:ascii="仿宋" w:hAnsi="仿宋" w:eastAsia="仿宋" w:cs="仿宋"/>
                <w:sz w:val="24"/>
                <w:highlight w:val="none"/>
              </w:rPr>
              <w:t>400.00</w:t>
            </w:r>
          </w:p>
        </w:tc>
      </w:tr>
      <w:tr w14:paraId="2788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10" w:type="dxa"/>
            <w:vAlign w:val="center"/>
          </w:tcPr>
          <w:p w14:paraId="3CC5B293">
            <w:pPr>
              <w:jc w:val="center"/>
              <w:rPr>
                <w:rFonts w:ascii="仿宋" w:hAnsi="仿宋" w:eastAsia="仿宋" w:cs="仿宋"/>
                <w:sz w:val="24"/>
                <w:highlight w:val="none"/>
              </w:rPr>
            </w:pPr>
            <w:r>
              <w:rPr>
                <w:rFonts w:hint="eastAsia" w:ascii="仿宋" w:hAnsi="仿宋" w:eastAsia="仿宋" w:cs="仿宋"/>
                <w:sz w:val="24"/>
                <w:highlight w:val="none"/>
              </w:rPr>
              <w:t>营运管理</w:t>
            </w:r>
          </w:p>
        </w:tc>
        <w:tc>
          <w:tcPr>
            <w:tcW w:w="2220" w:type="dxa"/>
            <w:vAlign w:val="center"/>
          </w:tcPr>
          <w:p w14:paraId="1CAC9ECD">
            <w:pPr>
              <w:jc w:val="center"/>
              <w:rPr>
                <w:rFonts w:ascii="仿宋" w:hAnsi="仿宋" w:eastAsia="仿宋" w:cs="仿宋"/>
                <w:sz w:val="24"/>
                <w:highlight w:val="none"/>
              </w:rPr>
            </w:pPr>
            <w:r>
              <w:rPr>
                <w:rFonts w:hint="eastAsia" w:ascii="仿宋" w:hAnsi="仿宋" w:eastAsia="仿宋" w:cs="仿宋"/>
                <w:sz w:val="24"/>
                <w:highlight w:val="none"/>
              </w:rPr>
              <w:t>85.00</w:t>
            </w:r>
          </w:p>
        </w:tc>
        <w:tc>
          <w:tcPr>
            <w:tcW w:w="1960" w:type="dxa"/>
            <w:vMerge w:val="continue"/>
            <w:vAlign w:val="center"/>
          </w:tcPr>
          <w:p w14:paraId="48248168">
            <w:pPr>
              <w:jc w:val="center"/>
              <w:rPr>
                <w:rFonts w:ascii="仿宋" w:hAnsi="仿宋" w:eastAsia="仿宋" w:cs="仿宋"/>
                <w:sz w:val="24"/>
                <w:highlight w:val="none"/>
              </w:rPr>
            </w:pPr>
          </w:p>
        </w:tc>
        <w:tc>
          <w:tcPr>
            <w:tcW w:w="2180" w:type="dxa"/>
            <w:vMerge w:val="continue"/>
            <w:vAlign w:val="center"/>
          </w:tcPr>
          <w:p w14:paraId="02371DAE">
            <w:pPr>
              <w:jc w:val="center"/>
              <w:rPr>
                <w:rFonts w:ascii="仿宋" w:hAnsi="仿宋" w:eastAsia="仿宋" w:cs="仿宋"/>
                <w:sz w:val="24"/>
                <w:highlight w:val="none"/>
              </w:rPr>
            </w:pPr>
          </w:p>
        </w:tc>
      </w:tr>
      <w:tr w14:paraId="5D45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10" w:type="dxa"/>
            <w:vAlign w:val="center"/>
          </w:tcPr>
          <w:p w14:paraId="2838AB5C">
            <w:pPr>
              <w:jc w:val="center"/>
              <w:rPr>
                <w:rFonts w:ascii="仿宋" w:hAnsi="仿宋" w:eastAsia="仿宋" w:cs="仿宋"/>
                <w:sz w:val="24"/>
                <w:highlight w:val="none"/>
              </w:rPr>
            </w:pPr>
            <w:r>
              <w:rPr>
                <w:rFonts w:hint="eastAsia" w:ascii="仿宋" w:hAnsi="仿宋" w:eastAsia="仿宋" w:cs="仿宋"/>
                <w:sz w:val="24"/>
                <w:highlight w:val="none"/>
              </w:rPr>
              <w:t>成本管理</w:t>
            </w:r>
          </w:p>
        </w:tc>
        <w:tc>
          <w:tcPr>
            <w:tcW w:w="2220" w:type="dxa"/>
            <w:vAlign w:val="center"/>
          </w:tcPr>
          <w:p w14:paraId="42B0F5E5">
            <w:pPr>
              <w:jc w:val="center"/>
              <w:rPr>
                <w:rFonts w:ascii="仿宋" w:hAnsi="仿宋" w:eastAsia="仿宋" w:cs="仿宋"/>
                <w:sz w:val="24"/>
                <w:highlight w:val="none"/>
              </w:rPr>
            </w:pPr>
            <w:r>
              <w:rPr>
                <w:rFonts w:hint="eastAsia" w:ascii="仿宋" w:hAnsi="仿宋" w:eastAsia="仿宋" w:cs="仿宋"/>
                <w:sz w:val="24"/>
                <w:highlight w:val="none"/>
              </w:rPr>
              <w:t>85.00</w:t>
            </w:r>
          </w:p>
        </w:tc>
        <w:tc>
          <w:tcPr>
            <w:tcW w:w="1960" w:type="dxa"/>
            <w:vMerge w:val="continue"/>
            <w:vAlign w:val="center"/>
          </w:tcPr>
          <w:p w14:paraId="46E6A44B">
            <w:pPr>
              <w:jc w:val="center"/>
              <w:rPr>
                <w:rFonts w:ascii="仿宋" w:hAnsi="仿宋" w:eastAsia="仿宋" w:cs="仿宋"/>
                <w:sz w:val="24"/>
                <w:highlight w:val="none"/>
              </w:rPr>
            </w:pPr>
          </w:p>
        </w:tc>
        <w:tc>
          <w:tcPr>
            <w:tcW w:w="2180" w:type="dxa"/>
            <w:vMerge w:val="continue"/>
            <w:vAlign w:val="center"/>
          </w:tcPr>
          <w:p w14:paraId="077B94E0">
            <w:pPr>
              <w:jc w:val="center"/>
              <w:rPr>
                <w:rFonts w:ascii="仿宋" w:hAnsi="仿宋" w:eastAsia="仿宋" w:cs="仿宋"/>
                <w:sz w:val="24"/>
                <w:highlight w:val="none"/>
              </w:rPr>
            </w:pPr>
          </w:p>
        </w:tc>
      </w:tr>
      <w:tr w14:paraId="1E11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10" w:type="dxa"/>
            <w:vAlign w:val="center"/>
          </w:tcPr>
          <w:p w14:paraId="2C3D7E25">
            <w:pPr>
              <w:jc w:val="center"/>
              <w:rPr>
                <w:rFonts w:ascii="仿宋" w:hAnsi="仿宋" w:eastAsia="仿宋" w:cs="仿宋"/>
                <w:sz w:val="24"/>
                <w:highlight w:val="none"/>
              </w:rPr>
            </w:pPr>
            <w:r>
              <w:rPr>
                <w:rFonts w:hint="eastAsia" w:ascii="仿宋" w:hAnsi="仿宋" w:eastAsia="仿宋" w:cs="仿宋"/>
                <w:sz w:val="24"/>
                <w:highlight w:val="none"/>
              </w:rPr>
              <w:t>绩效管理</w:t>
            </w:r>
          </w:p>
        </w:tc>
        <w:tc>
          <w:tcPr>
            <w:tcW w:w="2220" w:type="dxa"/>
            <w:vAlign w:val="center"/>
          </w:tcPr>
          <w:p w14:paraId="451D3329">
            <w:pPr>
              <w:jc w:val="center"/>
              <w:rPr>
                <w:rFonts w:ascii="仿宋" w:hAnsi="仿宋" w:eastAsia="仿宋" w:cs="仿宋"/>
                <w:sz w:val="24"/>
                <w:highlight w:val="none"/>
              </w:rPr>
            </w:pPr>
            <w:r>
              <w:rPr>
                <w:rFonts w:hint="eastAsia" w:ascii="仿宋" w:hAnsi="仿宋" w:eastAsia="仿宋" w:cs="仿宋"/>
                <w:sz w:val="24"/>
                <w:highlight w:val="none"/>
              </w:rPr>
              <w:t>85.00</w:t>
            </w:r>
          </w:p>
        </w:tc>
        <w:tc>
          <w:tcPr>
            <w:tcW w:w="1960" w:type="dxa"/>
            <w:vMerge w:val="continue"/>
            <w:vAlign w:val="center"/>
          </w:tcPr>
          <w:p w14:paraId="44852EC8">
            <w:pPr>
              <w:jc w:val="center"/>
              <w:rPr>
                <w:rFonts w:ascii="仿宋" w:hAnsi="仿宋" w:eastAsia="仿宋" w:cs="仿宋"/>
                <w:sz w:val="24"/>
                <w:highlight w:val="none"/>
              </w:rPr>
            </w:pPr>
          </w:p>
        </w:tc>
        <w:tc>
          <w:tcPr>
            <w:tcW w:w="2180" w:type="dxa"/>
            <w:vMerge w:val="continue"/>
            <w:vAlign w:val="center"/>
          </w:tcPr>
          <w:p w14:paraId="14E1FE83">
            <w:pPr>
              <w:jc w:val="center"/>
              <w:rPr>
                <w:rFonts w:ascii="仿宋" w:hAnsi="仿宋" w:eastAsia="仿宋" w:cs="仿宋"/>
                <w:sz w:val="24"/>
                <w:highlight w:val="none"/>
              </w:rPr>
            </w:pPr>
          </w:p>
        </w:tc>
      </w:tr>
      <w:tr w14:paraId="7496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10" w:type="dxa"/>
            <w:vAlign w:val="center"/>
          </w:tcPr>
          <w:p w14:paraId="54F11A3A">
            <w:pPr>
              <w:rPr>
                <w:rFonts w:ascii="仿宋" w:hAnsi="仿宋" w:eastAsia="仿宋" w:cs="仿宋"/>
                <w:sz w:val="24"/>
                <w:highlight w:val="none"/>
              </w:rPr>
            </w:pPr>
          </w:p>
        </w:tc>
        <w:tc>
          <w:tcPr>
            <w:tcW w:w="2220" w:type="dxa"/>
            <w:vAlign w:val="center"/>
          </w:tcPr>
          <w:p w14:paraId="3E1F7083">
            <w:pPr>
              <w:jc w:val="center"/>
              <w:rPr>
                <w:rFonts w:ascii="仿宋" w:hAnsi="仿宋" w:eastAsia="仿宋" w:cs="仿宋"/>
                <w:sz w:val="24"/>
                <w:highlight w:val="none"/>
              </w:rPr>
            </w:pPr>
            <w:r>
              <w:rPr>
                <w:rFonts w:hint="eastAsia" w:ascii="仿宋" w:hAnsi="仿宋" w:eastAsia="仿宋" w:cs="仿宋"/>
                <w:sz w:val="24"/>
                <w:highlight w:val="none"/>
              </w:rPr>
              <w:t>340.00</w:t>
            </w:r>
          </w:p>
        </w:tc>
        <w:tc>
          <w:tcPr>
            <w:tcW w:w="1960" w:type="dxa"/>
            <w:vAlign w:val="center"/>
          </w:tcPr>
          <w:p w14:paraId="78308888">
            <w:pPr>
              <w:jc w:val="center"/>
              <w:rPr>
                <w:rFonts w:ascii="仿宋" w:hAnsi="仿宋" w:eastAsia="仿宋" w:cs="仿宋"/>
                <w:sz w:val="24"/>
                <w:highlight w:val="none"/>
              </w:rPr>
            </w:pPr>
            <w:r>
              <w:rPr>
                <w:rFonts w:hint="eastAsia" w:ascii="仿宋" w:hAnsi="仿宋" w:eastAsia="仿宋" w:cs="仿宋"/>
                <w:sz w:val="24"/>
                <w:highlight w:val="none"/>
              </w:rPr>
              <w:t>60.00</w:t>
            </w:r>
          </w:p>
        </w:tc>
        <w:tc>
          <w:tcPr>
            <w:tcW w:w="2180" w:type="dxa"/>
            <w:vAlign w:val="center"/>
          </w:tcPr>
          <w:p w14:paraId="19FFDF57">
            <w:pPr>
              <w:jc w:val="center"/>
              <w:rPr>
                <w:rFonts w:ascii="仿宋" w:hAnsi="仿宋" w:eastAsia="仿宋" w:cs="仿宋"/>
                <w:sz w:val="24"/>
                <w:highlight w:val="none"/>
              </w:rPr>
            </w:pPr>
            <w:r>
              <w:rPr>
                <w:rFonts w:hint="eastAsia" w:ascii="仿宋" w:hAnsi="仿宋" w:eastAsia="仿宋" w:cs="仿宋"/>
                <w:sz w:val="24"/>
                <w:highlight w:val="none"/>
              </w:rPr>
              <w:t>400.00</w:t>
            </w:r>
          </w:p>
        </w:tc>
      </w:tr>
    </w:tbl>
    <w:p w14:paraId="4257037E">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2.大数据业财处理技能竞赛环节</w:t>
      </w:r>
    </w:p>
    <w:p w14:paraId="6B462B33">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该环节总分400分，由4名参赛学生成绩加总，分值比例分配如下：</w:t>
      </w:r>
    </w:p>
    <w:tbl>
      <w:tblPr>
        <w:tblStyle w:val="9"/>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1"/>
        <w:gridCol w:w="2713"/>
        <w:gridCol w:w="2046"/>
      </w:tblGrid>
      <w:tr w14:paraId="2CC6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051" w:type="dxa"/>
            <w:vAlign w:val="center"/>
          </w:tcPr>
          <w:p w14:paraId="4A844747">
            <w:pPr>
              <w:adjustRightInd w:val="0"/>
              <w:snapToGrid w:val="0"/>
              <w:spacing w:line="276" w:lineRule="auto"/>
              <w:jc w:val="center"/>
              <w:rPr>
                <w:rFonts w:ascii="仿宋" w:hAnsi="仿宋" w:eastAsia="仿宋"/>
                <w:b/>
                <w:sz w:val="22"/>
                <w:highlight w:val="none"/>
              </w:rPr>
            </w:pPr>
            <w:r>
              <w:rPr>
                <w:rFonts w:hint="eastAsia" w:ascii="仿宋" w:hAnsi="仿宋" w:eastAsia="仿宋"/>
                <w:b/>
                <w:sz w:val="22"/>
                <w:highlight w:val="none"/>
              </w:rPr>
              <w:t>竞赛内容</w:t>
            </w:r>
          </w:p>
        </w:tc>
        <w:tc>
          <w:tcPr>
            <w:tcW w:w="2713" w:type="dxa"/>
            <w:vAlign w:val="center"/>
          </w:tcPr>
          <w:p w14:paraId="62F498CB">
            <w:pPr>
              <w:adjustRightInd w:val="0"/>
              <w:snapToGrid w:val="0"/>
              <w:spacing w:line="276" w:lineRule="auto"/>
              <w:jc w:val="center"/>
              <w:rPr>
                <w:rFonts w:ascii="仿宋" w:hAnsi="仿宋" w:eastAsia="仿宋"/>
                <w:b/>
                <w:sz w:val="22"/>
                <w:highlight w:val="none"/>
              </w:rPr>
            </w:pPr>
            <w:r>
              <w:rPr>
                <w:rFonts w:hint="eastAsia" w:ascii="仿宋" w:hAnsi="仿宋" w:eastAsia="仿宋"/>
                <w:b/>
                <w:sz w:val="22"/>
                <w:highlight w:val="none"/>
              </w:rPr>
              <w:t>各模块分值</w:t>
            </w:r>
          </w:p>
        </w:tc>
        <w:tc>
          <w:tcPr>
            <w:tcW w:w="2046" w:type="dxa"/>
            <w:vAlign w:val="center"/>
          </w:tcPr>
          <w:p w14:paraId="0548A2AF">
            <w:pPr>
              <w:adjustRightInd w:val="0"/>
              <w:snapToGrid w:val="0"/>
              <w:spacing w:line="276" w:lineRule="auto"/>
              <w:jc w:val="center"/>
              <w:rPr>
                <w:rFonts w:ascii="仿宋" w:hAnsi="仿宋" w:eastAsia="仿宋"/>
                <w:b/>
                <w:sz w:val="22"/>
                <w:highlight w:val="none"/>
              </w:rPr>
            </w:pPr>
            <w:r>
              <w:rPr>
                <w:rFonts w:hint="eastAsia" w:ascii="仿宋" w:hAnsi="仿宋" w:eastAsia="仿宋"/>
                <w:b/>
                <w:sz w:val="22"/>
                <w:highlight w:val="none"/>
              </w:rPr>
              <w:t>合计</w:t>
            </w:r>
          </w:p>
        </w:tc>
      </w:tr>
      <w:tr w14:paraId="6317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051" w:type="dxa"/>
            <w:vAlign w:val="center"/>
          </w:tcPr>
          <w:p w14:paraId="442F5B7F">
            <w:pPr>
              <w:spacing w:line="276" w:lineRule="auto"/>
              <w:jc w:val="center"/>
              <w:rPr>
                <w:rFonts w:ascii="仿宋" w:hAnsi="仿宋" w:eastAsia="仿宋" w:cs="仿宋"/>
                <w:sz w:val="24"/>
                <w:highlight w:val="none"/>
              </w:rPr>
            </w:pPr>
            <w:r>
              <w:rPr>
                <w:rFonts w:hint="eastAsia" w:ascii="仿宋" w:hAnsi="仿宋" w:eastAsia="仿宋"/>
                <w:sz w:val="24"/>
                <w:highlight w:val="none"/>
              </w:rPr>
              <w:t>会计应用相关</w:t>
            </w:r>
            <w:bookmarkStart w:id="9" w:name="OLE_LINK10"/>
            <w:r>
              <w:rPr>
                <w:rFonts w:ascii="仿宋" w:hAnsi="仿宋" w:eastAsia="仿宋"/>
                <w:sz w:val="24"/>
                <w:highlight w:val="none"/>
              </w:rPr>
              <w:t>Python</w:t>
            </w:r>
            <w:r>
              <w:rPr>
                <w:rFonts w:hint="eastAsia" w:ascii="仿宋" w:hAnsi="仿宋" w:eastAsia="仿宋"/>
                <w:sz w:val="24"/>
                <w:highlight w:val="none"/>
              </w:rPr>
              <w:t>语言</w:t>
            </w:r>
            <w:bookmarkEnd w:id="9"/>
            <w:r>
              <w:rPr>
                <w:rFonts w:ascii="仿宋" w:hAnsi="仿宋" w:eastAsia="仿宋"/>
                <w:sz w:val="24"/>
                <w:highlight w:val="none"/>
              </w:rPr>
              <w:t>基础</w:t>
            </w:r>
          </w:p>
        </w:tc>
        <w:tc>
          <w:tcPr>
            <w:tcW w:w="2713" w:type="dxa"/>
            <w:vAlign w:val="center"/>
          </w:tcPr>
          <w:p w14:paraId="59855791">
            <w:pPr>
              <w:spacing w:line="276" w:lineRule="auto"/>
              <w:jc w:val="center"/>
              <w:rPr>
                <w:rFonts w:ascii="仿宋" w:hAnsi="仿宋" w:eastAsia="仿宋" w:cs="仿宋"/>
                <w:sz w:val="24"/>
                <w:highlight w:val="none"/>
              </w:rPr>
            </w:pPr>
            <w:r>
              <w:rPr>
                <w:rFonts w:hint="eastAsia" w:ascii="仿宋" w:hAnsi="仿宋" w:eastAsia="仿宋" w:cs="仿宋"/>
                <w:sz w:val="24"/>
                <w:highlight w:val="none"/>
              </w:rPr>
              <w:t>15.00</w:t>
            </w:r>
          </w:p>
        </w:tc>
        <w:tc>
          <w:tcPr>
            <w:tcW w:w="2046" w:type="dxa"/>
            <w:vAlign w:val="center"/>
          </w:tcPr>
          <w:p w14:paraId="07613AF6">
            <w:pPr>
              <w:spacing w:line="276" w:lineRule="auto"/>
              <w:jc w:val="center"/>
              <w:rPr>
                <w:rFonts w:ascii="仿宋" w:hAnsi="仿宋" w:eastAsia="仿宋" w:cs="仿宋"/>
                <w:sz w:val="24"/>
                <w:highlight w:val="none"/>
              </w:rPr>
            </w:pPr>
            <w:r>
              <w:rPr>
                <w:rFonts w:hint="eastAsia" w:ascii="仿宋" w:hAnsi="仿宋" w:eastAsia="仿宋" w:cs="仿宋"/>
                <w:sz w:val="24"/>
                <w:highlight w:val="none"/>
              </w:rPr>
              <w:t>60.00</w:t>
            </w:r>
          </w:p>
        </w:tc>
      </w:tr>
      <w:tr w14:paraId="0DB1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4051" w:type="dxa"/>
            <w:vAlign w:val="center"/>
          </w:tcPr>
          <w:p w14:paraId="6DBCDBDF">
            <w:pPr>
              <w:spacing w:line="276" w:lineRule="auto"/>
              <w:jc w:val="center"/>
              <w:rPr>
                <w:rFonts w:ascii="仿宋" w:hAnsi="仿宋" w:eastAsia="仿宋" w:cs="仿宋"/>
                <w:sz w:val="24"/>
                <w:highlight w:val="none"/>
              </w:rPr>
            </w:pPr>
            <w:r>
              <w:rPr>
                <w:rFonts w:hint="eastAsia" w:ascii="仿宋" w:hAnsi="仿宋" w:eastAsia="仿宋"/>
                <w:bCs/>
                <w:sz w:val="24"/>
                <w:highlight w:val="none"/>
              </w:rPr>
              <w:t>会计应用相关的数据分析及可视化</w:t>
            </w:r>
          </w:p>
        </w:tc>
        <w:tc>
          <w:tcPr>
            <w:tcW w:w="2713" w:type="dxa"/>
            <w:vAlign w:val="center"/>
          </w:tcPr>
          <w:p w14:paraId="038BAD0E">
            <w:pPr>
              <w:spacing w:line="276" w:lineRule="auto"/>
              <w:jc w:val="center"/>
              <w:rPr>
                <w:rFonts w:ascii="仿宋" w:hAnsi="仿宋" w:eastAsia="仿宋" w:cs="仿宋"/>
                <w:sz w:val="24"/>
                <w:highlight w:val="none"/>
              </w:rPr>
            </w:pPr>
            <w:r>
              <w:rPr>
                <w:rFonts w:hint="eastAsia" w:ascii="仿宋" w:hAnsi="仿宋" w:eastAsia="仿宋" w:cs="仿宋"/>
                <w:sz w:val="24"/>
                <w:highlight w:val="none"/>
              </w:rPr>
              <w:t>15.00</w:t>
            </w:r>
          </w:p>
        </w:tc>
        <w:tc>
          <w:tcPr>
            <w:tcW w:w="2046" w:type="dxa"/>
            <w:vAlign w:val="center"/>
          </w:tcPr>
          <w:p w14:paraId="40D6A30E">
            <w:pPr>
              <w:spacing w:line="276" w:lineRule="auto"/>
              <w:jc w:val="center"/>
              <w:rPr>
                <w:rFonts w:ascii="仿宋" w:hAnsi="仿宋" w:eastAsia="仿宋" w:cs="仿宋"/>
                <w:sz w:val="24"/>
                <w:highlight w:val="none"/>
              </w:rPr>
            </w:pPr>
            <w:r>
              <w:rPr>
                <w:rFonts w:hint="eastAsia" w:ascii="仿宋" w:hAnsi="仿宋" w:eastAsia="仿宋" w:cs="仿宋"/>
                <w:sz w:val="24"/>
                <w:highlight w:val="none"/>
              </w:rPr>
              <w:t>60.00</w:t>
            </w:r>
          </w:p>
        </w:tc>
      </w:tr>
      <w:tr w14:paraId="410D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4051" w:type="dxa"/>
            <w:vAlign w:val="center"/>
          </w:tcPr>
          <w:p w14:paraId="4D77196A">
            <w:pPr>
              <w:spacing w:line="276" w:lineRule="auto"/>
              <w:jc w:val="center"/>
              <w:rPr>
                <w:rFonts w:ascii="仿宋" w:hAnsi="仿宋" w:eastAsia="仿宋" w:cs="仿宋"/>
                <w:sz w:val="24"/>
                <w:highlight w:val="none"/>
              </w:rPr>
            </w:pPr>
            <w:r>
              <w:rPr>
                <w:rFonts w:hint="eastAsia" w:ascii="仿宋" w:hAnsi="仿宋" w:eastAsia="仿宋"/>
                <w:sz w:val="24"/>
                <w:highlight w:val="none"/>
              </w:rPr>
              <w:t>财务账表处理</w:t>
            </w:r>
          </w:p>
        </w:tc>
        <w:tc>
          <w:tcPr>
            <w:tcW w:w="2713" w:type="dxa"/>
            <w:vAlign w:val="center"/>
          </w:tcPr>
          <w:p w14:paraId="750E8075">
            <w:pPr>
              <w:spacing w:line="276" w:lineRule="auto"/>
              <w:jc w:val="center"/>
              <w:rPr>
                <w:rFonts w:ascii="仿宋" w:hAnsi="仿宋" w:eastAsia="仿宋" w:cs="仿宋"/>
                <w:sz w:val="24"/>
                <w:highlight w:val="none"/>
              </w:rPr>
            </w:pPr>
            <w:r>
              <w:rPr>
                <w:rFonts w:hint="eastAsia" w:ascii="仿宋" w:hAnsi="仿宋" w:eastAsia="仿宋" w:cs="仿宋"/>
                <w:sz w:val="24"/>
                <w:highlight w:val="none"/>
              </w:rPr>
              <w:t>20.00</w:t>
            </w:r>
          </w:p>
        </w:tc>
        <w:tc>
          <w:tcPr>
            <w:tcW w:w="2046" w:type="dxa"/>
            <w:vAlign w:val="center"/>
          </w:tcPr>
          <w:p w14:paraId="1A5083E7">
            <w:pPr>
              <w:spacing w:line="276" w:lineRule="auto"/>
              <w:jc w:val="center"/>
              <w:rPr>
                <w:rFonts w:ascii="仿宋" w:hAnsi="仿宋" w:eastAsia="仿宋" w:cs="仿宋"/>
                <w:sz w:val="24"/>
                <w:highlight w:val="none"/>
              </w:rPr>
            </w:pPr>
            <w:r>
              <w:rPr>
                <w:rFonts w:hint="eastAsia" w:ascii="仿宋" w:hAnsi="仿宋" w:eastAsia="仿宋" w:cs="仿宋"/>
                <w:sz w:val="24"/>
                <w:highlight w:val="none"/>
              </w:rPr>
              <w:t>80.00</w:t>
            </w:r>
          </w:p>
        </w:tc>
      </w:tr>
      <w:tr w14:paraId="5CA0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4051" w:type="dxa"/>
            <w:vAlign w:val="center"/>
          </w:tcPr>
          <w:p w14:paraId="20FCFDE3">
            <w:pPr>
              <w:spacing w:line="276" w:lineRule="auto"/>
              <w:jc w:val="center"/>
              <w:rPr>
                <w:rFonts w:ascii="仿宋" w:hAnsi="仿宋" w:eastAsia="仿宋" w:cs="仿宋"/>
                <w:sz w:val="24"/>
                <w:highlight w:val="none"/>
              </w:rPr>
            </w:pPr>
            <w:r>
              <w:rPr>
                <w:rFonts w:hint="eastAsia" w:ascii="仿宋" w:hAnsi="仿宋" w:eastAsia="仿宋" w:cs="仿宋"/>
                <w:sz w:val="24"/>
                <w:highlight w:val="none"/>
              </w:rPr>
              <w:t>企业业务数据分析应用</w:t>
            </w:r>
          </w:p>
        </w:tc>
        <w:tc>
          <w:tcPr>
            <w:tcW w:w="2713" w:type="dxa"/>
            <w:vAlign w:val="center"/>
          </w:tcPr>
          <w:p w14:paraId="57A67135">
            <w:pPr>
              <w:spacing w:line="276" w:lineRule="auto"/>
              <w:jc w:val="center"/>
              <w:rPr>
                <w:rFonts w:ascii="仿宋" w:hAnsi="仿宋" w:eastAsia="仿宋" w:cs="仿宋"/>
                <w:sz w:val="24"/>
                <w:highlight w:val="none"/>
              </w:rPr>
            </w:pPr>
            <w:r>
              <w:rPr>
                <w:rFonts w:hint="eastAsia" w:ascii="仿宋" w:hAnsi="仿宋" w:eastAsia="仿宋" w:cs="仿宋"/>
                <w:sz w:val="24"/>
                <w:highlight w:val="none"/>
              </w:rPr>
              <w:t>20.00</w:t>
            </w:r>
          </w:p>
        </w:tc>
        <w:tc>
          <w:tcPr>
            <w:tcW w:w="2046" w:type="dxa"/>
            <w:vAlign w:val="center"/>
          </w:tcPr>
          <w:p w14:paraId="394DC370">
            <w:pPr>
              <w:spacing w:line="276" w:lineRule="auto"/>
              <w:jc w:val="center"/>
              <w:rPr>
                <w:rFonts w:ascii="仿宋" w:hAnsi="仿宋" w:eastAsia="仿宋" w:cs="仿宋"/>
                <w:sz w:val="24"/>
                <w:highlight w:val="none"/>
              </w:rPr>
            </w:pPr>
            <w:r>
              <w:rPr>
                <w:rFonts w:hint="eastAsia" w:ascii="仿宋" w:hAnsi="仿宋" w:eastAsia="仿宋" w:cs="仿宋"/>
                <w:sz w:val="24"/>
                <w:highlight w:val="none"/>
              </w:rPr>
              <w:t>80.00</w:t>
            </w:r>
          </w:p>
        </w:tc>
      </w:tr>
      <w:tr w14:paraId="2FCA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051" w:type="dxa"/>
            <w:vAlign w:val="center"/>
          </w:tcPr>
          <w:p w14:paraId="18B5C031">
            <w:pPr>
              <w:spacing w:line="276" w:lineRule="auto"/>
              <w:jc w:val="center"/>
              <w:rPr>
                <w:rFonts w:ascii="仿宋" w:hAnsi="仿宋" w:eastAsia="仿宋" w:cs="仿宋"/>
                <w:sz w:val="24"/>
                <w:highlight w:val="none"/>
              </w:rPr>
            </w:pPr>
            <w:r>
              <w:rPr>
                <w:rFonts w:hint="eastAsia" w:ascii="仿宋" w:hAnsi="仿宋" w:eastAsia="仿宋" w:cs="仿宋"/>
                <w:sz w:val="24"/>
                <w:highlight w:val="none"/>
              </w:rPr>
              <w:t>企业财务数据分析应用</w:t>
            </w:r>
          </w:p>
        </w:tc>
        <w:tc>
          <w:tcPr>
            <w:tcW w:w="2713" w:type="dxa"/>
            <w:vAlign w:val="center"/>
          </w:tcPr>
          <w:p w14:paraId="055474B6">
            <w:pPr>
              <w:spacing w:line="276" w:lineRule="auto"/>
              <w:jc w:val="center"/>
              <w:rPr>
                <w:rFonts w:ascii="仿宋" w:hAnsi="仿宋" w:eastAsia="仿宋" w:cs="仿宋"/>
                <w:sz w:val="24"/>
                <w:highlight w:val="none"/>
              </w:rPr>
            </w:pPr>
            <w:r>
              <w:rPr>
                <w:rFonts w:hint="eastAsia" w:ascii="仿宋" w:hAnsi="仿宋" w:eastAsia="仿宋" w:cs="仿宋"/>
                <w:sz w:val="24"/>
                <w:highlight w:val="none"/>
              </w:rPr>
              <w:t>30.00</w:t>
            </w:r>
          </w:p>
        </w:tc>
        <w:tc>
          <w:tcPr>
            <w:tcW w:w="2046" w:type="dxa"/>
            <w:vAlign w:val="center"/>
          </w:tcPr>
          <w:p w14:paraId="3E848FF2">
            <w:pPr>
              <w:spacing w:line="276" w:lineRule="auto"/>
              <w:jc w:val="center"/>
              <w:rPr>
                <w:rFonts w:ascii="仿宋" w:hAnsi="仿宋" w:eastAsia="仿宋" w:cs="仿宋"/>
                <w:sz w:val="24"/>
                <w:highlight w:val="none"/>
              </w:rPr>
            </w:pPr>
            <w:r>
              <w:rPr>
                <w:rFonts w:hint="eastAsia" w:ascii="仿宋" w:hAnsi="仿宋" w:eastAsia="仿宋" w:cs="仿宋"/>
                <w:sz w:val="24"/>
                <w:highlight w:val="none"/>
              </w:rPr>
              <w:t>120.00</w:t>
            </w:r>
          </w:p>
        </w:tc>
      </w:tr>
      <w:tr w14:paraId="4B35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4051" w:type="dxa"/>
            <w:vAlign w:val="center"/>
          </w:tcPr>
          <w:p w14:paraId="11C06026">
            <w:pPr>
              <w:spacing w:line="276" w:lineRule="auto"/>
              <w:jc w:val="center"/>
              <w:rPr>
                <w:rFonts w:ascii="仿宋" w:hAnsi="仿宋" w:eastAsia="仿宋" w:cs="仿宋"/>
                <w:sz w:val="24"/>
                <w:highlight w:val="none"/>
              </w:rPr>
            </w:pPr>
            <w:r>
              <w:rPr>
                <w:rFonts w:hint="eastAsia" w:ascii="仿宋" w:hAnsi="仿宋" w:eastAsia="仿宋" w:cs="仿宋"/>
                <w:sz w:val="24"/>
                <w:highlight w:val="none"/>
              </w:rPr>
              <w:t>合计</w:t>
            </w:r>
          </w:p>
        </w:tc>
        <w:tc>
          <w:tcPr>
            <w:tcW w:w="2713" w:type="dxa"/>
            <w:vAlign w:val="center"/>
          </w:tcPr>
          <w:p w14:paraId="1B6A0F95">
            <w:pPr>
              <w:spacing w:line="276" w:lineRule="auto"/>
              <w:jc w:val="center"/>
              <w:rPr>
                <w:rFonts w:ascii="仿宋" w:hAnsi="仿宋" w:eastAsia="仿宋" w:cs="仿宋"/>
                <w:sz w:val="24"/>
                <w:highlight w:val="none"/>
              </w:rPr>
            </w:pPr>
            <w:r>
              <w:rPr>
                <w:rFonts w:hint="eastAsia" w:ascii="仿宋" w:hAnsi="仿宋" w:eastAsia="仿宋" w:cs="仿宋"/>
                <w:sz w:val="24"/>
                <w:highlight w:val="none"/>
              </w:rPr>
              <w:t>100.00</w:t>
            </w:r>
          </w:p>
        </w:tc>
        <w:tc>
          <w:tcPr>
            <w:tcW w:w="2046" w:type="dxa"/>
            <w:vAlign w:val="center"/>
          </w:tcPr>
          <w:p w14:paraId="13B769B5">
            <w:pPr>
              <w:spacing w:line="276" w:lineRule="auto"/>
              <w:jc w:val="center"/>
              <w:rPr>
                <w:rFonts w:ascii="仿宋" w:hAnsi="仿宋" w:eastAsia="仿宋" w:cs="仿宋"/>
                <w:sz w:val="24"/>
                <w:highlight w:val="none"/>
              </w:rPr>
            </w:pPr>
            <w:r>
              <w:rPr>
                <w:rFonts w:hint="eastAsia" w:ascii="仿宋" w:hAnsi="仿宋" w:eastAsia="仿宋" w:cs="仿宋"/>
                <w:sz w:val="24"/>
                <w:highlight w:val="none"/>
              </w:rPr>
              <w:t>400.00</w:t>
            </w:r>
          </w:p>
        </w:tc>
      </w:tr>
    </w:tbl>
    <w:p w14:paraId="34D23345">
      <w:pPr>
        <w:autoSpaceDE w:val="0"/>
        <w:autoSpaceDN w:val="0"/>
        <w:spacing w:line="560" w:lineRule="exact"/>
        <w:ind w:firstLine="602" w:firstLineChars="200"/>
        <w:rPr>
          <w:rFonts w:eastAsia="黑体"/>
          <w:b/>
          <w:bCs/>
          <w:kern w:val="44"/>
          <w:sz w:val="30"/>
          <w:szCs w:val="44"/>
          <w:highlight w:val="none"/>
        </w:rPr>
      </w:pPr>
      <w:r>
        <w:rPr>
          <w:rFonts w:hint="eastAsia" w:eastAsia="黑体"/>
          <w:b/>
          <w:bCs/>
          <w:kern w:val="44"/>
          <w:sz w:val="30"/>
          <w:szCs w:val="44"/>
          <w:highlight w:val="none"/>
        </w:rPr>
        <w:t>十、竞赛流程</w:t>
      </w:r>
    </w:p>
    <w:tbl>
      <w:tblPr>
        <w:tblStyle w:val="9"/>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425"/>
        <w:gridCol w:w="1700"/>
        <w:gridCol w:w="2789"/>
        <w:gridCol w:w="1837"/>
      </w:tblGrid>
      <w:tr w14:paraId="0253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61" w:type="dxa"/>
            <w:gridSpan w:val="2"/>
            <w:vAlign w:val="center"/>
          </w:tcPr>
          <w:p w14:paraId="6B1D3BB5">
            <w:pPr>
              <w:snapToGrid w:val="0"/>
              <w:spacing w:line="56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时间</w:t>
            </w:r>
          </w:p>
        </w:tc>
        <w:tc>
          <w:tcPr>
            <w:tcW w:w="1700" w:type="dxa"/>
            <w:vAlign w:val="center"/>
          </w:tcPr>
          <w:p w14:paraId="40474ECB">
            <w:pPr>
              <w:snapToGrid w:val="0"/>
              <w:spacing w:line="56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流程</w:t>
            </w:r>
          </w:p>
        </w:tc>
        <w:tc>
          <w:tcPr>
            <w:tcW w:w="2789" w:type="dxa"/>
            <w:vAlign w:val="center"/>
          </w:tcPr>
          <w:p w14:paraId="34976AB0">
            <w:pPr>
              <w:snapToGrid w:val="0"/>
              <w:spacing w:line="56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内容</w:t>
            </w:r>
          </w:p>
        </w:tc>
        <w:tc>
          <w:tcPr>
            <w:tcW w:w="1837" w:type="dxa"/>
            <w:vAlign w:val="center"/>
          </w:tcPr>
          <w:p w14:paraId="6BF5051E">
            <w:pPr>
              <w:snapToGrid w:val="0"/>
              <w:spacing w:line="56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备注</w:t>
            </w:r>
          </w:p>
        </w:tc>
      </w:tr>
      <w:tr w14:paraId="2B48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6" w:type="dxa"/>
            <w:vMerge w:val="restart"/>
            <w:vAlign w:val="center"/>
          </w:tcPr>
          <w:p w14:paraId="39F2DC6B">
            <w:pPr>
              <w:snapToGrid w:val="0"/>
              <w:spacing w:line="5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赛前</w:t>
            </w:r>
          </w:p>
        </w:tc>
        <w:tc>
          <w:tcPr>
            <w:tcW w:w="1425" w:type="dxa"/>
            <w:vMerge w:val="restart"/>
            <w:vAlign w:val="center"/>
          </w:tcPr>
          <w:p w14:paraId="6411ACCB">
            <w:pPr>
              <w:snapToGrid w:val="0"/>
              <w:spacing w:line="5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日</w:t>
            </w:r>
          </w:p>
        </w:tc>
        <w:tc>
          <w:tcPr>
            <w:tcW w:w="1700" w:type="dxa"/>
            <w:vMerge w:val="restart"/>
            <w:vAlign w:val="center"/>
          </w:tcPr>
          <w:p w14:paraId="4E598E79">
            <w:pPr>
              <w:snapToGrid w:val="0"/>
              <w:spacing w:line="5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参赛队报到、开幕式</w:t>
            </w:r>
          </w:p>
        </w:tc>
        <w:tc>
          <w:tcPr>
            <w:tcW w:w="2789" w:type="dxa"/>
            <w:vAlign w:val="center"/>
          </w:tcPr>
          <w:p w14:paraId="7A531348">
            <w:pPr>
              <w:snapToGrid w:val="0"/>
              <w:spacing w:line="5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参赛队报到</w:t>
            </w:r>
          </w:p>
        </w:tc>
        <w:tc>
          <w:tcPr>
            <w:tcW w:w="1837" w:type="dxa"/>
            <w:vAlign w:val="center"/>
          </w:tcPr>
          <w:p w14:paraId="0EC6689E">
            <w:pPr>
              <w:snapToGrid w:val="0"/>
              <w:spacing w:line="560" w:lineRule="exact"/>
              <w:jc w:val="center"/>
              <w:rPr>
                <w:rFonts w:ascii="仿宋" w:hAnsi="仿宋" w:eastAsia="仿宋" w:cs="仿宋"/>
                <w:color w:val="auto"/>
                <w:sz w:val="24"/>
                <w:highlight w:val="none"/>
              </w:rPr>
            </w:pPr>
            <w:r>
              <w:rPr>
                <w:rFonts w:ascii="仿宋" w:hAnsi="仿宋" w:eastAsia="仿宋" w:cs="仿宋"/>
                <w:color w:val="auto"/>
                <w:sz w:val="24"/>
                <w:highlight w:val="none"/>
              </w:rPr>
              <w:t>12</w:t>
            </w:r>
            <w:r>
              <w:rPr>
                <w:rFonts w:hint="eastAsia" w:ascii="仿宋" w:hAnsi="仿宋" w:eastAsia="仿宋" w:cs="仿宋"/>
                <w:color w:val="auto"/>
                <w:sz w:val="24"/>
                <w:highlight w:val="none"/>
              </w:rPr>
              <w:t>:00-15:00</w:t>
            </w:r>
          </w:p>
        </w:tc>
      </w:tr>
      <w:tr w14:paraId="39F6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6" w:type="dxa"/>
            <w:vMerge w:val="continue"/>
            <w:vAlign w:val="center"/>
          </w:tcPr>
          <w:p w14:paraId="1222D760">
            <w:pPr>
              <w:snapToGrid w:val="0"/>
              <w:spacing w:line="560" w:lineRule="exact"/>
              <w:jc w:val="center"/>
              <w:rPr>
                <w:rFonts w:ascii="仿宋" w:hAnsi="仿宋" w:eastAsia="仿宋" w:cs="仿宋"/>
                <w:color w:val="auto"/>
                <w:sz w:val="24"/>
                <w:highlight w:val="none"/>
              </w:rPr>
            </w:pPr>
          </w:p>
        </w:tc>
        <w:tc>
          <w:tcPr>
            <w:tcW w:w="1425" w:type="dxa"/>
            <w:vMerge w:val="continue"/>
            <w:vAlign w:val="center"/>
          </w:tcPr>
          <w:p w14:paraId="31F9D8FF">
            <w:pPr>
              <w:snapToGrid w:val="0"/>
              <w:spacing w:line="560" w:lineRule="exact"/>
              <w:jc w:val="center"/>
              <w:rPr>
                <w:rFonts w:ascii="仿宋" w:hAnsi="仿宋" w:eastAsia="仿宋" w:cs="仿宋"/>
                <w:color w:val="auto"/>
                <w:sz w:val="24"/>
                <w:highlight w:val="none"/>
              </w:rPr>
            </w:pPr>
          </w:p>
        </w:tc>
        <w:tc>
          <w:tcPr>
            <w:tcW w:w="1700" w:type="dxa"/>
            <w:vMerge w:val="continue"/>
            <w:vAlign w:val="center"/>
          </w:tcPr>
          <w:p w14:paraId="36F66794">
            <w:pPr>
              <w:snapToGrid w:val="0"/>
              <w:spacing w:line="560" w:lineRule="exact"/>
              <w:jc w:val="center"/>
              <w:rPr>
                <w:rFonts w:ascii="仿宋" w:hAnsi="仿宋" w:eastAsia="仿宋" w:cs="仿宋"/>
                <w:color w:val="auto"/>
                <w:sz w:val="24"/>
                <w:highlight w:val="none"/>
              </w:rPr>
            </w:pPr>
          </w:p>
        </w:tc>
        <w:tc>
          <w:tcPr>
            <w:tcW w:w="2789" w:type="dxa"/>
            <w:vAlign w:val="center"/>
          </w:tcPr>
          <w:p w14:paraId="1CF8E60E">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竞赛开幕式</w:t>
            </w:r>
          </w:p>
          <w:p w14:paraId="669129B0">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领队说明会</w:t>
            </w:r>
          </w:p>
        </w:tc>
        <w:tc>
          <w:tcPr>
            <w:tcW w:w="1837" w:type="dxa"/>
            <w:vAlign w:val="center"/>
          </w:tcPr>
          <w:p w14:paraId="4AF48160">
            <w:pPr>
              <w:snapToGrid w:val="0"/>
              <w:spacing w:line="5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15:30-1</w:t>
            </w:r>
            <w:r>
              <w:rPr>
                <w:rFonts w:ascii="仿宋" w:hAnsi="仿宋" w:eastAsia="仿宋" w:cs="仿宋"/>
                <w:color w:val="auto"/>
                <w:sz w:val="24"/>
                <w:highlight w:val="none"/>
              </w:rPr>
              <w:t>7</w:t>
            </w:r>
            <w:r>
              <w:rPr>
                <w:rFonts w:hint="eastAsia" w:ascii="仿宋" w:hAnsi="仿宋" w:eastAsia="仿宋" w:cs="仿宋"/>
                <w:color w:val="auto"/>
                <w:sz w:val="24"/>
                <w:highlight w:val="none"/>
              </w:rPr>
              <w:t>:</w:t>
            </w:r>
            <w:r>
              <w:rPr>
                <w:rFonts w:ascii="仿宋" w:hAnsi="仿宋" w:eastAsia="仿宋" w:cs="仿宋"/>
                <w:color w:val="auto"/>
                <w:sz w:val="24"/>
                <w:highlight w:val="none"/>
              </w:rPr>
              <w:t>0</w:t>
            </w:r>
            <w:r>
              <w:rPr>
                <w:rFonts w:hint="eastAsia" w:ascii="仿宋" w:hAnsi="仿宋" w:eastAsia="仿宋" w:cs="仿宋"/>
                <w:color w:val="auto"/>
                <w:sz w:val="24"/>
                <w:highlight w:val="none"/>
              </w:rPr>
              <w:t>0</w:t>
            </w:r>
          </w:p>
        </w:tc>
      </w:tr>
      <w:tr w14:paraId="4246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6" w:type="dxa"/>
            <w:vMerge w:val="continue"/>
            <w:vAlign w:val="center"/>
          </w:tcPr>
          <w:p w14:paraId="52F7F5BC">
            <w:pPr>
              <w:snapToGrid w:val="0"/>
              <w:spacing w:line="560" w:lineRule="exact"/>
              <w:jc w:val="center"/>
              <w:rPr>
                <w:rFonts w:ascii="仿宋" w:hAnsi="仿宋" w:eastAsia="仿宋" w:cs="仿宋"/>
                <w:color w:val="auto"/>
                <w:sz w:val="24"/>
                <w:highlight w:val="none"/>
              </w:rPr>
            </w:pPr>
          </w:p>
        </w:tc>
        <w:tc>
          <w:tcPr>
            <w:tcW w:w="1425" w:type="dxa"/>
            <w:vMerge w:val="continue"/>
            <w:vAlign w:val="center"/>
          </w:tcPr>
          <w:p w14:paraId="4F0E7D63">
            <w:pPr>
              <w:snapToGrid w:val="0"/>
              <w:spacing w:line="560" w:lineRule="exact"/>
              <w:jc w:val="center"/>
              <w:rPr>
                <w:rFonts w:ascii="仿宋" w:hAnsi="仿宋" w:eastAsia="仿宋" w:cs="仿宋"/>
                <w:color w:val="auto"/>
                <w:sz w:val="24"/>
                <w:highlight w:val="none"/>
              </w:rPr>
            </w:pPr>
          </w:p>
        </w:tc>
        <w:tc>
          <w:tcPr>
            <w:tcW w:w="1700" w:type="dxa"/>
            <w:vMerge w:val="continue"/>
            <w:vAlign w:val="center"/>
          </w:tcPr>
          <w:p w14:paraId="04D5959B">
            <w:pPr>
              <w:snapToGrid w:val="0"/>
              <w:spacing w:line="560" w:lineRule="exact"/>
              <w:jc w:val="center"/>
              <w:rPr>
                <w:rFonts w:ascii="仿宋" w:hAnsi="仿宋" w:eastAsia="仿宋" w:cs="仿宋"/>
                <w:color w:val="auto"/>
                <w:sz w:val="24"/>
                <w:highlight w:val="none"/>
              </w:rPr>
            </w:pPr>
          </w:p>
        </w:tc>
        <w:tc>
          <w:tcPr>
            <w:tcW w:w="2789" w:type="dxa"/>
            <w:vAlign w:val="center"/>
          </w:tcPr>
          <w:p w14:paraId="11878D32">
            <w:pPr>
              <w:snapToGrid w:val="0"/>
              <w:spacing w:line="5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参赛队熟悉场地</w:t>
            </w:r>
          </w:p>
        </w:tc>
        <w:tc>
          <w:tcPr>
            <w:tcW w:w="1837" w:type="dxa"/>
            <w:vAlign w:val="center"/>
          </w:tcPr>
          <w:p w14:paraId="514A4187">
            <w:pPr>
              <w:snapToGrid w:val="0"/>
              <w:spacing w:line="5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7</w:t>
            </w:r>
            <w:r>
              <w:rPr>
                <w:rFonts w:hint="eastAsia" w:ascii="仿宋" w:hAnsi="仿宋" w:eastAsia="仿宋" w:cs="仿宋"/>
                <w:color w:val="auto"/>
                <w:sz w:val="24"/>
                <w:highlight w:val="none"/>
              </w:rPr>
              <w:t>:</w:t>
            </w:r>
            <w:r>
              <w:rPr>
                <w:rFonts w:ascii="仿宋" w:hAnsi="仿宋" w:eastAsia="仿宋" w:cs="仿宋"/>
                <w:color w:val="auto"/>
                <w:sz w:val="24"/>
                <w:highlight w:val="none"/>
              </w:rPr>
              <w:t>0</w:t>
            </w:r>
            <w:r>
              <w:rPr>
                <w:rFonts w:hint="eastAsia" w:ascii="仿宋" w:hAnsi="仿宋" w:eastAsia="仿宋" w:cs="仿宋"/>
                <w:color w:val="auto"/>
                <w:sz w:val="24"/>
                <w:highlight w:val="none"/>
              </w:rPr>
              <w:t>0-17:30</w:t>
            </w:r>
          </w:p>
        </w:tc>
      </w:tr>
      <w:tr w14:paraId="2E91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6" w:type="dxa"/>
            <w:vMerge w:val="restart"/>
            <w:vAlign w:val="center"/>
          </w:tcPr>
          <w:p w14:paraId="3F91DD82">
            <w:pPr>
              <w:snapToGrid w:val="0"/>
              <w:spacing w:line="5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赛中</w:t>
            </w:r>
          </w:p>
        </w:tc>
        <w:tc>
          <w:tcPr>
            <w:tcW w:w="1425" w:type="dxa"/>
            <w:vMerge w:val="restart"/>
            <w:vAlign w:val="center"/>
          </w:tcPr>
          <w:p w14:paraId="7BC58600">
            <w:pPr>
              <w:snapToGrid w:val="0"/>
              <w:spacing w:line="5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日</w:t>
            </w:r>
          </w:p>
        </w:tc>
        <w:tc>
          <w:tcPr>
            <w:tcW w:w="1700" w:type="dxa"/>
            <w:vMerge w:val="restart"/>
            <w:vAlign w:val="center"/>
          </w:tcPr>
          <w:p w14:paraId="33161BBE">
            <w:pPr>
              <w:snapToGrid w:val="0"/>
              <w:spacing w:line="5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竞赛</w:t>
            </w:r>
          </w:p>
        </w:tc>
        <w:tc>
          <w:tcPr>
            <w:tcW w:w="2789" w:type="dxa"/>
            <w:vAlign w:val="center"/>
          </w:tcPr>
          <w:p w14:paraId="2C3701AB">
            <w:pPr>
              <w:snapToGrid w:val="0"/>
              <w:spacing w:line="5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检</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录</w:t>
            </w:r>
          </w:p>
        </w:tc>
        <w:tc>
          <w:tcPr>
            <w:tcW w:w="1837" w:type="dxa"/>
            <w:vAlign w:val="center"/>
          </w:tcPr>
          <w:p w14:paraId="7AC60E8D">
            <w:pPr>
              <w:snapToGrid w:val="0"/>
              <w:spacing w:line="5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08:</w:t>
            </w:r>
            <w:r>
              <w:rPr>
                <w:rFonts w:ascii="仿宋" w:hAnsi="仿宋" w:eastAsia="仿宋" w:cs="仿宋"/>
                <w:color w:val="auto"/>
                <w:sz w:val="24"/>
                <w:highlight w:val="none"/>
              </w:rPr>
              <w:t>2</w:t>
            </w:r>
            <w:r>
              <w:rPr>
                <w:rFonts w:hint="eastAsia" w:ascii="仿宋" w:hAnsi="仿宋" w:eastAsia="仿宋" w:cs="仿宋"/>
                <w:color w:val="auto"/>
                <w:sz w:val="24"/>
                <w:highlight w:val="none"/>
              </w:rPr>
              <w:t>0-08:</w:t>
            </w:r>
            <w:r>
              <w:rPr>
                <w:rFonts w:ascii="仿宋" w:hAnsi="仿宋" w:eastAsia="仿宋" w:cs="仿宋"/>
                <w:color w:val="auto"/>
                <w:sz w:val="24"/>
                <w:highlight w:val="none"/>
              </w:rPr>
              <w:t>5</w:t>
            </w:r>
            <w:r>
              <w:rPr>
                <w:rFonts w:hint="eastAsia" w:ascii="仿宋" w:hAnsi="仿宋" w:eastAsia="仿宋" w:cs="仿宋"/>
                <w:color w:val="auto"/>
                <w:sz w:val="24"/>
                <w:highlight w:val="none"/>
              </w:rPr>
              <w:t>0</w:t>
            </w:r>
          </w:p>
        </w:tc>
      </w:tr>
      <w:tr w14:paraId="60BF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236" w:type="dxa"/>
            <w:vMerge w:val="continue"/>
            <w:vAlign w:val="center"/>
          </w:tcPr>
          <w:p w14:paraId="38B496C5">
            <w:pPr>
              <w:snapToGrid w:val="0"/>
              <w:spacing w:line="560" w:lineRule="exact"/>
              <w:jc w:val="center"/>
              <w:rPr>
                <w:rFonts w:ascii="仿宋" w:hAnsi="仿宋" w:eastAsia="仿宋" w:cs="仿宋"/>
                <w:color w:val="auto"/>
                <w:sz w:val="24"/>
                <w:highlight w:val="none"/>
              </w:rPr>
            </w:pPr>
          </w:p>
        </w:tc>
        <w:tc>
          <w:tcPr>
            <w:tcW w:w="1425" w:type="dxa"/>
            <w:vMerge w:val="continue"/>
            <w:vAlign w:val="center"/>
          </w:tcPr>
          <w:p w14:paraId="217806CD">
            <w:pPr>
              <w:snapToGrid w:val="0"/>
              <w:spacing w:line="560" w:lineRule="exact"/>
              <w:jc w:val="center"/>
              <w:rPr>
                <w:rFonts w:ascii="仿宋" w:hAnsi="仿宋" w:eastAsia="仿宋" w:cs="仿宋"/>
                <w:color w:val="auto"/>
                <w:sz w:val="24"/>
                <w:highlight w:val="none"/>
              </w:rPr>
            </w:pPr>
          </w:p>
        </w:tc>
        <w:tc>
          <w:tcPr>
            <w:tcW w:w="1700" w:type="dxa"/>
            <w:vMerge w:val="continue"/>
            <w:vAlign w:val="center"/>
          </w:tcPr>
          <w:p w14:paraId="41AAA3AA">
            <w:pPr>
              <w:snapToGrid w:val="0"/>
              <w:spacing w:line="560" w:lineRule="exact"/>
              <w:jc w:val="center"/>
              <w:rPr>
                <w:rFonts w:ascii="仿宋" w:hAnsi="仿宋" w:eastAsia="仿宋" w:cs="仿宋"/>
                <w:color w:val="auto"/>
                <w:sz w:val="24"/>
                <w:highlight w:val="none"/>
              </w:rPr>
            </w:pPr>
          </w:p>
        </w:tc>
        <w:tc>
          <w:tcPr>
            <w:tcW w:w="2789" w:type="dxa"/>
            <w:vAlign w:val="center"/>
          </w:tcPr>
          <w:p w14:paraId="5036CB85">
            <w:pPr>
              <w:snapToGrid w:val="0"/>
              <w:spacing w:line="5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管理会计技能竞赛环节</w:t>
            </w:r>
          </w:p>
        </w:tc>
        <w:tc>
          <w:tcPr>
            <w:tcW w:w="1837" w:type="dxa"/>
            <w:vAlign w:val="center"/>
          </w:tcPr>
          <w:p w14:paraId="0207EA91">
            <w:pPr>
              <w:snapToGrid w:val="0"/>
              <w:spacing w:line="5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09:00-12:00</w:t>
            </w:r>
          </w:p>
        </w:tc>
      </w:tr>
      <w:tr w14:paraId="1B46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6" w:type="dxa"/>
            <w:vMerge w:val="continue"/>
            <w:vAlign w:val="center"/>
          </w:tcPr>
          <w:p w14:paraId="4ED8789B">
            <w:pPr>
              <w:snapToGrid w:val="0"/>
              <w:spacing w:line="560" w:lineRule="exact"/>
              <w:jc w:val="center"/>
              <w:rPr>
                <w:rFonts w:ascii="仿宋" w:hAnsi="仿宋" w:eastAsia="仿宋" w:cs="仿宋"/>
                <w:color w:val="auto"/>
                <w:sz w:val="24"/>
                <w:highlight w:val="none"/>
              </w:rPr>
            </w:pPr>
          </w:p>
        </w:tc>
        <w:tc>
          <w:tcPr>
            <w:tcW w:w="1425" w:type="dxa"/>
            <w:vMerge w:val="continue"/>
            <w:vAlign w:val="center"/>
          </w:tcPr>
          <w:p w14:paraId="7D34EC1A">
            <w:pPr>
              <w:snapToGrid w:val="0"/>
              <w:spacing w:line="560" w:lineRule="exact"/>
              <w:jc w:val="center"/>
              <w:rPr>
                <w:rFonts w:ascii="仿宋" w:hAnsi="仿宋" w:eastAsia="仿宋" w:cs="仿宋"/>
                <w:color w:val="auto"/>
                <w:sz w:val="24"/>
                <w:highlight w:val="none"/>
              </w:rPr>
            </w:pPr>
          </w:p>
        </w:tc>
        <w:tc>
          <w:tcPr>
            <w:tcW w:w="1700" w:type="dxa"/>
            <w:vMerge w:val="continue"/>
            <w:vAlign w:val="center"/>
          </w:tcPr>
          <w:p w14:paraId="22A2E17D">
            <w:pPr>
              <w:snapToGrid w:val="0"/>
              <w:spacing w:line="560" w:lineRule="exact"/>
              <w:jc w:val="center"/>
              <w:rPr>
                <w:rFonts w:ascii="仿宋" w:hAnsi="仿宋" w:eastAsia="仿宋" w:cs="仿宋"/>
                <w:color w:val="auto"/>
                <w:sz w:val="24"/>
                <w:highlight w:val="none"/>
              </w:rPr>
            </w:pPr>
          </w:p>
        </w:tc>
        <w:tc>
          <w:tcPr>
            <w:tcW w:w="2789" w:type="dxa"/>
            <w:vAlign w:val="center"/>
          </w:tcPr>
          <w:p w14:paraId="06DA0458">
            <w:pPr>
              <w:snapToGrid w:val="0"/>
              <w:spacing w:line="5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餐</w:t>
            </w:r>
          </w:p>
        </w:tc>
        <w:tc>
          <w:tcPr>
            <w:tcW w:w="1837" w:type="dxa"/>
            <w:vAlign w:val="center"/>
          </w:tcPr>
          <w:p w14:paraId="74A94F53">
            <w:pPr>
              <w:snapToGrid w:val="0"/>
              <w:spacing w:line="5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12:00-13:30</w:t>
            </w:r>
          </w:p>
        </w:tc>
      </w:tr>
      <w:tr w14:paraId="7111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6" w:type="dxa"/>
            <w:vMerge w:val="continue"/>
            <w:vAlign w:val="center"/>
          </w:tcPr>
          <w:p w14:paraId="695B54DD">
            <w:pPr>
              <w:snapToGrid w:val="0"/>
              <w:spacing w:line="560" w:lineRule="exact"/>
              <w:jc w:val="center"/>
              <w:rPr>
                <w:rFonts w:ascii="仿宋" w:hAnsi="仿宋" w:eastAsia="仿宋" w:cs="仿宋"/>
                <w:color w:val="auto"/>
                <w:sz w:val="24"/>
                <w:highlight w:val="none"/>
              </w:rPr>
            </w:pPr>
          </w:p>
        </w:tc>
        <w:tc>
          <w:tcPr>
            <w:tcW w:w="1425" w:type="dxa"/>
            <w:vMerge w:val="continue"/>
            <w:vAlign w:val="center"/>
          </w:tcPr>
          <w:p w14:paraId="7352C50E">
            <w:pPr>
              <w:snapToGrid w:val="0"/>
              <w:spacing w:line="560" w:lineRule="exact"/>
              <w:jc w:val="center"/>
              <w:rPr>
                <w:rFonts w:ascii="仿宋" w:hAnsi="仿宋" w:eastAsia="仿宋" w:cs="仿宋"/>
                <w:color w:val="auto"/>
                <w:sz w:val="24"/>
                <w:highlight w:val="none"/>
              </w:rPr>
            </w:pPr>
          </w:p>
        </w:tc>
        <w:tc>
          <w:tcPr>
            <w:tcW w:w="1700" w:type="dxa"/>
            <w:vMerge w:val="continue"/>
            <w:vAlign w:val="center"/>
          </w:tcPr>
          <w:p w14:paraId="5B8C2461">
            <w:pPr>
              <w:snapToGrid w:val="0"/>
              <w:spacing w:line="560" w:lineRule="exact"/>
              <w:jc w:val="center"/>
              <w:rPr>
                <w:rFonts w:ascii="仿宋" w:hAnsi="仿宋" w:eastAsia="仿宋" w:cs="仿宋"/>
                <w:color w:val="auto"/>
                <w:sz w:val="24"/>
                <w:highlight w:val="none"/>
              </w:rPr>
            </w:pPr>
          </w:p>
        </w:tc>
        <w:tc>
          <w:tcPr>
            <w:tcW w:w="2789" w:type="dxa"/>
            <w:vAlign w:val="center"/>
          </w:tcPr>
          <w:p w14:paraId="423126A0">
            <w:pPr>
              <w:snapToGrid w:val="0"/>
              <w:spacing w:line="5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检</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录</w:t>
            </w:r>
          </w:p>
        </w:tc>
        <w:tc>
          <w:tcPr>
            <w:tcW w:w="1837" w:type="dxa"/>
            <w:vAlign w:val="center"/>
          </w:tcPr>
          <w:p w14:paraId="691A3A8C">
            <w:pPr>
              <w:snapToGrid w:val="0"/>
              <w:spacing w:line="5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13:30-14:00</w:t>
            </w:r>
          </w:p>
        </w:tc>
      </w:tr>
      <w:tr w14:paraId="3EF3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6" w:type="dxa"/>
            <w:vMerge w:val="continue"/>
            <w:vAlign w:val="center"/>
          </w:tcPr>
          <w:p w14:paraId="4B7C1C54">
            <w:pPr>
              <w:snapToGrid w:val="0"/>
              <w:spacing w:line="560" w:lineRule="exact"/>
              <w:jc w:val="center"/>
              <w:rPr>
                <w:rFonts w:ascii="仿宋" w:hAnsi="仿宋" w:eastAsia="仿宋" w:cs="仿宋"/>
                <w:color w:val="auto"/>
                <w:sz w:val="24"/>
                <w:highlight w:val="none"/>
              </w:rPr>
            </w:pPr>
          </w:p>
        </w:tc>
        <w:tc>
          <w:tcPr>
            <w:tcW w:w="1425" w:type="dxa"/>
            <w:vMerge w:val="continue"/>
            <w:vAlign w:val="center"/>
          </w:tcPr>
          <w:p w14:paraId="2DC76D72">
            <w:pPr>
              <w:snapToGrid w:val="0"/>
              <w:spacing w:line="560" w:lineRule="exact"/>
              <w:jc w:val="center"/>
              <w:rPr>
                <w:rFonts w:ascii="仿宋" w:hAnsi="仿宋" w:eastAsia="仿宋" w:cs="仿宋"/>
                <w:color w:val="auto"/>
                <w:sz w:val="24"/>
                <w:highlight w:val="none"/>
              </w:rPr>
            </w:pPr>
          </w:p>
        </w:tc>
        <w:tc>
          <w:tcPr>
            <w:tcW w:w="1700" w:type="dxa"/>
            <w:vMerge w:val="continue"/>
            <w:vAlign w:val="center"/>
          </w:tcPr>
          <w:p w14:paraId="640E5B51">
            <w:pPr>
              <w:snapToGrid w:val="0"/>
              <w:spacing w:line="560" w:lineRule="exact"/>
              <w:jc w:val="center"/>
              <w:rPr>
                <w:rFonts w:ascii="仿宋" w:hAnsi="仿宋" w:eastAsia="仿宋" w:cs="仿宋"/>
                <w:color w:val="auto"/>
                <w:sz w:val="24"/>
                <w:highlight w:val="none"/>
              </w:rPr>
            </w:pPr>
          </w:p>
        </w:tc>
        <w:tc>
          <w:tcPr>
            <w:tcW w:w="2789" w:type="dxa"/>
            <w:vAlign w:val="center"/>
          </w:tcPr>
          <w:p w14:paraId="5AD4B36D">
            <w:pPr>
              <w:snapToGrid w:val="0"/>
              <w:spacing w:line="5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大数据业财处理技能竞赛环节</w:t>
            </w:r>
          </w:p>
        </w:tc>
        <w:tc>
          <w:tcPr>
            <w:tcW w:w="1837" w:type="dxa"/>
            <w:vAlign w:val="center"/>
          </w:tcPr>
          <w:p w14:paraId="46ABA103">
            <w:pPr>
              <w:snapToGrid w:val="0"/>
              <w:spacing w:line="5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14:00-16:30</w:t>
            </w:r>
          </w:p>
        </w:tc>
      </w:tr>
      <w:tr w14:paraId="7D2E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6" w:type="dxa"/>
            <w:vAlign w:val="center"/>
          </w:tcPr>
          <w:p w14:paraId="3B4A0C10">
            <w:pPr>
              <w:snapToGrid w:val="0"/>
              <w:spacing w:line="5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赛后</w:t>
            </w:r>
          </w:p>
        </w:tc>
        <w:tc>
          <w:tcPr>
            <w:tcW w:w="1425" w:type="dxa"/>
            <w:vMerge w:val="continue"/>
            <w:vAlign w:val="center"/>
          </w:tcPr>
          <w:p w14:paraId="19F95214">
            <w:pPr>
              <w:snapToGrid w:val="0"/>
              <w:spacing w:line="560" w:lineRule="exact"/>
              <w:jc w:val="center"/>
              <w:rPr>
                <w:rFonts w:ascii="仿宋" w:hAnsi="仿宋" w:eastAsia="仿宋" w:cs="仿宋"/>
                <w:color w:val="auto"/>
                <w:sz w:val="24"/>
                <w:highlight w:val="none"/>
              </w:rPr>
            </w:pPr>
          </w:p>
        </w:tc>
        <w:tc>
          <w:tcPr>
            <w:tcW w:w="1700" w:type="dxa"/>
            <w:vAlign w:val="center"/>
          </w:tcPr>
          <w:p w14:paraId="6C709B9D">
            <w:pPr>
              <w:snapToGrid w:val="0"/>
              <w:spacing w:line="5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成绩公示</w:t>
            </w:r>
          </w:p>
        </w:tc>
        <w:tc>
          <w:tcPr>
            <w:tcW w:w="2789" w:type="dxa"/>
            <w:vAlign w:val="center"/>
          </w:tcPr>
          <w:p w14:paraId="4C94557D">
            <w:pPr>
              <w:snapToGrid w:val="0"/>
              <w:spacing w:line="5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成绩公示</w:t>
            </w:r>
          </w:p>
        </w:tc>
        <w:tc>
          <w:tcPr>
            <w:tcW w:w="1837" w:type="dxa"/>
            <w:vAlign w:val="center"/>
          </w:tcPr>
          <w:p w14:paraId="522A1C43">
            <w:pPr>
              <w:snapToGrid w:val="0"/>
              <w:spacing w:line="5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18:30-19:00</w:t>
            </w:r>
          </w:p>
        </w:tc>
      </w:tr>
    </w:tbl>
    <w:p w14:paraId="2CDCA06C">
      <w:pPr>
        <w:autoSpaceDE w:val="0"/>
        <w:autoSpaceDN w:val="0"/>
        <w:spacing w:line="560" w:lineRule="exact"/>
        <w:ind w:firstLine="602" w:firstLineChars="200"/>
        <w:rPr>
          <w:rFonts w:eastAsia="黑体"/>
          <w:b/>
          <w:bCs/>
          <w:kern w:val="44"/>
          <w:sz w:val="30"/>
          <w:szCs w:val="44"/>
          <w:highlight w:val="none"/>
        </w:rPr>
      </w:pPr>
      <w:r>
        <w:rPr>
          <w:rFonts w:hint="eastAsia" w:eastAsia="黑体"/>
          <w:b/>
          <w:bCs/>
          <w:kern w:val="44"/>
          <w:sz w:val="30"/>
          <w:szCs w:val="44"/>
          <w:highlight w:val="none"/>
        </w:rPr>
        <w:t>十一、技术规范</w:t>
      </w:r>
      <w:r>
        <w:rPr>
          <w:rFonts w:hint="eastAsia" w:eastAsia="黑体"/>
          <w:b/>
          <w:bCs/>
          <w:kern w:val="44"/>
          <w:sz w:val="30"/>
          <w:szCs w:val="44"/>
          <w:highlight w:val="none"/>
        </w:rPr>
        <w:tab/>
      </w:r>
    </w:p>
    <w:p w14:paraId="054A1DC7">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（一）截止202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月3</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日前发布并开始在一般企业实施的《企业会计准则》；</w:t>
      </w:r>
    </w:p>
    <w:p w14:paraId="29DF0800">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（二）截止202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月3</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日前发布并开始实施的会计、金融、税务等财经类法规、制度等；</w:t>
      </w:r>
    </w:p>
    <w:p w14:paraId="462FA142">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（三）特殊情况以大赛规程和赛前说明会确定为准。</w:t>
      </w:r>
    </w:p>
    <w:p w14:paraId="134872E1">
      <w:pPr>
        <w:autoSpaceDE w:val="0"/>
        <w:autoSpaceDN w:val="0"/>
        <w:spacing w:line="560" w:lineRule="exact"/>
        <w:ind w:firstLine="602" w:firstLineChars="200"/>
        <w:rPr>
          <w:rFonts w:eastAsia="黑体"/>
          <w:b/>
          <w:bCs/>
          <w:kern w:val="44"/>
          <w:sz w:val="30"/>
          <w:szCs w:val="44"/>
          <w:highlight w:val="none"/>
        </w:rPr>
      </w:pPr>
      <w:r>
        <w:rPr>
          <w:rFonts w:hint="eastAsia" w:eastAsia="黑体"/>
          <w:b/>
          <w:bCs/>
          <w:kern w:val="44"/>
          <w:sz w:val="30"/>
          <w:szCs w:val="44"/>
          <w:highlight w:val="none"/>
        </w:rPr>
        <w:t>十二、比赛器材、技术平台和场地要求</w:t>
      </w:r>
      <w:r>
        <w:rPr>
          <w:rFonts w:hint="eastAsia" w:eastAsia="黑体"/>
          <w:b/>
          <w:bCs/>
          <w:kern w:val="44"/>
          <w:sz w:val="30"/>
          <w:szCs w:val="44"/>
          <w:highlight w:val="none"/>
        </w:rPr>
        <w:tab/>
      </w:r>
    </w:p>
    <w:p w14:paraId="0C6EAF5D">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（一）竞赛场地及环境</w:t>
      </w:r>
    </w:p>
    <w:p w14:paraId="474EE145">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竞赛场地需按实际参赛队伍数量及参赛选手人数预置相应的工作台位，每位参赛选手1个台位，同时设置足够的备用台位。</w:t>
      </w:r>
    </w:p>
    <w:p w14:paraId="5DB39697">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（二）竞赛使用设备、用具及软件</w:t>
      </w:r>
    </w:p>
    <w:p w14:paraId="42E497B8">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1.竞赛平台：管理会计能力养成平台、Python与大数据财务应用平台</w:t>
      </w:r>
    </w:p>
    <w:p w14:paraId="55140211">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2.服务器：普通服务器</w:t>
      </w:r>
    </w:p>
    <w:p w14:paraId="6F575F9E">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3.客户端电脑：普通电脑</w:t>
      </w:r>
    </w:p>
    <w:p w14:paraId="3CE0734B">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4.竞赛设备：备用电脑、财会工具</w:t>
      </w:r>
    </w:p>
    <w:p w14:paraId="21C5DBE6">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5.UPS保障：后备时间3小时</w:t>
      </w:r>
    </w:p>
    <w:p w14:paraId="6CEC92A1">
      <w:pPr>
        <w:autoSpaceDE w:val="0"/>
        <w:autoSpaceDN w:val="0"/>
        <w:spacing w:line="560" w:lineRule="exact"/>
        <w:ind w:firstLine="602" w:firstLineChars="200"/>
        <w:rPr>
          <w:rFonts w:eastAsia="黑体"/>
          <w:b/>
          <w:bCs/>
          <w:kern w:val="44"/>
          <w:sz w:val="30"/>
          <w:szCs w:val="44"/>
          <w:highlight w:val="none"/>
        </w:rPr>
      </w:pPr>
      <w:r>
        <w:rPr>
          <w:rFonts w:hint="eastAsia" w:eastAsia="黑体"/>
          <w:b/>
          <w:bCs/>
          <w:kern w:val="44"/>
          <w:sz w:val="30"/>
          <w:szCs w:val="44"/>
          <w:highlight w:val="none"/>
        </w:rPr>
        <w:t>十三、安全保障</w:t>
      </w:r>
      <w:r>
        <w:rPr>
          <w:rFonts w:hint="eastAsia" w:eastAsia="黑体"/>
          <w:b/>
          <w:bCs/>
          <w:kern w:val="44"/>
          <w:sz w:val="30"/>
          <w:szCs w:val="44"/>
          <w:highlight w:val="none"/>
        </w:rPr>
        <w:tab/>
      </w:r>
    </w:p>
    <w:p w14:paraId="31C83661">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赛事安全是技能竞赛一切工作顺利开展的先决条件，是赛事筹备和运行工作必须考虑的核心问题。赛项执委会应采取切实有效措施保证大赛期间参赛选手、指导教师、裁判员、工作人员及观众的人身和财产安全。</w:t>
      </w:r>
    </w:p>
    <w:p w14:paraId="59F96E10">
      <w:pPr>
        <w:autoSpaceDE w:val="0"/>
        <w:autoSpaceDN w:val="0"/>
        <w:spacing w:line="560" w:lineRule="exact"/>
        <w:ind w:firstLine="600" w:firstLineChars="200"/>
        <w:rPr>
          <w:rFonts w:ascii="仿宋" w:hAnsi="仿宋" w:eastAsia="仿宋" w:cs="仿宋"/>
          <w:sz w:val="32"/>
          <w:szCs w:val="32"/>
          <w:highlight w:val="none"/>
        </w:rPr>
      </w:pPr>
      <w:r>
        <w:rPr>
          <w:rFonts w:hint="eastAsia" w:ascii="Arial Narrow" w:hAnsi="Arial Narrow" w:eastAsia="仿宋_GB2312" w:cs="Arial"/>
          <w:sz w:val="30"/>
          <w:szCs w:val="30"/>
          <w:highlight w:val="none"/>
        </w:rPr>
        <w:t>（一）</w:t>
      </w:r>
      <w:r>
        <w:rPr>
          <w:rFonts w:hint="eastAsia" w:ascii="仿宋" w:hAnsi="仿宋" w:eastAsia="仿宋" w:cs="仿宋"/>
          <w:sz w:val="32"/>
          <w:szCs w:val="32"/>
          <w:highlight w:val="none"/>
        </w:rPr>
        <w:t>比赛环境</w:t>
      </w:r>
    </w:p>
    <w:p w14:paraId="24717060">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14:paraId="00E84D3F">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赛场周围要设立警戒线，防止无关人员进入发生意外事件。比赛现场内应参照相关职业岗位的要求为选手提供必要的劳动保护。</w:t>
      </w:r>
    </w:p>
    <w:p w14:paraId="1CC5D92C">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1.承办单位应提供应急预案实施的条件。对于比赛内容涉及大量用电、易发生火灾等情况，必须明确制度和预案，并配备急救人员与设施。</w:t>
      </w:r>
    </w:p>
    <w:p w14:paraId="12416BAC">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2.执委会须会同承办单位制定开放赛场和体验区的人员疏导方案。赛场环境中存在人员密集、车流人流交错的区域，除了设置齐全的指示标志外，须增加引导人员，并开辟备用通道。</w:t>
      </w:r>
    </w:p>
    <w:p w14:paraId="39012366">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3.大赛期间，承办单位须在赛场管理的关键岗位增加力量，建立安全管理日志。</w:t>
      </w:r>
    </w:p>
    <w:p w14:paraId="67C8A5F2">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4.参赛选手进入赛位、赛事裁判工作人员进入工作场地，严禁携带通讯、照相摄录设备，禁止携带记录用具。如确有需要，由赛场统一配置、统一管理。赛项可根据需要配置安检设备对进入赛场重要位置的人员进行安检。</w:t>
      </w:r>
    </w:p>
    <w:p w14:paraId="5D1306F6">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（二）生活条件</w:t>
      </w:r>
    </w:p>
    <w:p w14:paraId="434F25F7">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1.比赛期间，原则上由执委会统一安排参赛选手和指导教师食宿。承办单位须尊重少数民族的信仰及文化，根据国家相关的民族政策，安排好少数民族选手和教师的饮食起居。</w:t>
      </w:r>
    </w:p>
    <w:p w14:paraId="541392D5">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2.比赛期间安排的住宿地应具有宾馆/住宿经营许可资质。如果以承办单位宿舍作为住宿地，大赛期间的住宿、卫生、饮食安全等由执委会和提供宿舍的承办单位共同负责。</w:t>
      </w:r>
    </w:p>
    <w:p w14:paraId="30F853F5">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3.大赛期间有组织参观和观摩活动的交通安全由执委会负责。执委会和承办单位须保障比赛期间选手、指导教师、裁判员和工作人员的交通安全。</w:t>
      </w:r>
    </w:p>
    <w:p w14:paraId="2184C527">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4.各赛项的安全管理，除可以采取必要的安全隔离措施外，应严格遵守国家相关法律法规，保护个人隐私和人身自由。</w:t>
      </w:r>
    </w:p>
    <w:p w14:paraId="60408BEA">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（三）组队责任</w:t>
      </w:r>
    </w:p>
    <w:p w14:paraId="3E0AF88F">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1.各学校组织代表队时，须为参赛选手购买大赛期间的人身意外伤害保险。</w:t>
      </w:r>
    </w:p>
    <w:p w14:paraId="3DFFBF4B">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2.各学校代表队组成后，须制定相关管理制度，并对所有选手、指导教师进行安全教育。</w:t>
      </w:r>
    </w:p>
    <w:p w14:paraId="16C5788C">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3.各参赛队伍须加强对参与比赛人员的安全管理，实现与赛场安全管理的对接。</w:t>
      </w:r>
    </w:p>
    <w:p w14:paraId="575DC797">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（四）应急预案</w:t>
      </w:r>
    </w:p>
    <w:p w14:paraId="50B79CD4">
      <w:pPr>
        <w:autoSpaceDE w:val="0"/>
        <w:autoSpaceDN w:val="0"/>
        <w:spacing w:line="560" w:lineRule="exact"/>
        <w:ind w:firstLine="640" w:firstLineChars="200"/>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val="zh-CN" w:eastAsia="zh-CN"/>
        </w:rPr>
        <w:t>赛场出现断电情况的处理</w:t>
      </w:r>
    </w:p>
    <w:p w14:paraId="2683D267">
      <w:pPr>
        <w:autoSpaceDE w:val="0"/>
        <w:autoSpaceDN w:val="0"/>
        <w:spacing w:line="560" w:lineRule="exact"/>
        <w:ind w:firstLine="640" w:firstLineChars="200"/>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如果赛场出现断电情况，可能影响该赛场选手进入赛场、下载试题、登录竞赛页面和正常答题。</w:t>
      </w:r>
    </w:p>
    <w:p w14:paraId="066E102A">
      <w:pPr>
        <w:autoSpaceDE w:val="0"/>
        <w:autoSpaceDN w:val="0"/>
        <w:spacing w:line="560" w:lineRule="exact"/>
        <w:ind w:firstLine="640" w:firstLineChars="200"/>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如果竞赛开始前或竞赛过程中赛场出现断电情况，承办院校原则上应当在30分钟内解决，并按照有关规定或指令给予补时；如果30分钟内无法解决，可宣布该赛场停止竞赛。</w:t>
      </w:r>
    </w:p>
    <w:p w14:paraId="7DD83E79">
      <w:pPr>
        <w:autoSpaceDE w:val="0"/>
        <w:autoSpaceDN w:val="0"/>
        <w:spacing w:line="560" w:lineRule="exact"/>
        <w:ind w:firstLine="640" w:firstLineChars="200"/>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val="zh-CN" w:eastAsia="zh-CN"/>
        </w:rPr>
        <w:t>网络出现故障情况的处理</w:t>
      </w:r>
    </w:p>
    <w:p w14:paraId="52539565">
      <w:pPr>
        <w:autoSpaceDE w:val="0"/>
        <w:autoSpaceDN w:val="0"/>
        <w:spacing w:line="560" w:lineRule="exact"/>
        <w:ind w:firstLine="640" w:firstLineChars="200"/>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如果竞赛开始前赛场网络出现故障，技术支持人员应及时采取措施予以排除。原则上，如果故障在竞赛开始后30分钟内得到解决，竞赛将继续进行，竞赛时间相应延长；如果故障在竞赛开始后30分钟内无法得到解决，可宣布该赛场停止竞赛。</w:t>
      </w:r>
    </w:p>
    <w:p w14:paraId="1E5DC62C">
      <w:pPr>
        <w:autoSpaceDE w:val="0"/>
        <w:autoSpaceDN w:val="0"/>
        <w:spacing w:line="560" w:lineRule="exact"/>
        <w:ind w:firstLine="640" w:firstLineChars="200"/>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val="zh-CN" w:eastAsia="zh-CN"/>
        </w:rPr>
        <w:t>竞赛机出现软硬件故障情况的处理</w:t>
      </w:r>
    </w:p>
    <w:p w14:paraId="188B6DAD">
      <w:pPr>
        <w:autoSpaceDE w:val="0"/>
        <w:autoSpaceDN w:val="0"/>
        <w:spacing w:line="560" w:lineRule="exact"/>
        <w:ind w:firstLine="640" w:firstLineChars="200"/>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如果个别选手出现竞赛机硬件死机情况、软件故障情况以及竞赛机配件故障情况，选手应举手示意裁判员解决，裁判员可要求技术人员现场协助解决。从选手举手提出故障至故障处理完毕的时间超过3分钟可以申请获得相应补时。</w:t>
      </w:r>
    </w:p>
    <w:p w14:paraId="0004EC71">
      <w:pPr>
        <w:autoSpaceDE w:val="0"/>
        <w:autoSpaceDN w:val="0"/>
        <w:spacing w:line="560" w:lineRule="exact"/>
        <w:ind w:firstLine="640" w:firstLineChars="200"/>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val="zh-CN" w:eastAsia="zh-CN"/>
        </w:rPr>
        <w:t>赛场发生事故时的处理程序</w:t>
      </w:r>
    </w:p>
    <w:p w14:paraId="54D1289B">
      <w:pPr>
        <w:autoSpaceDE w:val="0"/>
        <w:autoSpaceDN w:val="0"/>
        <w:spacing w:line="560" w:lineRule="exact"/>
        <w:ind w:firstLine="640" w:firstLineChars="200"/>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如果比赛期间发生意外事故，发现者应第一时间报告裁判员，同时采取措施避免事态扩大。裁判员应立即启动预案予以解决并报告执委会。</w:t>
      </w:r>
      <w:r>
        <w:rPr>
          <w:rFonts w:hint="eastAsia" w:ascii="仿宋" w:hAnsi="仿宋" w:eastAsia="仿宋" w:cs="仿宋"/>
          <w:sz w:val="32"/>
          <w:szCs w:val="32"/>
          <w:highlight w:val="none"/>
        </w:rPr>
        <w:t>赛项出现重大问题时，是否停赛由执委会决定。事后，执委会应向组委会报告详细情况。</w:t>
      </w:r>
    </w:p>
    <w:p w14:paraId="3EDD8A18">
      <w:pPr>
        <w:autoSpaceDE w:val="0"/>
        <w:autoSpaceDN w:val="0"/>
        <w:spacing w:line="560" w:lineRule="exact"/>
        <w:ind w:firstLine="640" w:firstLineChars="200"/>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val="zh-CN" w:eastAsia="zh-CN"/>
        </w:rPr>
        <w:t>比赛场地预备适量机位作为备用</w:t>
      </w:r>
    </w:p>
    <w:p w14:paraId="75FAC0EB">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（五）处罚措施</w:t>
      </w:r>
    </w:p>
    <w:p w14:paraId="6CC20B56">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1.因参赛队伍原因造成重大安全事故的，取消其获奖资格。</w:t>
      </w:r>
    </w:p>
    <w:p w14:paraId="4E231AEA">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2.因参赛队伍原因造成重大安全事故隐患，经赛场工作人员提示、警告无效的，可取消其继续比赛的资格。</w:t>
      </w:r>
    </w:p>
    <w:p w14:paraId="76950C6A">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3.赛事工作人员违规的，按照相应的制度追究责任。情节恶劣并造成重大安全事故的，由司法机关追究相应法律责任。</w:t>
      </w:r>
    </w:p>
    <w:p w14:paraId="56DBD5DB">
      <w:pPr>
        <w:autoSpaceDE w:val="0"/>
        <w:autoSpaceDN w:val="0"/>
        <w:spacing w:line="560" w:lineRule="exact"/>
        <w:ind w:firstLine="602" w:firstLineChars="200"/>
        <w:rPr>
          <w:rFonts w:eastAsia="黑体"/>
          <w:b/>
          <w:bCs/>
          <w:kern w:val="44"/>
          <w:sz w:val="30"/>
          <w:szCs w:val="44"/>
          <w:highlight w:val="none"/>
        </w:rPr>
      </w:pPr>
      <w:r>
        <w:rPr>
          <w:rFonts w:hint="eastAsia" w:eastAsia="黑体"/>
          <w:b/>
          <w:bCs/>
          <w:kern w:val="44"/>
          <w:sz w:val="30"/>
          <w:szCs w:val="44"/>
          <w:highlight w:val="none"/>
        </w:rPr>
        <w:t>十四、申诉与仲裁</w:t>
      </w:r>
    </w:p>
    <w:p w14:paraId="1827CC6D">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（一）申诉</w:t>
      </w:r>
    </w:p>
    <w:p w14:paraId="1046D99E">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1.参赛队对不符合竞赛规定的设备、工具、软件，有失公正的评判，以及对工作人员的违规行为等，均可提出申诉。</w:t>
      </w:r>
    </w:p>
    <w:p w14:paraId="199B4146">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申诉应在竞赛结束后1小时内提出，超过时效将不予受理。申诉时，应按照规定的程序由参赛队领队向所在赛项裁判长递交书面申诉报告。报告应对申诉事件的现象、发生的时间、涉及到的人员、申诉依据与理由等进行充分、实事求是的叙述。事实依据不充分、仅凭主观臆断的申诉将不予受理。申诉报告须有申诉的参赛选手、领队签名。</w:t>
      </w:r>
    </w:p>
    <w:p w14:paraId="236D686D">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3.赛项裁判长收到申诉报告后，应根据申诉事由组织裁判团队进行审查，2小时内书面通知申诉方，告知申诉处理结果。</w:t>
      </w:r>
    </w:p>
    <w:p w14:paraId="49A63135">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4.申诉人不得无故拒不接受处理结果，不允许采取过激行为刁难、攻击工作人员，否则视为放弃申诉。申诉人不满意赛项裁判长的处理结果的，可向大赛仲裁组提出书面申请复议，复议申请须有参赛单位盖章。</w:t>
      </w:r>
    </w:p>
    <w:p w14:paraId="64118015">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（二）仲裁</w:t>
      </w:r>
    </w:p>
    <w:p w14:paraId="795A915D">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1.大赛仲裁组负责受理大赛中出现的申诉复议并进行仲裁，以保证竞赛顺利进行和竞赛结果公平、公正。</w:t>
      </w:r>
    </w:p>
    <w:p w14:paraId="7F3291FC">
      <w:pPr>
        <w:autoSpaceDE w:val="0"/>
        <w:autoSpaceDN w:val="0"/>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2.仲裁组的裁决为最终裁决，参赛队不得因申诉或对仲裁处理意见不服而停止比赛或滋事，否则按弃权处理。</w:t>
      </w:r>
    </w:p>
    <w:p w14:paraId="080A20FE">
      <w:pPr>
        <w:autoSpaceDE w:val="0"/>
        <w:autoSpaceDN w:val="0"/>
        <w:spacing w:line="560" w:lineRule="exact"/>
        <w:ind w:firstLine="640" w:firstLineChars="200"/>
        <w:rPr>
          <w:rFonts w:ascii="仿宋" w:hAnsi="仿宋" w:eastAsia="仿宋" w:cs="仿宋"/>
          <w:sz w:val="32"/>
          <w:szCs w:val="32"/>
          <w:highlight w:val="none"/>
        </w:rPr>
      </w:pPr>
    </w:p>
    <w:bookmarkEnd w:id="10"/>
    <w:sectPr>
      <w:headerReference r:id="rId4" w:type="first"/>
      <w:footerReference r:id="rId6" w:type="first"/>
      <w:headerReference r:id="rId3" w:type="default"/>
      <w:footerReference r:id="rId5" w:type="default"/>
      <w:pgSz w:w="11906" w:h="16838"/>
      <w:pgMar w:top="1701" w:right="1587" w:bottom="1701" w:left="1587" w:header="623" w:footer="992" w:gutter="0"/>
      <w:pgNumType w:start="1"/>
      <w:cols w:space="720" w:num="1"/>
      <w:titlePg/>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EA305CD-0A54-4C6C-9539-2331A3ADF3FB}"/>
  </w:font>
  <w:font w:name="黑体">
    <w:panose1 w:val="02010609060101010101"/>
    <w:charset w:val="86"/>
    <w:family w:val="auto"/>
    <w:pitch w:val="default"/>
    <w:sig w:usb0="800002BF" w:usb1="38CF7CFA" w:usb2="00000016" w:usb3="00000000" w:csb0="00040001" w:csb1="00000000"/>
    <w:embedRegular r:id="rId2" w:fontKey="{8391B73A-4936-4240-A84E-ADD50E05BD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F1BD0CC9-FD75-4F3F-8E5F-54323CB2D0ED}"/>
  </w:font>
  <w:font w:name="Arial Narrow">
    <w:panose1 w:val="020B0606020202030204"/>
    <w:charset w:val="00"/>
    <w:family w:val="swiss"/>
    <w:pitch w:val="default"/>
    <w:sig w:usb0="00000287" w:usb1="00000800" w:usb2="00000000" w:usb3="00000000" w:csb0="2000009F" w:csb1="DFD70000"/>
    <w:embedRegular r:id="rId4" w:fontKey="{18C98D76-459C-4BBB-B0DE-BC7D66AADAF0}"/>
  </w:font>
  <w:font w:name="仿宋_GB2312">
    <w:panose1 w:val="02010609030101010101"/>
    <w:charset w:val="86"/>
    <w:family w:val="modern"/>
    <w:pitch w:val="default"/>
    <w:sig w:usb0="00000001" w:usb1="080E0000" w:usb2="00000000" w:usb3="00000000" w:csb0="00040000" w:csb1="00000000"/>
    <w:embedRegular r:id="rId5" w:fontKey="{FF78DF2A-0F58-4677-A2D0-5A83E8637E9B}"/>
  </w:font>
  <w:font w:name="华文中宋">
    <w:panose1 w:val="02010600040101010101"/>
    <w:charset w:val="86"/>
    <w:family w:val="auto"/>
    <w:pitch w:val="default"/>
    <w:sig w:usb0="00000287" w:usb1="080F0000" w:usb2="00000000" w:usb3="00000000" w:csb0="0004009F" w:csb1="DFD70000"/>
    <w:embedRegular r:id="rId6" w:fontKey="{F4BAC185-C1E9-4A0F-B389-3D214B6539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6D3B3">
    <w:pPr>
      <w:pStyle w:val="6"/>
      <w:spacing w:line="360" w:lineRule="auto"/>
      <w:rPr>
        <w:rFonts w:ascii="仿宋" w:hAnsi="仿宋" w:eastAsia="仿宋" w:cs="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7D74431">
                          <w:pPr>
                            <w:pStyle w:val="6"/>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b6Z24K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XNoj2d8wVl3TnKC/0r6GloklTvbkF+9szCTSPsVl0jQtcoURG9PL7M7j0dcHwE2XRvoaI6Yhcg&#10;AfU1mugducEInVpzOLdG9YHJWDKfv7y45EzSVX6R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W+mduCgIAAAIEAAAOAAAAAAAAAAEAIAAAAB8BAABk&#10;cnMvZTJvRG9jLnhtbFBLBQYAAAAABgAGAFkBAACbBQAAAAA=&#10;">
              <v:fill on="f" focussize="0,0"/>
              <v:stroke on="f"/>
              <v:imagedata o:title=""/>
              <o:lock v:ext="edit" aspectratio="f"/>
              <v:textbox inset="0mm,0mm,0mm,0mm" style="mso-fit-shape-to-text:t;">
                <w:txbxContent>
                  <w:p w14:paraId="77D74431">
                    <w:pPr>
                      <w:pStyle w:val="6"/>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6C899">
    <w:pPr>
      <w:pStyle w:val="6"/>
      <w:spacing w:line="360" w:lineRule="auto"/>
      <w:rPr>
        <w:rFonts w:ascii="华文中宋" w:hAnsi="华文中宋" w:eastAsia="华文中宋" w:cs="华文中宋"/>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049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0490" cy="131445"/>
                      </a:xfrm>
                      <a:prstGeom prst="rect">
                        <a:avLst/>
                      </a:prstGeom>
                      <a:noFill/>
                      <a:ln>
                        <a:noFill/>
                      </a:ln>
                    </wps:spPr>
                    <wps:txbx>
                      <w:txbxContent>
                        <w:p w14:paraId="648BAA8B">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8.7pt;mso-position-horizontal:center;mso-position-horizontal-relative:margin;mso-wrap-style:none;z-index:251660288;mso-width-relative:page;mso-height-relative:page;" filled="f" stroked="f" coordsize="21600,21600" o:gfxdata="UEsDBAoAAAAAAIdO4kAAAAAAAAAAAAAAAAAEAAAAZHJzL1BLAwQUAAAACACHTuJA/I4VT9AAAAAD&#10;AQAADwAAAGRycy9kb3ducmV2LnhtbE2PwU7DMBBE70j8g7VI3KjdCpEqxOmhEhduFITEbRtv4wh7&#10;Hdlumvw9Lhe4rDSa0czbZjd7JyaKaQisYb1SIIi7YAbuNXy8vzxsQaSMbNAFJg0LJdi1tzcN1iZc&#10;+I2mQ+5FKeFUowab81hLmTpLHtMqjMTFO4XoMRcZe2kiXkq5d3Kj1JP0OHBZsDjS3lL3fTh7DdX8&#10;GWhMtKev09RFOyxb97pofX+3Vs8gMs35LwxX/IIObWE6hjObJJyG8kj+vVevegRx1LBRFci2kf/Z&#10;2x9QSwMEFAAAAAgAh07iQF2FLmkGAgAAAgQAAA4AAABkcnMvZTJvRG9jLnhtbK1TzY7TMBC+I/EO&#10;lu80yVIQRE1Xy1ZFSMuPtPAAruM0FrHHGrtNygPAG3Diwp3n6nMwdpqyLJc9cLHG9vib7/tmvLgc&#10;TMf2Cr0GW/FilnOmrIRa223FP31cP3nBmQ/C1qIDqyp+UJ5fLh8/WvSuVBfQQlcrZARifdm7irch&#10;uDLLvGyVEX4GTlm6bACNCLTFbVaj6AnddNlFnj/PesDaIUjlPZ2uxkt+QsSHAELTaKlWIHdG2TCi&#10;oupEIEm+1c7zZWLbNEqG903jVWBdxUlpSCsVoXgT12y5EOUWhWu1PFEQD6FwT5MR2lLRM9RKBMF2&#10;qP+BMloieGjCTILJRiHJEVJR5Pe8uW2FU0kLWe3d2XT//2Dlu/0HZLqmSeDMCkMNP37/dvzx6/jz&#10;KyuiPb3zJWXdOsoLwysYYmqU6t0NyM+eWbhuhd2qK0ToWyVqopdeZneejjg+gmz6t1BTHbELkICG&#10;Bk0EJDcYoVNrDufWqCEwGUsW+fwl3Ui6Kp4W8/mzyC0T5fTYoQ+vFRgWg4ojdT6Bi/2ND2PqlBJr&#10;WVjrrkvd7+xfB4QZTxL5yHdkHobNcDJjA/WBZCCMw0RfiYIW8AtnPQ1SxS39G866N5aMiDM3BTgF&#10;mykQVtLDigfOxvA6jLO5c6i3LeFOVl+RWWudhERXRw4nljQayYrTGMfZu7tPWX++7v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4VT9AAAAADAQAADwAAAAAAAAABACAAAAAiAAAAZHJzL2Rvd25y&#10;ZXYueG1sUEsBAhQAFAAAAAgAh07iQF2FLmkGAgAAAgQAAA4AAAAAAAAAAQAgAAAAHwEAAGRycy9l&#10;Mm9Eb2MueG1sUEsFBgAAAAAGAAYAWQEAAJcFAAAAAA==&#10;">
              <v:fill on="f" focussize="0,0"/>
              <v:stroke on="f"/>
              <v:imagedata o:title=""/>
              <o:lock v:ext="edit" aspectratio="f"/>
              <v:textbox inset="0mm,0mm,0mm,0mm" style="mso-fit-shape-to-text:t;">
                <w:txbxContent>
                  <w:p w14:paraId="648BAA8B">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C36EF">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85E16">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1MTA2MjU3ODgzMDhkMzE0ZTU0MjU4NGU4NDljNDMifQ=="/>
  </w:docVars>
  <w:rsids>
    <w:rsidRoot w:val="00F22B86"/>
    <w:rsid w:val="000B6235"/>
    <w:rsid w:val="001916E9"/>
    <w:rsid w:val="00296EA3"/>
    <w:rsid w:val="0034083C"/>
    <w:rsid w:val="005077BC"/>
    <w:rsid w:val="005122B7"/>
    <w:rsid w:val="005E7477"/>
    <w:rsid w:val="00683FAF"/>
    <w:rsid w:val="006E7C3A"/>
    <w:rsid w:val="0077552E"/>
    <w:rsid w:val="008337F6"/>
    <w:rsid w:val="00851492"/>
    <w:rsid w:val="00962B10"/>
    <w:rsid w:val="00BC6AD4"/>
    <w:rsid w:val="00D33657"/>
    <w:rsid w:val="00DE065C"/>
    <w:rsid w:val="00F22B86"/>
    <w:rsid w:val="015544F8"/>
    <w:rsid w:val="018028F9"/>
    <w:rsid w:val="025E2CEB"/>
    <w:rsid w:val="02A8765F"/>
    <w:rsid w:val="03B24C65"/>
    <w:rsid w:val="03EE177F"/>
    <w:rsid w:val="05053CDA"/>
    <w:rsid w:val="06170CA0"/>
    <w:rsid w:val="08D13EF8"/>
    <w:rsid w:val="0A42351F"/>
    <w:rsid w:val="0B0E6BC6"/>
    <w:rsid w:val="0B230C53"/>
    <w:rsid w:val="0BBE194C"/>
    <w:rsid w:val="0C03418D"/>
    <w:rsid w:val="0CA33189"/>
    <w:rsid w:val="0D9A24BF"/>
    <w:rsid w:val="100F3240"/>
    <w:rsid w:val="11CF4271"/>
    <w:rsid w:val="120427C9"/>
    <w:rsid w:val="12661A3D"/>
    <w:rsid w:val="12F56F37"/>
    <w:rsid w:val="12F94C57"/>
    <w:rsid w:val="148321EA"/>
    <w:rsid w:val="14A44728"/>
    <w:rsid w:val="14BF71E2"/>
    <w:rsid w:val="157A1214"/>
    <w:rsid w:val="1A171580"/>
    <w:rsid w:val="1A1B2209"/>
    <w:rsid w:val="1A4563DB"/>
    <w:rsid w:val="1DEC729A"/>
    <w:rsid w:val="1EB50ABA"/>
    <w:rsid w:val="1EC024D4"/>
    <w:rsid w:val="1F0625DD"/>
    <w:rsid w:val="205B4263"/>
    <w:rsid w:val="20994D8B"/>
    <w:rsid w:val="214B429D"/>
    <w:rsid w:val="216367E8"/>
    <w:rsid w:val="247F027C"/>
    <w:rsid w:val="2739070F"/>
    <w:rsid w:val="27794B7A"/>
    <w:rsid w:val="28B27332"/>
    <w:rsid w:val="2A491428"/>
    <w:rsid w:val="30000983"/>
    <w:rsid w:val="32883C08"/>
    <w:rsid w:val="338665C0"/>
    <w:rsid w:val="338736A5"/>
    <w:rsid w:val="33977850"/>
    <w:rsid w:val="35167078"/>
    <w:rsid w:val="3553060D"/>
    <w:rsid w:val="36F54FB9"/>
    <w:rsid w:val="374B6A31"/>
    <w:rsid w:val="387B7551"/>
    <w:rsid w:val="3942200C"/>
    <w:rsid w:val="3A1E29FB"/>
    <w:rsid w:val="3BF03FA1"/>
    <w:rsid w:val="3BF82E23"/>
    <w:rsid w:val="3C3840D0"/>
    <w:rsid w:val="3E7D401F"/>
    <w:rsid w:val="408C7975"/>
    <w:rsid w:val="41122D51"/>
    <w:rsid w:val="44A66685"/>
    <w:rsid w:val="44DC40D6"/>
    <w:rsid w:val="46C265B7"/>
    <w:rsid w:val="4770248B"/>
    <w:rsid w:val="477B4EC5"/>
    <w:rsid w:val="48723C58"/>
    <w:rsid w:val="4B1F5D09"/>
    <w:rsid w:val="4B4F643F"/>
    <w:rsid w:val="4BA40904"/>
    <w:rsid w:val="4BA856ED"/>
    <w:rsid w:val="4BE8240B"/>
    <w:rsid w:val="4BF87940"/>
    <w:rsid w:val="4BFE4684"/>
    <w:rsid w:val="4C7E25F2"/>
    <w:rsid w:val="4D0457A1"/>
    <w:rsid w:val="4DF80A94"/>
    <w:rsid w:val="4E345F70"/>
    <w:rsid w:val="4E785D37"/>
    <w:rsid w:val="4EE207AA"/>
    <w:rsid w:val="505A524E"/>
    <w:rsid w:val="52D87DD6"/>
    <w:rsid w:val="546B2A2B"/>
    <w:rsid w:val="569454EC"/>
    <w:rsid w:val="5A922696"/>
    <w:rsid w:val="5BE2172A"/>
    <w:rsid w:val="5CCC5500"/>
    <w:rsid w:val="5E7B54F5"/>
    <w:rsid w:val="5F225970"/>
    <w:rsid w:val="5FE34950"/>
    <w:rsid w:val="62740BD9"/>
    <w:rsid w:val="62937BAB"/>
    <w:rsid w:val="65562818"/>
    <w:rsid w:val="65C43C25"/>
    <w:rsid w:val="66990C0E"/>
    <w:rsid w:val="66A55DF3"/>
    <w:rsid w:val="68685B48"/>
    <w:rsid w:val="68E960A2"/>
    <w:rsid w:val="6A6D488B"/>
    <w:rsid w:val="6AA43217"/>
    <w:rsid w:val="6AB029CA"/>
    <w:rsid w:val="6CA24DAD"/>
    <w:rsid w:val="6CC07F10"/>
    <w:rsid w:val="6DE453AE"/>
    <w:rsid w:val="6F1A384E"/>
    <w:rsid w:val="71F12097"/>
    <w:rsid w:val="737E23C8"/>
    <w:rsid w:val="73C972A5"/>
    <w:rsid w:val="748541CB"/>
    <w:rsid w:val="74CE3E51"/>
    <w:rsid w:val="7641171E"/>
    <w:rsid w:val="769524E0"/>
    <w:rsid w:val="77197EBD"/>
    <w:rsid w:val="78031CEC"/>
    <w:rsid w:val="785E7FB8"/>
    <w:rsid w:val="78E655DE"/>
    <w:rsid w:val="794C7229"/>
    <w:rsid w:val="7A970DE3"/>
    <w:rsid w:val="7DE70B43"/>
    <w:rsid w:val="7E7646E1"/>
    <w:rsid w:val="7EC02D84"/>
    <w:rsid w:val="7EEC5D64"/>
    <w:rsid w:val="7F232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line="560" w:lineRule="exact"/>
      <w:ind w:firstLine="600" w:firstLineChars="200"/>
      <w:outlineLvl w:val="0"/>
    </w:pPr>
    <w:rPr>
      <w:rFonts w:eastAsia="黑体"/>
      <w:b/>
      <w:bCs/>
      <w:kern w:val="44"/>
      <w:sz w:val="30"/>
      <w:szCs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99"/>
    <w:pPr>
      <w:spacing w:after="120"/>
    </w:pPr>
  </w:style>
  <w:style w:type="paragraph" w:styleId="4">
    <w:name w:val="Plain Text"/>
    <w:basedOn w:val="1"/>
    <w:unhideWhenUsed/>
    <w:qFormat/>
    <w:uiPriority w:val="99"/>
    <w:rPr>
      <w:rFonts w:ascii="宋体" w:hAnsi="Courier New"/>
    </w:rPr>
  </w:style>
  <w:style w:type="paragraph" w:styleId="5">
    <w:name w:val="Balloon Text"/>
    <w:basedOn w:val="1"/>
    <w:link w:val="16"/>
    <w:autoRedefine/>
    <w:semiHidden/>
    <w:unhideWhenUsed/>
    <w:qFormat/>
    <w:uiPriority w:val="99"/>
    <w:rPr>
      <w:sz w:val="18"/>
      <w:szCs w:val="18"/>
    </w:rPr>
  </w:style>
  <w:style w:type="paragraph" w:styleId="6">
    <w:name w:val="footer"/>
    <w:basedOn w:val="1"/>
    <w:link w:val="13"/>
    <w:autoRedefine/>
    <w:unhideWhenUsed/>
    <w:qFormat/>
    <w:uiPriority w:val="0"/>
    <w:pPr>
      <w:tabs>
        <w:tab w:val="center" w:pos="4153"/>
        <w:tab w:val="right" w:pos="8306"/>
      </w:tabs>
      <w:snapToGrid w:val="0"/>
      <w:jc w:val="left"/>
    </w:pPr>
    <w:rPr>
      <w:sz w:val="18"/>
      <w:szCs w:val="18"/>
    </w:rPr>
  </w:style>
  <w:style w:type="paragraph" w:styleId="7">
    <w:name w:val="header"/>
    <w:basedOn w:val="1"/>
    <w:link w:val="1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autoRedefine/>
    <w:qFormat/>
    <w:uiPriority w:val="99"/>
    <w:pPr>
      <w:ind w:firstLine="420" w:firstLineChars="100"/>
    </w:pPr>
  </w:style>
  <w:style w:type="character" w:styleId="11">
    <w:name w:val="Hyperlink"/>
    <w:autoRedefine/>
    <w:qFormat/>
    <w:uiPriority w:val="0"/>
    <w:rPr>
      <w:color w:val="0000FF"/>
      <w:u w:val="single"/>
    </w:rPr>
  </w:style>
  <w:style w:type="character" w:customStyle="1" w:styleId="12">
    <w:name w:val="页眉 字符"/>
    <w:basedOn w:val="10"/>
    <w:link w:val="7"/>
    <w:autoRedefine/>
    <w:qFormat/>
    <w:uiPriority w:val="99"/>
    <w:rPr>
      <w:sz w:val="18"/>
      <w:szCs w:val="18"/>
    </w:rPr>
  </w:style>
  <w:style w:type="character" w:customStyle="1" w:styleId="13">
    <w:name w:val="页脚 字符"/>
    <w:basedOn w:val="10"/>
    <w:link w:val="6"/>
    <w:autoRedefine/>
    <w:qFormat/>
    <w:uiPriority w:val="99"/>
    <w:rPr>
      <w:sz w:val="18"/>
      <w:szCs w:val="18"/>
    </w:rPr>
  </w:style>
  <w:style w:type="character" w:customStyle="1" w:styleId="14">
    <w:name w:val="页脚 Char"/>
    <w:autoRedefine/>
    <w:qFormat/>
    <w:uiPriority w:val="0"/>
    <w:rPr>
      <w:rFonts w:eastAsia="宋体"/>
      <w:kern w:val="2"/>
      <w:sz w:val="18"/>
      <w:szCs w:val="18"/>
      <w:lang w:val="en-US" w:eastAsia="zh-CN" w:bidi="ar-SA"/>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character" w:customStyle="1" w:styleId="16">
    <w:name w:val="批注框文本 字符"/>
    <w:basedOn w:val="10"/>
    <w:link w:val="5"/>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15</Pages>
  <Words>6190</Words>
  <Characters>6527</Characters>
  <Lines>48</Lines>
  <Paragraphs>13</Paragraphs>
  <TotalTime>0</TotalTime>
  <ScaleCrop>false</ScaleCrop>
  <LinksUpToDate>false</LinksUpToDate>
  <CharactersWithSpaces>6555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2024-03-05T02:59:00Z</dcterms:created>
  <dc:creator>song xiaoqin</dc:creator>
  <cp:lastModifiedBy>依林鸟</cp:lastModifiedBy>
  <dcterms:modified xsi:type="dcterms:W3CDTF">2024-11-08T06:51:39Z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80967B9F19F34FDC8A759680C8182362_13</vt:lpwstr>
  </property>
</Properties>
</file>