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9CA4D">
      <w:pPr>
        <w:snapToGrid w:val="0"/>
        <w:spacing w:line="540" w:lineRule="exact"/>
        <w:jc w:val="center"/>
        <w:rPr>
          <w:rFonts w:hint="eastAsia" w:cs="宋体" w:asciiTheme="minorEastAsia" w:hAnsiTheme="minorEastAsia" w:eastAsiaTheme="minorEastAsia"/>
          <w:b/>
          <w:sz w:val="52"/>
          <w:szCs w:val="36"/>
        </w:rPr>
      </w:pPr>
    </w:p>
    <w:p w14:paraId="2418E8E0">
      <w:pPr>
        <w:snapToGrid w:val="0"/>
        <w:spacing w:line="540" w:lineRule="exact"/>
        <w:jc w:val="center"/>
        <w:rPr>
          <w:rFonts w:hint="eastAsia" w:cs="宋体" w:asciiTheme="minorEastAsia" w:hAnsiTheme="minorEastAsia" w:eastAsiaTheme="minorEastAsia"/>
          <w:b/>
          <w:sz w:val="52"/>
          <w:szCs w:val="36"/>
        </w:rPr>
      </w:pPr>
    </w:p>
    <w:p w14:paraId="34770C7B">
      <w:pPr>
        <w:snapToGrid w:val="0"/>
        <w:spacing w:line="540" w:lineRule="exact"/>
        <w:jc w:val="center"/>
        <w:rPr>
          <w:rFonts w:cs="宋体" w:asciiTheme="minorEastAsia" w:hAnsiTheme="minorEastAsia" w:eastAsiaTheme="minorEastAsia"/>
          <w:b/>
          <w:sz w:val="52"/>
          <w:szCs w:val="36"/>
          <w:highlight w:val="yellow"/>
        </w:rPr>
      </w:pPr>
      <w:r>
        <w:rPr>
          <w:rFonts w:hint="eastAsia" w:cs="宋体" w:asciiTheme="minorEastAsia" w:hAnsiTheme="minorEastAsia" w:eastAsiaTheme="minorEastAsia"/>
          <w:b/>
          <w:sz w:val="52"/>
          <w:szCs w:val="52"/>
          <w:highlight w:val="none"/>
        </w:rPr>
        <w:t>202</w:t>
      </w:r>
      <w:r>
        <w:rPr>
          <w:rFonts w:cs="宋体" w:asciiTheme="minorEastAsia" w:hAnsiTheme="minorEastAsia" w:eastAsiaTheme="minorEastAsia"/>
          <w:b/>
          <w:sz w:val="52"/>
          <w:szCs w:val="52"/>
          <w:highlight w:val="none"/>
        </w:rPr>
        <w:t>4</w:t>
      </w:r>
      <w:r>
        <w:rPr>
          <w:rFonts w:hint="eastAsia" w:cs="宋体" w:asciiTheme="minorEastAsia" w:hAnsiTheme="minorEastAsia" w:eastAsiaTheme="minorEastAsia"/>
          <w:b/>
          <w:sz w:val="52"/>
          <w:szCs w:val="52"/>
          <w:highlight w:val="none"/>
        </w:rPr>
        <w:t>年</w:t>
      </w:r>
      <w:r>
        <w:rPr>
          <w:rFonts w:hint="eastAsia" w:cs="宋体" w:asciiTheme="minorEastAsia" w:hAnsiTheme="minorEastAsia" w:eastAsiaTheme="minorEastAsia"/>
          <w:b/>
          <w:sz w:val="52"/>
          <w:szCs w:val="52"/>
          <w:highlight w:val="none"/>
          <w:lang w:val="en-US" w:eastAsia="zh-CN"/>
        </w:rPr>
        <w:t>河北省</w:t>
      </w:r>
      <w:r>
        <w:rPr>
          <w:rFonts w:hint="eastAsia" w:cs="宋体" w:asciiTheme="minorEastAsia" w:hAnsiTheme="minorEastAsia" w:eastAsiaTheme="minorEastAsia"/>
          <w:b/>
          <w:sz w:val="52"/>
          <w:szCs w:val="52"/>
          <w:highlight w:val="none"/>
        </w:rPr>
        <w:t>职业院校技能大赛</w:t>
      </w:r>
    </w:p>
    <w:p w14:paraId="721397DE">
      <w:pPr>
        <w:snapToGrid w:val="0"/>
        <w:spacing w:line="240" w:lineRule="auto"/>
        <w:jc w:val="center"/>
        <w:rPr>
          <w:rFonts w:cs="宋体" w:asciiTheme="minorEastAsia" w:hAnsiTheme="minorEastAsia" w:eastAsiaTheme="minorEastAsia"/>
          <w:b/>
          <w:sz w:val="30"/>
          <w:szCs w:val="30"/>
        </w:rPr>
      </w:pPr>
    </w:p>
    <w:p w14:paraId="1B5566C1">
      <w:pPr>
        <w:snapToGrid w:val="0"/>
        <w:spacing w:line="240" w:lineRule="auto"/>
        <w:jc w:val="center"/>
        <w:rPr>
          <w:rFonts w:cs="宋体" w:asciiTheme="minorEastAsia" w:hAnsiTheme="minorEastAsia" w:eastAsiaTheme="minorEastAsia"/>
          <w:b/>
          <w:sz w:val="30"/>
          <w:szCs w:val="30"/>
        </w:rPr>
      </w:pPr>
    </w:p>
    <w:p w14:paraId="6E2B3B29">
      <w:pPr>
        <w:snapToGrid w:val="0"/>
        <w:spacing w:line="540" w:lineRule="exact"/>
        <w:jc w:val="center"/>
        <w:rPr>
          <w:rFonts w:asciiTheme="minorEastAsia" w:hAnsiTheme="minorEastAsia" w:eastAsiaTheme="minorEastAsia"/>
          <w:b/>
          <w:sz w:val="52"/>
          <w:szCs w:val="36"/>
        </w:rPr>
      </w:pPr>
      <w:r>
        <w:rPr>
          <w:rFonts w:hint="eastAsia" w:cs="宋体" w:asciiTheme="minorEastAsia" w:hAnsiTheme="minorEastAsia" w:eastAsiaTheme="minorEastAsia"/>
          <w:b/>
          <w:sz w:val="52"/>
          <w:szCs w:val="36"/>
        </w:rPr>
        <w:t>高职</w:t>
      </w:r>
      <w:r>
        <w:rPr>
          <w:rFonts w:cs="宋体" w:asciiTheme="minorEastAsia" w:hAnsiTheme="minorEastAsia" w:eastAsiaTheme="minorEastAsia"/>
          <w:b/>
          <w:sz w:val="52"/>
          <w:szCs w:val="36"/>
        </w:rPr>
        <w:t>组</w:t>
      </w:r>
    </w:p>
    <w:p w14:paraId="185C3B35">
      <w:pPr>
        <w:snapToGrid w:val="0"/>
        <w:spacing w:line="240" w:lineRule="auto"/>
        <w:jc w:val="center"/>
        <w:rPr>
          <w:rFonts w:cs="宋体" w:asciiTheme="minorEastAsia" w:hAnsiTheme="minorEastAsia" w:eastAsiaTheme="minorEastAsia"/>
          <w:b/>
          <w:sz w:val="30"/>
          <w:szCs w:val="30"/>
        </w:rPr>
      </w:pPr>
    </w:p>
    <w:p w14:paraId="56460597">
      <w:pPr>
        <w:snapToGrid w:val="0"/>
        <w:spacing w:line="240" w:lineRule="auto"/>
        <w:jc w:val="center"/>
        <w:rPr>
          <w:rFonts w:cs="宋体" w:asciiTheme="minorEastAsia" w:hAnsiTheme="minorEastAsia" w:eastAsiaTheme="minorEastAsia"/>
          <w:b/>
          <w:sz w:val="30"/>
          <w:szCs w:val="30"/>
        </w:rPr>
      </w:pPr>
    </w:p>
    <w:p w14:paraId="75CE679D">
      <w:pPr>
        <w:snapToGrid w:val="0"/>
        <w:spacing w:line="240" w:lineRule="auto"/>
        <w:jc w:val="center"/>
        <w:rPr>
          <w:rFonts w:cs="宋体" w:asciiTheme="minorEastAsia" w:hAnsiTheme="minorEastAsia" w:eastAsiaTheme="minorEastAsia"/>
          <w:b/>
          <w:sz w:val="30"/>
          <w:szCs w:val="30"/>
        </w:rPr>
      </w:pPr>
    </w:p>
    <w:p w14:paraId="6BCE56F3">
      <w:pPr>
        <w:snapToGrid w:val="0"/>
        <w:spacing w:line="540" w:lineRule="exact"/>
        <w:jc w:val="center"/>
        <w:rPr>
          <w:rFonts w:cs="宋体" w:asciiTheme="minorEastAsia" w:hAnsiTheme="minorEastAsia" w:eastAsiaTheme="minorEastAsia"/>
          <w:b/>
          <w:sz w:val="52"/>
          <w:szCs w:val="36"/>
        </w:rPr>
      </w:pPr>
      <w:r>
        <w:rPr>
          <w:rFonts w:cs="宋体" w:asciiTheme="minorEastAsia" w:hAnsiTheme="minorEastAsia" w:eastAsiaTheme="minorEastAsia"/>
          <w:b/>
          <w:sz w:val="52"/>
          <w:szCs w:val="36"/>
        </w:rPr>
        <w:t>物联网应用开发</w:t>
      </w:r>
    </w:p>
    <w:p w14:paraId="0AD4E52D">
      <w:pPr>
        <w:snapToGrid w:val="0"/>
        <w:spacing w:line="540" w:lineRule="exact"/>
        <w:jc w:val="center"/>
        <w:rPr>
          <w:rFonts w:cs="宋体" w:asciiTheme="minorEastAsia" w:hAnsiTheme="minorEastAsia" w:eastAsiaTheme="minorEastAsia"/>
          <w:b/>
          <w:sz w:val="52"/>
          <w:szCs w:val="36"/>
        </w:rPr>
      </w:pPr>
    </w:p>
    <w:p w14:paraId="1AE25C28">
      <w:pPr>
        <w:snapToGrid w:val="0"/>
        <w:spacing w:line="540" w:lineRule="exact"/>
        <w:jc w:val="center"/>
        <w:rPr>
          <w:rFonts w:cs="宋体" w:asciiTheme="minorEastAsia" w:hAnsiTheme="minorEastAsia" w:eastAsiaTheme="minorEastAsia"/>
          <w:b/>
          <w:sz w:val="52"/>
          <w:szCs w:val="36"/>
        </w:rPr>
      </w:pPr>
    </w:p>
    <w:p w14:paraId="2B72C695">
      <w:pPr>
        <w:snapToGrid w:val="0"/>
        <w:spacing w:line="540" w:lineRule="exact"/>
        <w:jc w:val="center"/>
        <w:rPr>
          <w:rFonts w:cs="宋体" w:asciiTheme="minorEastAsia" w:hAnsiTheme="minorEastAsia" w:eastAsiaTheme="minorEastAsia"/>
          <w:b/>
          <w:sz w:val="52"/>
          <w:szCs w:val="36"/>
        </w:rPr>
      </w:pPr>
    </w:p>
    <w:p w14:paraId="663DEDB4">
      <w:pPr>
        <w:snapToGrid w:val="0"/>
        <w:spacing w:line="540" w:lineRule="exact"/>
        <w:jc w:val="center"/>
        <w:rPr>
          <w:rFonts w:cs="宋体" w:asciiTheme="minorEastAsia" w:hAnsiTheme="minorEastAsia" w:eastAsiaTheme="minorEastAsia"/>
          <w:b/>
          <w:sz w:val="52"/>
          <w:szCs w:val="36"/>
        </w:rPr>
      </w:pPr>
      <w:r>
        <w:rPr>
          <w:rFonts w:hint="eastAsia" w:cs="宋体" w:asciiTheme="minorEastAsia" w:hAnsiTheme="minorEastAsia" w:eastAsiaTheme="minorEastAsia"/>
          <w:b/>
          <w:sz w:val="52"/>
          <w:szCs w:val="36"/>
        </w:rPr>
        <w:t>赛</w:t>
      </w:r>
    </w:p>
    <w:p w14:paraId="2686918B">
      <w:pPr>
        <w:snapToGrid w:val="0"/>
        <w:spacing w:line="540" w:lineRule="exact"/>
        <w:jc w:val="center"/>
        <w:rPr>
          <w:rFonts w:cs="宋体" w:asciiTheme="minorEastAsia" w:hAnsiTheme="minorEastAsia" w:eastAsiaTheme="minorEastAsia"/>
          <w:b/>
          <w:sz w:val="52"/>
          <w:szCs w:val="36"/>
        </w:rPr>
      </w:pPr>
    </w:p>
    <w:p w14:paraId="5C4D4CA8">
      <w:pPr>
        <w:snapToGrid w:val="0"/>
        <w:spacing w:line="540" w:lineRule="exact"/>
        <w:jc w:val="center"/>
        <w:rPr>
          <w:rFonts w:cs="宋体" w:asciiTheme="minorEastAsia" w:hAnsiTheme="minorEastAsia" w:eastAsiaTheme="minorEastAsia"/>
          <w:b/>
          <w:sz w:val="52"/>
          <w:szCs w:val="36"/>
        </w:rPr>
      </w:pPr>
      <w:r>
        <w:rPr>
          <w:rFonts w:hint="eastAsia" w:cs="宋体" w:asciiTheme="minorEastAsia" w:hAnsiTheme="minorEastAsia" w:eastAsiaTheme="minorEastAsia"/>
          <w:b/>
          <w:sz w:val="52"/>
          <w:szCs w:val="36"/>
        </w:rPr>
        <w:t>项</w:t>
      </w:r>
    </w:p>
    <w:p w14:paraId="2D527EEC">
      <w:pPr>
        <w:snapToGrid w:val="0"/>
        <w:spacing w:line="540" w:lineRule="exact"/>
        <w:jc w:val="center"/>
        <w:rPr>
          <w:rFonts w:cs="宋体" w:asciiTheme="minorEastAsia" w:hAnsiTheme="minorEastAsia" w:eastAsiaTheme="minorEastAsia"/>
          <w:b/>
          <w:sz w:val="52"/>
          <w:szCs w:val="36"/>
        </w:rPr>
      </w:pPr>
    </w:p>
    <w:p w14:paraId="0DCEEBE4">
      <w:pPr>
        <w:snapToGrid w:val="0"/>
        <w:spacing w:line="540" w:lineRule="exact"/>
        <w:jc w:val="center"/>
        <w:rPr>
          <w:rFonts w:cs="宋体" w:asciiTheme="minorEastAsia" w:hAnsiTheme="minorEastAsia" w:eastAsiaTheme="minorEastAsia"/>
          <w:b/>
          <w:sz w:val="52"/>
          <w:szCs w:val="36"/>
        </w:rPr>
      </w:pPr>
      <w:r>
        <w:rPr>
          <w:rFonts w:hint="eastAsia" w:cs="宋体" w:asciiTheme="minorEastAsia" w:hAnsiTheme="minorEastAsia" w:eastAsiaTheme="minorEastAsia"/>
          <w:b/>
          <w:sz w:val="52"/>
          <w:szCs w:val="36"/>
        </w:rPr>
        <w:t>规</w:t>
      </w:r>
    </w:p>
    <w:p w14:paraId="71FBAE03">
      <w:pPr>
        <w:snapToGrid w:val="0"/>
        <w:spacing w:line="540" w:lineRule="exact"/>
        <w:jc w:val="center"/>
        <w:rPr>
          <w:rFonts w:cs="宋体" w:asciiTheme="minorEastAsia" w:hAnsiTheme="minorEastAsia" w:eastAsiaTheme="minorEastAsia"/>
          <w:b/>
          <w:sz w:val="52"/>
          <w:szCs w:val="36"/>
        </w:rPr>
      </w:pPr>
    </w:p>
    <w:p w14:paraId="188BB42D">
      <w:pPr>
        <w:snapToGrid w:val="0"/>
        <w:spacing w:line="540" w:lineRule="exact"/>
        <w:jc w:val="center"/>
        <w:rPr>
          <w:rFonts w:ascii="Arial Narrow" w:hAnsi="黑体" w:eastAsia="黑体" w:cs="宋体"/>
          <w:b/>
          <w:sz w:val="40"/>
          <w:szCs w:val="40"/>
        </w:rPr>
      </w:pPr>
      <w:r>
        <w:rPr>
          <w:rFonts w:hint="eastAsia" w:cs="宋体" w:asciiTheme="minorEastAsia" w:hAnsiTheme="minorEastAsia" w:eastAsiaTheme="minorEastAsia"/>
          <w:b/>
          <w:sz w:val="52"/>
          <w:szCs w:val="36"/>
        </w:rPr>
        <w:t>程</w:t>
      </w:r>
    </w:p>
    <w:p w14:paraId="77999FBF">
      <w:pPr>
        <w:widowControl/>
        <w:jc w:val="left"/>
        <w:rPr>
          <w:rFonts w:ascii="Arial Narrow" w:hAnsi="黑体" w:eastAsia="黑体" w:cs="宋体"/>
          <w:b/>
          <w:sz w:val="36"/>
          <w:szCs w:val="36"/>
        </w:rPr>
      </w:pPr>
      <w:r>
        <w:rPr>
          <w:rFonts w:ascii="Arial Narrow" w:hAnsi="黑体" w:eastAsia="黑体" w:cs="宋体"/>
          <w:b/>
          <w:sz w:val="36"/>
          <w:szCs w:val="36"/>
        </w:rPr>
        <w:br w:type="page"/>
      </w:r>
    </w:p>
    <w:p w14:paraId="13AD0E09">
      <w:pPr>
        <w:pStyle w:val="2"/>
        <w:rPr>
          <w:rFonts w:ascii="仿宋_GB2312" w:hAnsi="仿宋_GB2312" w:eastAsia="仿宋"/>
          <w:sz w:val="28"/>
          <w:szCs w:val="28"/>
        </w:rPr>
      </w:pPr>
      <w:bookmarkStart w:id="0" w:name="_Toc382406748"/>
      <w:r>
        <w:rPr>
          <w:rFonts w:hint="eastAsia" w:ascii="黑体" w:hAnsi="黑体" w:eastAsia="黑体" w:cs="黑体"/>
          <w:bCs w:val="0"/>
          <w:kern w:val="2"/>
          <w:sz w:val="30"/>
          <w:szCs w:val="30"/>
        </w:rPr>
        <w:t>一、赛项名称</w:t>
      </w:r>
      <w:bookmarkEnd w:id="0"/>
    </w:p>
    <w:p w14:paraId="1F9B93D6">
      <w:pPr>
        <w:spacing w:line="360" w:lineRule="auto"/>
        <w:ind w:firstLine="200"/>
        <w:rPr>
          <w:rFonts w:hint="eastAsia" w:ascii="仿宋" w:hAnsi="仿宋" w:eastAsia="仿宋" w:cs="仿宋"/>
          <w:sz w:val="28"/>
          <w:szCs w:val="28"/>
          <w:u w:val="single"/>
        </w:rPr>
      </w:pPr>
      <w:r>
        <w:rPr>
          <w:rFonts w:hint="eastAsia" w:ascii="仿宋" w:hAnsi="仿宋" w:eastAsia="仿宋" w:cs="仿宋"/>
          <w:sz w:val="28"/>
          <w:szCs w:val="28"/>
        </w:rPr>
        <w:t>赛项名称：物联网应用开发</w:t>
      </w:r>
    </w:p>
    <w:p w14:paraId="2BCDCD64">
      <w:pPr>
        <w:spacing w:line="360" w:lineRule="auto"/>
        <w:ind w:firstLine="200"/>
        <w:rPr>
          <w:rFonts w:hint="eastAsia" w:ascii="仿宋" w:hAnsi="仿宋" w:eastAsia="仿宋" w:cs="仿宋"/>
          <w:sz w:val="28"/>
          <w:szCs w:val="28"/>
        </w:rPr>
      </w:pPr>
      <w:r>
        <w:rPr>
          <w:rFonts w:hint="eastAsia" w:ascii="仿宋" w:hAnsi="仿宋" w:eastAsia="仿宋" w:cs="仿宋"/>
          <w:sz w:val="28"/>
          <w:szCs w:val="28"/>
        </w:rPr>
        <w:t>赛项组别：高职组</w:t>
      </w:r>
    </w:p>
    <w:p w14:paraId="175E1BCD">
      <w:pPr>
        <w:spacing w:line="360" w:lineRule="auto"/>
        <w:ind w:firstLine="200"/>
        <w:rPr>
          <w:rFonts w:hint="eastAsia" w:ascii="仿宋" w:hAnsi="仿宋" w:eastAsia="仿宋" w:cs="仿宋"/>
          <w:sz w:val="28"/>
          <w:szCs w:val="28"/>
          <w:u w:val="single"/>
        </w:rPr>
      </w:pPr>
      <w:r>
        <w:rPr>
          <w:rFonts w:hint="eastAsia" w:ascii="仿宋" w:hAnsi="仿宋" w:eastAsia="仿宋" w:cs="仿宋"/>
          <w:sz w:val="28"/>
          <w:szCs w:val="28"/>
        </w:rPr>
        <w:t>赛项归属产业：电子信息产业、战略性新兴产业</w:t>
      </w:r>
    </w:p>
    <w:p w14:paraId="22A03592">
      <w:pPr>
        <w:pStyle w:val="2"/>
        <w:rPr>
          <w:rFonts w:hint="eastAsia" w:ascii="黑体" w:hAnsi="黑体" w:eastAsia="黑体" w:cs="黑体"/>
          <w:bCs w:val="0"/>
          <w:kern w:val="2"/>
          <w:sz w:val="30"/>
          <w:szCs w:val="30"/>
        </w:rPr>
      </w:pPr>
      <w:bookmarkStart w:id="1" w:name="_Toc382406749"/>
      <w:r>
        <w:rPr>
          <w:rFonts w:hint="eastAsia" w:ascii="黑体" w:hAnsi="黑体" w:eastAsia="黑体" w:cs="黑体"/>
          <w:bCs w:val="0"/>
          <w:kern w:val="2"/>
          <w:sz w:val="30"/>
          <w:szCs w:val="30"/>
        </w:rPr>
        <w:t>二、竞赛目的</w:t>
      </w:r>
      <w:bookmarkEnd w:id="1"/>
    </w:p>
    <w:p w14:paraId="685B92C3">
      <w:pPr>
        <w:spacing w:line="360" w:lineRule="auto"/>
        <w:ind w:firstLine="618" w:firstLineChars="0"/>
        <w:rPr>
          <w:rFonts w:hint="eastAsia" w:ascii="仿宋" w:hAnsi="仿宋" w:eastAsia="仿宋" w:cs="仿宋"/>
          <w:sz w:val="28"/>
          <w:szCs w:val="28"/>
        </w:rPr>
      </w:pPr>
      <w:r>
        <w:rPr>
          <w:rFonts w:hint="eastAsia" w:ascii="仿宋" w:hAnsi="仿宋" w:eastAsia="仿宋" w:cs="仿宋"/>
          <w:sz w:val="28"/>
          <w:szCs w:val="28"/>
        </w:rPr>
        <w:t>通过竞赛，落实“十四五”规划中关于推动物联网全面发展、推进物联网应用和智能化改造的相关要求，促进产教融合、校企合作，增强物联网应用技术及相关专业建设和课程教学的针对性，引领物联网应用技术及相关专业建设和课程改革，丰富完善物联网相关专业课程建设，实现应用型人才培养和产业岗位需求有效衔接，提升学校物联网相关专业人才培养水平，提高学校的产业贡献率和社会吸引力。</w:t>
      </w:r>
    </w:p>
    <w:p w14:paraId="0EB295E0">
      <w:pPr>
        <w:spacing w:line="360" w:lineRule="auto"/>
        <w:ind w:firstLine="618" w:firstLineChars="0"/>
        <w:rPr>
          <w:rFonts w:hint="eastAsia" w:ascii="仿宋" w:hAnsi="仿宋" w:eastAsia="仿宋" w:cs="仿宋"/>
          <w:sz w:val="28"/>
          <w:szCs w:val="28"/>
        </w:rPr>
      </w:pPr>
      <w:r>
        <w:rPr>
          <w:rFonts w:hint="eastAsia" w:ascii="仿宋" w:hAnsi="仿宋" w:eastAsia="仿宋" w:cs="仿宋"/>
          <w:sz w:val="28"/>
          <w:szCs w:val="28"/>
        </w:rPr>
        <w:t>通过竞赛，展示职业院校物联网应用技术及相关专业改革成果及师生良好精神面貌，提高社会对物联网应用技术及相关专业人才的认可度，提高学生的就业水平。</w:t>
      </w:r>
    </w:p>
    <w:p w14:paraId="395216F7">
      <w:pPr>
        <w:pStyle w:val="2"/>
        <w:rPr>
          <w:rFonts w:hint="eastAsia" w:ascii="黑体" w:hAnsi="黑体" w:eastAsia="黑体" w:cs="黑体"/>
          <w:bCs w:val="0"/>
          <w:kern w:val="2"/>
          <w:sz w:val="30"/>
          <w:szCs w:val="30"/>
        </w:rPr>
      </w:pPr>
      <w:r>
        <w:rPr>
          <w:rFonts w:hint="eastAsia" w:ascii="黑体" w:hAnsi="黑体" w:eastAsia="黑体" w:cs="黑体"/>
          <w:bCs w:val="0"/>
          <w:kern w:val="2"/>
          <w:sz w:val="30"/>
          <w:szCs w:val="30"/>
        </w:rPr>
        <w:t>三、竞赛内容</w:t>
      </w:r>
    </w:p>
    <w:p w14:paraId="637704A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赛项通过还原真实物联网项目工作场景，体现完整任务，主要考察选手对于物联网技术应用的综合技能，突出应变能力，包括：物联网选型及工程设计能力、物联网软硬件安装调试能力、物联网系统搭建能力、物联网平台配置管理能力、物联网应用开发能力以及职业素养。本项目要求选手根据项目需求，利用专业工具和仪器设备，设计、安装、搭建、调试、配置以及应用开发一套满足需求、稳定运行的物联网系统，通过真实的工作任务实施考察选手的综合职业能力，具体包括以下内容。</w:t>
      </w:r>
    </w:p>
    <w:tbl>
      <w:tblPr>
        <w:tblStyle w:val="10"/>
        <w:tblpPr w:leftFromText="180" w:rightFromText="180" w:vertAnchor="text" w:horzAnchor="margin" w:tblpY="54"/>
        <w:tblW w:w="5000" w:type="pct"/>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821"/>
        <w:gridCol w:w="4278"/>
        <w:gridCol w:w="1425"/>
        <w:gridCol w:w="1998"/>
      </w:tblGrid>
      <w:tr w14:paraId="68C71128">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50" w:hRule="atLeast"/>
        </w:trPr>
        <w:tc>
          <w:tcPr>
            <w:tcW w:w="482" w:type="pct"/>
            <w:tcBorders>
              <w:top w:val="single" w:color="auto" w:sz="12" w:space="0"/>
              <w:left w:val="single" w:color="auto" w:sz="4" w:space="0"/>
              <w:bottom w:val="single" w:color="auto" w:sz="6" w:space="0"/>
            </w:tcBorders>
            <w:vAlign w:val="center"/>
          </w:tcPr>
          <w:p w14:paraId="1D179CF5">
            <w:pPr>
              <w:jc w:val="center"/>
              <w:rPr>
                <w:rFonts w:hint="eastAsia" w:ascii="宋体" w:hAnsi="宋体" w:eastAsia="宋体" w:cs="宋体"/>
                <w:b/>
                <w:sz w:val="24"/>
                <w:szCs w:val="24"/>
              </w:rPr>
            </w:pPr>
            <w:r>
              <w:rPr>
                <w:rFonts w:hint="eastAsia" w:ascii="宋体" w:hAnsi="宋体" w:eastAsia="宋体" w:cs="宋体"/>
                <w:b/>
                <w:sz w:val="24"/>
                <w:szCs w:val="24"/>
              </w:rPr>
              <w:t>模块</w:t>
            </w:r>
          </w:p>
          <w:p w14:paraId="74BF25C8">
            <w:pPr>
              <w:jc w:val="center"/>
              <w:rPr>
                <w:rFonts w:hint="eastAsia" w:ascii="宋体" w:hAnsi="宋体" w:eastAsia="宋体" w:cs="宋体"/>
                <w:b/>
                <w:sz w:val="24"/>
                <w:szCs w:val="24"/>
              </w:rPr>
            </w:pPr>
            <w:r>
              <w:rPr>
                <w:rFonts w:hint="eastAsia" w:ascii="宋体" w:hAnsi="宋体" w:eastAsia="宋体" w:cs="宋体"/>
                <w:b/>
                <w:sz w:val="24"/>
                <w:szCs w:val="24"/>
              </w:rPr>
              <w:t>编号</w:t>
            </w:r>
          </w:p>
        </w:tc>
        <w:tc>
          <w:tcPr>
            <w:tcW w:w="2510" w:type="pct"/>
            <w:vAlign w:val="center"/>
          </w:tcPr>
          <w:p w14:paraId="3D6516E6">
            <w:pPr>
              <w:jc w:val="center"/>
              <w:rPr>
                <w:rFonts w:hint="eastAsia" w:ascii="宋体" w:hAnsi="宋体" w:eastAsia="宋体" w:cs="宋体"/>
                <w:b/>
                <w:sz w:val="24"/>
                <w:szCs w:val="24"/>
              </w:rPr>
            </w:pPr>
            <w:r>
              <w:rPr>
                <w:rFonts w:hint="eastAsia" w:ascii="宋体" w:hAnsi="宋体" w:eastAsia="宋体" w:cs="宋体"/>
                <w:b/>
                <w:sz w:val="24"/>
                <w:szCs w:val="24"/>
              </w:rPr>
              <w:t>模块名称</w:t>
            </w:r>
          </w:p>
        </w:tc>
        <w:tc>
          <w:tcPr>
            <w:tcW w:w="836" w:type="pct"/>
            <w:vAlign w:val="center"/>
          </w:tcPr>
          <w:p w14:paraId="118E8C41">
            <w:pPr>
              <w:jc w:val="center"/>
              <w:rPr>
                <w:rFonts w:hint="eastAsia" w:ascii="宋体" w:hAnsi="宋体" w:eastAsia="宋体" w:cs="宋体"/>
                <w:b/>
                <w:sz w:val="24"/>
                <w:szCs w:val="24"/>
              </w:rPr>
            </w:pPr>
            <w:r>
              <w:rPr>
                <w:rFonts w:hint="eastAsia" w:ascii="宋体" w:hAnsi="宋体" w:eastAsia="宋体" w:cs="宋体"/>
                <w:b/>
                <w:sz w:val="24"/>
                <w:szCs w:val="24"/>
              </w:rPr>
              <w:t>竞赛时间</w:t>
            </w:r>
          </w:p>
          <w:p w14:paraId="46DB1E38">
            <w:pPr>
              <w:jc w:val="center"/>
              <w:rPr>
                <w:rFonts w:hint="eastAsia" w:ascii="宋体" w:hAnsi="宋体" w:eastAsia="宋体" w:cs="宋体"/>
                <w:b/>
                <w:sz w:val="24"/>
                <w:szCs w:val="24"/>
              </w:rPr>
            </w:pPr>
            <w:r>
              <w:rPr>
                <w:rFonts w:hint="eastAsia" w:ascii="宋体" w:hAnsi="宋体" w:eastAsia="宋体" w:cs="宋体"/>
                <w:b/>
                <w:sz w:val="24"/>
                <w:szCs w:val="24"/>
              </w:rPr>
              <w:t>(小时)</w:t>
            </w:r>
          </w:p>
        </w:tc>
        <w:tc>
          <w:tcPr>
            <w:tcW w:w="1172" w:type="pct"/>
            <w:tcBorders>
              <w:top w:val="single" w:color="auto" w:sz="12" w:space="0"/>
              <w:right w:val="single" w:color="auto" w:sz="4" w:space="0"/>
            </w:tcBorders>
            <w:vAlign w:val="center"/>
          </w:tcPr>
          <w:p w14:paraId="73F48EB4">
            <w:pPr>
              <w:jc w:val="center"/>
              <w:rPr>
                <w:rFonts w:hint="eastAsia" w:ascii="宋体" w:hAnsi="宋体" w:eastAsia="宋体" w:cs="宋体"/>
                <w:b/>
                <w:sz w:val="24"/>
                <w:szCs w:val="24"/>
              </w:rPr>
            </w:pPr>
            <w:r>
              <w:rPr>
                <w:rFonts w:hint="eastAsia" w:ascii="宋体" w:hAnsi="宋体" w:eastAsia="宋体" w:cs="宋体"/>
                <w:b/>
                <w:sz w:val="24"/>
                <w:szCs w:val="24"/>
              </w:rPr>
              <w:t>分值</w:t>
            </w:r>
          </w:p>
        </w:tc>
      </w:tr>
      <w:tr w14:paraId="593B99D5">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76" w:hRule="atLeast"/>
        </w:trPr>
        <w:tc>
          <w:tcPr>
            <w:tcW w:w="482" w:type="pct"/>
            <w:tcBorders>
              <w:top w:val="single" w:color="auto" w:sz="6" w:space="0"/>
              <w:left w:val="single" w:color="auto" w:sz="4" w:space="0"/>
              <w:bottom w:val="single" w:color="auto" w:sz="6" w:space="0"/>
            </w:tcBorders>
            <w:vAlign w:val="center"/>
          </w:tcPr>
          <w:p w14:paraId="1ACF6FE4">
            <w:pPr>
              <w:jc w:val="center"/>
              <w:rPr>
                <w:rFonts w:hint="eastAsia" w:ascii="宋体" w:hAnsi="宋体" w:eastAsia="宋体" w:cs="宋体"/>
                <w:sz w:val="24"/>
                <w:szCs w:val="21"/>
              </w:rPr>
            </w:pPr>
            <w:r>
              <w:rPr>
                <w:rFonts w:hint="eastAsia" w:ascii="宋体" w:hAnsi="宋体" w:eastAsia="宋体" w:cs="宋体"/>
                <w:sz w:val="24"/>
                <w:szCs w:val="21"/>
              </w:rPr>
              <w:t>A</w:t>
            </w:r>
          </w:p>
        </w:tc>
        <w:tc>
          <w:tcPr>
            <w:tcW w:w="2510" w:type="pct"/>
            <w:vAlign w:val="center"/>
          </w:tcPr>
          <w:p w14:paraId="2B57C351">
            <w:pPr>
              <w:jc w:val="center"/>
              <w:rPr>
                <w:rFonts w:hint="eastAsia" w:ascii="宋体" w:hAnsi="宋体" w:eastAsia="宋体" w:cs="宋体"/>
                <w:sz w:val="24"/>
                <w:szCs w:val="21"/>
              </w:rPr>
            </w:pPr>
            <w:r>
              <w:rPr>
                <w:rFonts w:hint="eastAsia" w:ascii="宋体" w:hAnsi="宋体" w:eastAsia="宋体" w:cs="宋体"/>
                <w:sz w:val="24"/>
                <w:szCs w:val="21"/>
              </w:rPr>
              <w:t>物联网方案设计与升级改造</w:t>
            </w:r>
          </w:p>
        </w:tc>
        <w:tc>
          <w:tcPr>
            <w:tcW w:w="836" w:type="pct"/>
            <w:vMerge w:val="restart"/>
            <w:vAlign w:val="center"/>
          </w:tcPr>
          <w:p w14:paraId="116C1B0B">
            <w:pPr>
              <w:jc w:val="center"/>
              <w:rPr>
                <w:rFonts w:hint="eastAsia" w:ascii="宋体" w:hAnsi="宋体" w:eastAsia="宋体" w:cs="宋体"/>
                <w:sz w:val="24"/>
                <w:szCs w:val="21"/>
                <w:highlight w:val="yellow"/>
                <w:lang w:eastAsia="zh-CN"/>
              </w:rPr>
            </w:pPr>
            <w:r>
              <w:rPr>
                <w:rFonts w:hint="eastAsia" w:ascii="宋体" w:hAnsi="宋体" w:cs="宋体"/>
                <w:sz w:val="24"/>
                <w:szCs w:val="21"/>
                <w:highlight w:val="yellow"/>
                <w:lang w:val="en-US" w:eastAsia="zh-CN"/>
              </w:rPr>
              <w:t>4</w:t>
            </w:r>
          </w:p>
        </w:tc>
        <w:tc>
          <w:tcPr>
            <w:tcW w:w="1172" w:type="pct"/>
            <w:tcBorders>
              <w:top w:val="single" w:color="auto" w:sz="6" w:space="0"/>
              <w:bottom w:val="single" w:color="auto" w:sz="6" w:space="0"/>
              <w:right w:val="single" w:color="auto" w:sz="4" w:space="0"/>
            </w:tcBorders>
            <w:vAlign w:val="center"/>
          </w:tcPr>
          <w:p w14:paraId="2FC653B0">
            <w:pPr>
              <w:jc w:val="center"/>
              <w:rPr>
                <w:rFonts w:hint="eastAsia" w:ascii="宋体" w:hAnsi="宋体" w:eastAsia="宋体" w:cs="宋体"/>
                <w:sz w:val="24"/>
                <w:szCs w:val="21"/>
              </w:rPr>
            </w:pPr>
            <w:r>
              <w:rPr>
                <w:rFonts w:hint="eastAsia" w:ascii="宋体" w:hAnsi="宋体" w:eastAsia="宋体" w:cs="宋体"/>
                <w:sz w:val="24"/>
                <w:szCs w:val="21"/>
              </w:rPr>
              <w:t>40%</w:t>
            </w:r>
          </w:p>
        </w:tc>
      </w:tr>
      <w:tr w14:paraId="45AF8D7E">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482" w:type="pct"/>
            <w:tcBorders>
              <w:top w:val="single" w:color="auto" w:sz="6" w:space="0"/>
              <w:left w:val="single" w:color="auto" w:sz="4" w:space="0"/>
              <w:bottom w:val="single" w:color="auto" w:sz="6" w:space="0"/>
            </w:tcBorders>
            <w:vAlign w:val="center"/>
          </w:tcPr>
          <w:p w14:paraId="4B9BF41D">
            <w:pPr>
              <w:jc w:val="center"/>
              <w:rPr>
                <w:rFonts w:hint="eastAsia" w:ascii="宋体" w:hAnsi="宋体" w:eastAsia="宋体" w:cs="宋体"/>
                <w:sz w:val="24"/>
                <w:szCs w:val="21"/>
              </w:rPr>
            </w:pPr>
            <w:r>
              <w:rPr>
                <w:rFonts w:hint="eastAsia" w:ascii="宋体" w:hAnsi="宋体" w:eastAsia="宋体" w:cs="宋体"/>
                <w:sz w:val="24"/>
                <w:szCs w:val="21"/>
              </w:rPr>
              <w:t>B</w:t>
            </w:r>
          </w:p>
        </w:tc>
        <w:tc>
          <w:tcPr>
            <w:tcW w:w="2510" w:type="pct"/>
            <w:vAlign w:val="center"/>
          </w:tcPr>
          <w:p w14:paraId="4131CB24">
            <w:pPr>
              <w:jc w:val="center"/>
              <w:rPr>
                <w:rFonts w:hint="eastAsia" w:ascii="宋体" w:hAnsi="宋体" w:eastAsia="宋体" w:cs="宋体"/>
                <w:sz w:val="24"/>
                <w:szCs w:val="21"/>
              </w:rPr>
            </w:pPr>
            <w:r>
              <w:rPr>
                <w:rFonts w:hint="eastAsia" w:ascii="宋体" w:hAnsi="宋体" w:eastAsia="宋体" w:cs="宋体"/>
                <w:sz w:val="24"/>
                <w:szCs w:val="21"/>
              </w:rPr>
              <w:t>物联网应用开发与调试</w:t>
            </w:r>
          </w:p>
        </w:tc>
        <w:tc>
          <w:tcPr>
            <w:tcW w:w="836" w:type="pct"/>
            <w:vMerge w:val="continue"/>
            <w:vAlign w:val="center"/>
          </w:tcPr>
          <w:p w14:paraId="31C00B59">
            <w:pPr>
              <w:jc w:val="center"/>
              <w:rPr>
                <w:rFonts w:hint="eastAsia" w:ascii="宋体" w:hAnsi="宋体" w:eastAsia="宋体" w:cs="宋体"/>
                <w:sz w:val="24"/>
                <w:szCs w:val="21"/>
                <w:highlight w:val="yellow"/>
              </w:rPr>
            </w:pPr>
          </w:p>
        </w:tc>
        <w:tc>
          <w:tcPr>
            <w:tcW w:w="1172" w:type="pct"/>
            <w:tcBorders>
              <w:top w:val="single" w:color="auto" w:sz="6" w:space="0"/>
              <w:bottom w:val="single" w:color="auto" w:sz="6" w:space="0"/>
              <w:right w:val="single" w:color="auto" w:sz="4" w:space="0"/>
            </w:tcBorders>
            <w:vAlign w:val="center"/>
          </w:tcPr>
          <w:p w14:paraId="48816211">
            <w:pPr>
              <w:jc w:val="center"/>
              <w:rPr>
                <w:rFonts w:hint="eastAsia" w:ascii="宋体" w:hAnsi="宋体" w:eastAsia="宋体" w:cs="宋体"/>
                <w:sz w:val="24"/>
                <w:szCs w:val="21"/>
              </w:rPr>
            </w:pPr>
            <w:r>
              <w:rPr>
                <w:rFonts w:hint="eastAsia" w:ascii="宋体" w:hAnsi="宋体" w:eastAsia="宋体" w:cs="宋体"/>
                <w:sz w:val="24"/>
                <w:szCs w:val="21"/>
              </w:rPr>
              <w:t>60%</w:t>
            </w:r>
          </w:p>
        </w:tc>
      </w:tr>
      <w:tr w14:paraId="660991D3">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482" w:type="pct"/>
            <w:tcBorders>
              <w:top w:val="single" w:color="auto" w:sz="6" w:space="0"/>
              <w:left w:val="single" w:color="auto" w:sz="4" w:space="0"/>
              <w:bottom w:val="single" w:color="auto" w:sz="12" w:space="0"/>
            </w:tcBorders>
            <w:vAlign w:val="center"/>
          </w:tcPr>
          <w:p w14:paraId="4C8D2CB8">
            <w:pPr>
              <w:jc w:val="center"/>
              <w:rPr>
                <w:rFonts w:hint="eastAsia" w:ascii="宋体" w:hAnsi="宋体" w:eastAsia="宋体" w:cs="宋体"/>
                <w:sz w:val="24"/>
                <w:szCs w:val="21"/>
              </w:rPr>
            </w:pPr>
            <w:r>
              <w:rPr>
                <w:rFonts w:hint="eastAsia" w:ascii="宋体" w:hAnsi="宋体" w:eastAsia="宋体" w:cs="宋体"/>
                <w:sz w:val="24"/>
                <w:szCs w:val="21"/>
              </w:rPr>
              <w:t>总计</w:t>
            </w:r>
          </w:p>
        </w:tc>
        <w:tc>
          <w:tcPr>
            <w:tcW w:w="2510" w:type="pct"/>
            <w:vAlign w:val="center"/>
          </w:tcPr>
          <w:p w14:paraId="772595A6">
            <w:pPr>
              <w:jc w:val="center"/>
              <w:rPr>
                <w:rFonts w:hint="eastAsia" w:ascii="宋体" w:hAnsi="宋体" w:eastAsia="宋体" w:cs="宋体"/>
                <w:sz w:val="24"/>
                <w:szCs w:val="21"/>
              </w:rPr>
            </w:pPr>
          </w:p>
        </w:tc>
        <w:tc>
          <w:tcPr>
            <w:tcW w:w="836" w:type="pct"/>
            <w:vAlign w:val="center"/>
          </w:tcPr>
          <w:p w14:paraId="2839E393">
            <w:pPr>
              <w:jc w:val="center"/>
              <w:rPr>
                <w:rFonts w:hint="eastAsia" w:ascii="宋体" w:hAnsi="宋体" w:eastAsia="宋体" w:cs="宋体"/>
                <w:sz w:val="24"/>
                <w:szCs w:val="21"/>
                <w:highlight w:val="yellow"/>
                <w:lang w:eastAsia="zh-CN"/>
              </w:rPr>
            </w:pPr>
            <w:r>
              <w:rPr>
                <w:rFonts w:hint="eastAsia" w:ascii="宋体" w:hAnsi="宋体" w:cs="宋体"/>
                <w:sz w:val="24"/>
                <w:szCs w:val="21"/>
                <w:highlight w:val="yellow"/>
                <w:lang w:val="en-US" w:eastAsia="zh-CN"/>
              </w:rPr>
              <w:t>4</w:t>
            </w:r>
          </w:p>
        </w:tc>
        <w:tc>
          <w:tcPr>
            <w:tcW w:w="1172" w:type="pct"/>
            <w:tcBorders>
              <w:top w:val="single" w:color="auto" w:sz="6" w:space="0"/>
              <w:bottom w:val="single" w:color="auto" w:sz="12" w:space="0"/>
              <w:right w:val="single" w:color="auto" w:sz="4" w:space="0"/>
            </w:tcBorders>
            <w:vAlign w:val="center"/>
          </w:tcPr>
          <w:p w14:paraId="18432E21">
            <w:pPr>
              <w:jc w:val="center"/>
              <w:rPr>
                <w:rFonts w:hint="eastAsia" w:ascii="宋体" w:hAnsi="宋体" w:eastAsia="宋体" w:cs="宋体"/>
                <w:sz w:val="24"/>
                <w:szCs w:val="21"/>
              </w:rPr>
            </w:pPr>
            <w:r>
              <w:rPr>
                <w:rFonts w:hint="eastAsia" w:ascii="宋体" w:hAnsi="宋体" w:eastAsia="宋体" w:cs="宋体"/>
                <w:sz w:val="24"/>
                <w:szCs w:val="21"/>
              </w:rPr>
              <w:t>100%</w:t>
            </w:r>
          </w:p>
        </w:tc>
      </w:tr>
    </w:tbl>
    <w:p w14:paraId="7ED024C3">
      <w:pPr>
        <w:spacing w:line="360" w:lineRule="auto"/>
        <w:ind w:right="210" w:rightChars="100" w:firstLine="420"/>
        <w:jc w:val="left"/>
        <w:outlineLvl w:val="1"/>
        <w:rPr>
          <w:rFonts w:hint="eastAsia" w:eastAsia="楷体"/>
          <w:b/>
          <w:sz w:val="32"/>
          <w:szCs w:val="40"/>
        </w:rPr>
      </w:pPr>
      <w:r>
        <w:rPr>
          <w:rFonts w:hint="eastAsia" w:eastAsia="楷体"/>
          <w:b/>
          <w:sz w:val="32"/>
          <w:szCs w:val="40"/>
        </w:rPr>
        <w:t>（一）模块简述</w:t>
      </w:r>
    </w:p>
    <w:p w14:paraId="563D77FF">
      <w:pPr>
        <w:spacing w:line="360" w:lineRule="auto"/>
        <w:rPr>
          <w:rFonts w:ascii="Arial Narrow" w:hAnsi="Arial Narrow" w:eastAsia="仿宋_GB2312" w:cs="宋体"/>
          <w:b/>
          <w:sz w:val="28"/>
          <w:szCs w:val="28"/>
        </w:rPr>
      </w:pPr>
      <w:r>
        <w:rPr>
          <w:rFonts w:hint="eastAsia" w:ascii="Arial Narrow" w:hAnsi="Arial Narrow" w:eastAsia="仿宋_GB2312" w:cs="宋体"/>
          <w:b/>
          <w:sz w:val="28"/>
          <w:szCs w:val="28"/>
        </w:rPr>
        <w:t>模块</w:t>
      </w:r>
      <w:r>
        <w:rPr>
          <w:rFonts w:ascii="Arial Narrow" w:hAnsi="Arial Narrow" w:eastAsia="仿宋_GB2312" w:cs="宋体"/>
          <w:b/>
          <w:sz w:val="28"/>
          <w:szCs w:val="28"/>
        </w:rPr>
        <w:t>A</w:t>
      </w:r>
      <w:r>
        <w:rPr>
          <w:rFonts w:hint="eastAsia" w:ascii="Arial Narrow" w:hAnsi="Arial Narrow" w:eastAsia="仿宋_GB2312" w:cs="宋体"/>
          <w:b/>
          <w:sz w:val="28"/>
          <w:szCs w:val="28"/>
        </w:rPr>
        <w:t>：物联网方案设计与升级改造</w:t>
      </w:r>
    </w:p>
    <w:p w14:paraId="41B69375">
      <w:pPr>
        <w:spacing w:line="360" w:lineRule="auto"/>
        <w:ind w:firstLine="560" w:firstLineChars="200"/>
        <w:rPr>
          <w:rFonts w:hint="eastAsia" w:ascii="Arial Narrow" w:hAnsi="Arial Narrow" w:eastAsia="仿宋_GB2312" w:cs="宋体"/>
          <w:sz w:val="28"/>
          <w:szCs w:val="28"/>
        </w:rPr>
      </w:pPr>
      <w:r>
        <w:rPr>
          <w:rFonts w:hint="eastAsia" w:ascii="仿宋" w:hAnsi="仿宋" w:eastAsia="仿宋" w:cs="仿宋"/>
          <w:sz w:val="28"/>
          <w:szCs w:val="28"/>
        </w:rPr>
        <w:t>考核参赛选手对物联网工程项目的整体设计， 选用合适的硬件、软件及服务，对各类传感器、识别设备、无线传感网通讯设备、智能网关等物联网设备进行安装、配置等；通过虚拟仿真系统进行物联网项目方案设计、验证、实施与部署。包括感知层设备安装与调试，传输层连接与配置，物联网网关的配置与使用，云服务系统的配置与使用，系统维护，数据库查询、优化与运维，硬件设备维护，考查选手的职业素养。</w:t>
      </w:r>
    </w:p>
    <w:p w14:paraId="1C0BAED0">
      <w:pPr>
        <w:spacing w:line="360" w:lineRule="auto"/>
        <w:rPr>
          <w:rFonts w:ascii="Arial Narrow" w:hAnsi="Arial Narrow" w:eastAsia="仿宋_GB2312" w:cs="宋体"/>
          <w:b/>
          <w:sz w:val="28"/>
          <w:szCs w:val="28"/>
        </w:rPr>
      </w:pPr>
      <w:r>
        <w:rPr>
          <w:rFonts w:hint="eastAsia" w:ascii="Arial Narrow" w:hAnsi="Arial Narrow" w:eastAsia="仿宋_GB2312" w:cs="宋体"/>
          <w:b/>
          <w:sz w:val="28"/>
          <w:szCs w:val="28"/>
        </w:rPr>
        <w:t>模块B：物联网应用开发与调试</w:t>
      </w:r>
    </w:p>
    <w:p w14:paraId="6565A003">
      <w:pPr>
        <w:spacing w:line="360" w:lineRule="auto"/>
        <w:ind w:firstLine="560" w:firstLineChars="200"/>
        <w:rPr>
          <w:rFonts w:ascii="Arial Narrow" w:hAnsi="Arial Narrow" w:eastAsia="仿宋_GB2312" w:cs="宋体"/>
          <w:sz w:val="28"/>
          <w:szCs w:val="28"/>
        </w:rPr>
      </w:pPr>
      <w:r>
        <w:rPr>
          <w:rFonts w:hint="eastAsia" w:ascii="仿宋" w:hAnsi="仿宋" w:eastAsia="仿宋" w:cs="仿宋"/>
          <w:sz w:val="28"/>
          <w:szCs w:val="28"/>
        </w:rPr>
        <w:t>考核参赛选手对物联网应用场景的开发能力， 包括物联网项目原型设计，传感网应用开发， 物联网应用软件开发和程序调试。根据要求完成网关开发；根据应用场景需求完成物联网应用开发和调试，物联网系统的联调；开发数据处理规则链，转换和规范化设备数据；实现物。联网解决方案的设备管理、数据收集、实时处理和可视化；运用人工智能模型实现预测性维护、智能识别等物联网应用场景；实现用户项目总体开发需求，考查选手的职业素养。</w:t>
      </w:r>
    </w:p>
    <w:p w14:paraId="7AFABB81">
      <w:pPr>
        <w:spacing w:line="360" w:lineRule="auto"/>
        <w:ind w:right="210" w:rightChars="100" w:firstLine="420"/>
        <w:jc w:val="left"/>
        <w:outlineLvl w:val="1"/>
        <w:rPr>
          <w:rFonts w:hint="eastAsia" w:eastAsia="楷体"/>
          <w:b/>
          <w:sz w:val="32"/>
          <w:szCs w:val="40"/>
        </w:rPr>
      </w:pPr>
      <w:r>
        <w:rPr>
          <w:rFonts w:hint="eastAsia" w:eastAsia="楷体"/>
          <w:b/>
          <w:sz w:val="32"/>
          <w:szCs w:val="40"/>
        </w:rPr>
        <w:t>（二）考核技能</w:t>
      </w:r>
    </w:p>
    <w:p w14:paraId="6BEC9B9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1.专业知识</w:t>
      </w:r>
    </w:p>
    <w:p w14:paraId="6108687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物联网基础知识、物联网设备认知、物联网技术认知、物联网应用认知。</w:t>
      </w:r>
    </w:p>
    <w:p w14:paraId="535EB7B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2.实践技能</w:t>
      </w:r>
    </w:p>
    <w:p w14:paraId="065E329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硬件设备安装调试、网络设备连接配置、软件系统部署维护、物联网项目应用操作。</w:t>
      </w:r>
    </w:p>
    <w:p w14:paraId="1AB4374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（1）硬件设备安装调试</w:t>
      </w:r>
    </w:p>
    <w:p w14:paraId="6A27E38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基于物联网竞赛工位，按照要求将竞赛相关设备，如传感器、执行器件、传感网络节点等进行安装，完成连接及供电，并按照要求对各个设备进行配置，保证设备正常工作。</w:t>
      </w:r>
    </w:p>
    <w:p w14:paraId="6F513B53">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（2）网络设备连接配置</w:t>
      </w:r>
    </w:p>
    <w:p w14:paraId="7CD39AD3">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按照要求，完成设备网络的搭建，包括网络连接布线，无线路由器设定配置，传感网设备、计算机、智能网关等终端设备进行网络配置。</w:t>
      </w:r>
    </w:p>
    <w:p w14:paraId="1FA71CE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（3）软件系统部署维护</w:t>
      </w:r>
    </w:p>
    <w:p w14:paraId="33037DA6">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对系统软件的运行环境进行部署安装；对产品配套的应用软件进行部署安装配置等；对产品配套软件系统的维护等；对物联网项目工程通过仿真系统进行搭建、配置及部署；对物联网平台应用部署；对接物联网设备及系统。</w:t>
      </w:r>
    </w:p>
    <w:p w14:paraId="057BF5A6">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（4）物联网项目应用操作</w:t>
      </w:r>
    </w:p>
    <w:p w14:paraId="351FA98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对智慧农业、智慧工厂、智能门店等物联网项目应用及功能的使用操作、业务流程进行熟悉和了解，能够操作和演示各个场景子功能的业务环节。</w:t>
      </w:r>
    </w:p>
    <w:p w14:paraId="3DE15A6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3.开发技能</w:t>
      </w:r>
    </w:p>
    <w:p w14:paraId="0F966D95">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传感网应用开发、物联网应用软件开发和程序调试能力。</w:t>
      </w:r>
    </w:p>
    <w:p w14:paraId="088F11C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（1）传感网应用开发</w:t>
      </w:r>
    </w:p>
    <w:p w14:paraId="537779B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根据相关功能子模块的要求，开发和实现协议转换。</w:t>
      </w:r>
    </w:p>
    <w:p w14:paraId="466FC91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（2）物联网应用软件开发</w:t>
      </w:r>
    </w:p>
    <w:p w14:paraId="2035812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根据相关功能子模块的要求，开发物联网应用软件，完成物联网传感数据、设备状态展示、设备控制、管理等功能。</w:t>
      </w:r>
    </w:p>
    <w:p w14:paraId="43616D2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（3）程序调试</w:t>
      </w:r>
    </w:p>
    <w:p w14:paraId="18DF60B0">
      <w:pPr>
        <w:spacing w:line="360" w:lineRule="auto"/>
        <w:ind w:firstLine="560" w:firstLineChars="200"/>
        <w:rPr>
          <w:rFonts w:ascii="Arial Narrow" w:hAnsi="Arial Narrow" w:eastAsia="仿宋_GB2312" w:cs="宋体"/>
          <w:sz w:val="28"/>
          <w:szCs w:val="28"/>
        </w:rPr>
      </w:pPr>
      <w:r>
        <w:rPr>
          <w:rFonts w:hint="eastAsia" w:ascii="仿宋" w:hAnsi="仿宋" w:eastAsia="仿宋" w:cs="仿宋"/>
          <w:sz w:val="28"/>
          <w:szCs w:val="28"/>
        </w:rPr>
        <w:t>根据相关功能子模块的要求，进行物联网应用程序联调。</w:t>
      </w:r>
    </w:p>
    <w:p w14:paraId="28C94326">
      <w:pPr>
        <w:pStyle w:val="2"/>
        <w:rPr>
          <w:rFonts w:hint="eastAsia" w:ascii="黑体" w:hAnsi="黑体" w:eastAsia="黑体" w:cs="黑体"/>
          <w:bCs w:val="0"/>
          <w:kern w:val="2"/>
          <w:sz w:val="30"/>
          <w:szCs w:val="30"/>
        </w:rPr>
      </w:pPr>
      <w:r>
        <w:rPr>
          <w:rFonts w:hint="eastAsia" w:ascii="黑体" w:hAnsi="黑体" w:eastAsia="黑体" w:cs="黑体"/>
          <w:bCs w:val="0"/>
          <w:kern w:val="2"/>
          <w:sz w:val="30"/>
          <w:szCs w:val="30"/>
        </w:rPr>
        <w:t>四、竞赛方式</w:t>
      </w:r>
    </w:p>
    <w:p w14:paraId="4DA25BA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1．本赛项为团体赛，以院校为单位组队参赛，不得跨校组队，同一学校参赛队不超过1支。</w:t>
      </w:r>
    </w:p>
    <w:p w14:paraId="115B413D">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 每支参赛队由2名选手组成，其中队长1名。</w:t>
      </w:r>
    </w:p>
    <w:p w14:paraId="3E4661C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3．每支参赛队可配指导教师2名，指导教师须为本校专兼职教师，竞赛期间不允许指导教师进入赛场进行现场指导。</w:t>
      </w:r>
    </w:p>
    <w:p w14:paraId="4DB33F09">
      <w:pPr>
        <w:pStyle w:val="2"/>
        <w:rPr>
          <w:rFonts w:hint="eastAsia" w:ascii="黑体" w:hAnsi="黑体" w:eastAsia="黑体" w:cs="黑体"/>
          <w:bCs w:val="0"/>
          <w:kern w:val="2"/>
          <w:sz w:val="30"/>
          <w:szCs w:val="30"/>
        </w:rPr>
      </w:pPr>
      <w:r>
        <w:rPr>
          <w:rFonts w:hint="eastAsia" w:ascii="黑体" w:hAnsi="黑体" w:eastAsia="黑体" w:cs="黑体"/>
          <w:bCs w:val="0"/>
          <w:kern w:val="2"/>
          <w:sz w:val="30"/>
          <w:szCs w:val="30"/>
        </w:rPr>
        <w:t>五、竞赛流程</w:t>
      </w:r>
    </w:p>
    <w:p w14:paraId="52D68C34">
      <w:pPr>
        <w:spacing w:line="360" w:lineRule="auto"/>
        <w:ind w:right="210" w:rightChars="100" w:firstLine="420"/>
        <w:jc w:val="left"/>
        <w:outlineLvl w:val="1"/>
        <w:rPr>
          <w:rFonts w:hint="eastAsia" w:eastAsia="楷体"/>
          <w:b/>
          <w:sz w:val="32"/>
          <w:szCs w:val="40"/>
        </w:rPr>
      </w:pPr>
      <w:r>
        <w:rPr>
          <w:rFonts w:hint="eastAsia" w:eastAsia="楷体"/>
          <w:b/>
          <w:sz w:val="32"/>
          <w:szCs w:val="40"/>
        </w:rPr>
        <w:t>（一）竞赛流程图</w:t>
      </w:r>
    </w:p>
    <w:p w14:paraId="7CFBA34B">
      <w:pPr>
        <w:jc w:val="center"/>
        <w:rPr>
          <w:rFonts w:ascii="宋体" w:cs="宋体"/>
          <w:kern w:val="0"/>
          <w:sz w:val="18"/>
          <w:szCs w:val="18"/>
          <w:lang w:val="zh-CN"/>
        </w:rPr>
      </w:pPr>
      <w:r>
        <w:rPr>
          <w:rFonts w:ascii="楷体"/>
          <w:sz w:val="20"/>
        </w:rPr>
        <w:drawing>
          <wp:inline distT="0" distB="0" distL="0" distR="0">
            <wp:extent cx="4968240" cy="5336540"/>
            <wp:effectExtent l="0" t="0" r="3810" b="1651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5" cstate="print"/>
                    <a:stretch>
                      <a:fillRect/>
                    </a:stretch>
                  </pic:blipFill>
                  <pic:spPr>
                    <a:xfrm>
                      <a:off x="0" y="0"/>
                      <a:ext cx="4968465" cy="5337048"/>
                    </a:xfrm>
                    <a:prstGeom prst="rect">
                      <a:avLst/>
                    </a:prstGeom>
                  </pic:spPr>
                </pic:pic>
              </a:graphicData>
            </a:graphic>
          </wp:inline>
        </w:drawing>
      </w:r>
    </w:p>
    <w:p w14:paraId="01BCB5DE">
      <w:pPr>
        <w:jc w:val="center"/>
        <w:rPr>
          <w:rFonts w:ascii="宋体" w:cs="宋体"/>
          <w:kern w:val="0"/>
          <w:sz w:val="18"/>
          <w:szCs w:val="18"/>
          <w:lang w:val="zh-CN"/>
        </w:rPr>
      </w:pPr>
    </w:p>
    <w:p w14:paraId="57CA59CB">
      <w:pPr>
        <w:jc w:val="center"/>
        <w:rPr>
          <w:rFonts w:ascii="宋体" w:cs="宋体"/>
          <w:kern w:val="0"/>
          <w:sz w:val="18"/>
          <w:szCs w:val="18"/>
          <w:lang w:val="zh-CN"/>
        </w:rPr>
      </w:pPr>
    </w:p>
    <w:p w14:paraId="7BA5B537">
      <w:pPr>
        <w:jc w:val="center"/>
        <w:rPr>
          <w:rFonts w:ascii="宋体" w:cs="宋体"/>
          <w:kern w:val="0"/>
          <w:sz w:val="18"/>
          <w:szCs w:val="18"/>
          <w:lang w:val="zh-CN"/>
        </w:rPr>
      </w:pPr>
    </w:p>
    <w:p w14:paraId="4AD7BF6B">
      <w:pPr>
        <w:spacing w:line="360" w:lineRule="auto"/>
        <w:ind w:right="210" w:rightChars="100" w:firstLine="420"/>
        <w:jc w:val="left"/>
        <w:outlineLvl w:val="1"/>
        <w:rPr>
          <w:rFonts w:hint="eastAsia" w:eastAsia="楷体"/>
          <w:b/>
          <w:sz w:val="32"/>
          <w:szCs w:val="40"/>
        </w:rPr>
      </w:pPr>
      <w:r>
        <w:rPr>
          <w:rFonts w:hint="eastAsia" w:eastAsia="楷体"/>
          <w:b/>
          <w:sz w:val="32"/>
          <w:szCs w:val="40"/>
        </w:rPr>
        <w:t>（二）竞赛时间安排表</w:t>
      </w:r>
    </w:p>
    <w:tbl>
      <w:tblPr>
        <w:tblStyle w:val="10"/>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54"/>
        <w:gridCol w:w="1554"/>
        <w:gridCol w:w="1667"/>
        <w:gridCol w:w="3747"/>
      </w:tblGrid>
      <w:tr w14:paraId="291419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Align w:val="center"/>
          </w:tcPr>
          <w:p w14:paraId="55D005F0">
            <w:pPr>
              <w:adjustRightInd w:val="0"/>
              <w:snapToGrid w:val="0"/>
              <w:jc w:val="center"/>
              <w:rPr>
                <w:rFonts w:hint="eastAsia" w:ascii="宋体" w:hAnsi="宋体" w:eastAsia="宋体" w:cs="宋体"/>
                <w:b/>
                <w:sz w:val="24"/>
              </w:rPr>
            </w:pPr>
            <w:r>
              <w:rPr>
                <w:rFonts w:hint="eastAsia" w:ascii="宋体" w:hAnsi="宋体" w:eastAsia="宋体" w:cs="宋体"/>
                <w:b/>
                <w:sz w:val="24"/>
              </w:rPr>
              <w:t>日程</w:t>
            </w:r>
          </w:p>
        </w:tc>
        <w:tc>
          <w:tcPr>
            <w:tcW w:w="912" w:type="pct"/>
            <w:vAlign w:val="center"/>
          </w:tcPr>
          <w:p w14:paraId="5A818D62">
            <w:pPr>
              <w:adjustRightInd w:val="0"/>
              <w:snapToGrid w:val="0"/>
              <w:jc w:val="center"/>
              <w:rPr>
                <w:rFonts w:hint="eastAsia" w:ascii="宋体" w:hAnsi="宋体" w:eastAsia="宋体" w:cs="宋体"/>
                <w:b/>
                <w:sz w:val="24"/>
              </w:rPr>
            </w:pPr>
            <w:r>
              <w:rPr>
                <w:rFonts w:hint="eastAsia" w:ascii="宋体" w:hAnsi="宋体" w:eastAsia="宋体" w:cs="宋体"/>
                <w:b/>
                <w:sz w:val="24"/>
              </w:rPr>
              <w:t>时间</w:t>
            </w:r>
          </w:p>
        </w:tc>
        <w:tc>
          <w:tcPr>
            <w:tcW w:w="978" w:type="pct"/>
            <w:vAlign w:val="center"/>
          </w:tcPr>
          <w:p w14:paraId="76825CC3">
            <w:pPr>
              <w:adjustRightInd w:val="0"/>
              <w:snapToGrid w:val="0"/>
              <w:jc w:val="center"/>
              <w:rPr>
                <w:rFonts w:hint="eastAsia" w:ascii="宋体" w:hAnsi="宋体" w:eastAsia="宋体" w:cs="宋体"/>
                <w:b/>
                <w:sz w:val="24"/>
              </w:rPr>
            </w:pPr>
            <w:r>
              <w:rPr>
                <w:rFonts w:hint="eastAsia" w:ascii="宋体" w:hAnsi="宋体" w:eastAsia="宋体" w:cs="宋体"/>
                <w:b/>
                <w:sz w:val="24"/>
              </w:rPr>
              <w:t>竞赛环节</w:t>
            </w:r>
          </w:p>
        </w:tc>
        <w:tc>
          <w:tcPr>
            <w:tcW w:w="2198" w:type="pct"/>
            <w:vAlign w:val="center"/>
          </w:tcPr>
          <w:p w14:paraId="1F5D00BC">
            <w:pPr>
              <w:adjustRightInd w:val="0"/>
              <w:snapToGrid w:val="0"/>
              <w:jc w:val="center"/>
              <w:rPr>
                <w:rFonts w:hint="eastAsia" w:ascii="宋体" w:hAnsi="宋体" w:eastAsia="宋体" w:cs="宋体"/>
                <w:b/>
                <w:sz w:val="24"/>
              </w:rPr>
            </w:pPr>
            <w:r>
              <w:rPr>
                <w:rFonts w:hint="eastAsia" w:ascii="宋体" w:hAnsi="宋体" w:eastAsia="宋体" w:cs="宋体"/>
                <w:b/>
                <w:sz w:val="24"/>
              </w:rPr>
              <w:t>说       明</w:t>
            </w:r>
          </w:p>
        </w:tc>
      </w:tr>
      <w:tr w14:paraId="4F3CFE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2" w:type="pct"/>
            <w:vMerge w:val="restart"/>
            <w:vAlign w:val="center"/>
          </w:tcPr>
          <w:p w14:paraId="5F64A967">
            <w:pPr>
              <w:adjustRightInd w:val="0"/>
              <w:snapToGrid w:val="0"/>
              <w:ind w:left="-105" w:leftChars="-50" w:right="-105" w:rightChars="-50"/>
              <w:jc w:val="center"/>
              <w:rPr>
                <w:rFonts w:hint="eastAsia" w:ascii="宋体" w:hAnsi="宋体" w:eastAsia="宋体" w:cs="宋体"/>
                <w:sz w:val="24"/>
              </w:rPr>
            </w:pPr>
            <w:r>
              <w:rPr>
                <w:rFonts w:hint="eastAsia" w:ascii="宋体" w:hAnsi="宋体" w:eastAsia="宋体" w:cs="宋体"/>
                <w:sz w:val="24"/>
              </w:rPr>
              <w:t>比赛日</w:t>
            </w:r>
          </w:p>
        </w:tc>
        <w:tc>
          <w:tcPr>
            <w:tcW w:w="1554" w:type="dxa"/>
            <w:vAlign w:val="center"/>
          </w:tcPr>
          <w:p w14:paraId="29965C01">
            <w:pPr>
              <w:adjustRightInd w:val="0"/>
              <w:snapToGrid w:val="0"/>
              <w:ind w:left="-105" w:leftChars="-50" w:right="-105" w:rightChars="-50"/>
              <w:jc w:val="center"/>
              <w:rPr>
                <w:rFonts w:hint="eastAsia" w:ascii="宋体" w:hAnsi="宋体" w:eastAsia="宋体" w:cs="宋体"/>
                <w:sz w:val="24"/>
                <w:highlight w:val="yellow"/>
              </w:rPr>
            </w:pPr>
            <w:r>
              <w:rPr>
                <w:rFonts w:hint="eastAsia" w:ascii="仿宋_GB2312" w:hAnsi="仿宋" w:eastAsia="仿宋_GB2312"/>
                <w:sz w:val="24"/>
                <w:highlight w:val="yellow"/>
              </w:rPr>
              <w:t>07:</w:t>
            </w:r>
            <w:r>
              <w:rPr>
                <w:rFonts w:ascii="仿宋_GB2312" w:hAnsi="仿宋" w:eastAsia="仿宋_GB2312"/>
                <w:sz w:val="24"/>
                <w:highlight w:val="yellow"/>
              </w:rPr>
              <w:t>0</w:t>
            </w:r>
            <w:r>
              <w:rPr>
                <w:rFonts w:hint="eastAsia" w:ascii="仿宋_GB2312" w:hAnsi="仿宋" w:eastAsia="仿宋_GB2312"/>
                <w:sz w:val="24"/>
                <w:highlight w:val="yellow"/>
              </w:rPr>
              <w:t>0</w:t>
            </w:r>
            <w:r>
              <w:rPr>
                <w:rFonts w:hint="eastAsia" w:ascii="仿宋_GB2312" w:eastAsia="仿宋_GB2312"/>
                <w:sz w:val="24"/>
                <w:highlight w:val="yellow"/>
              </w:rPr>
              <w:t>-</w:t>
            </w:r>
            <w:r>
              <w:rPr>
                <w:rFonts w:hint="eastAsia" w:ascii="仿宋_GB2312" w:hAnsi="仿宋" w:eastAsia="仿宋_GB2312"/>
                <w:sz w:val="24"/>
                <w:highlight w:val="yellow"/>
              </w:rPr>
              <w:t>07:30</w:t>
            </w:r>
          </w:p>
        </w:tc>
        <w:tc>
          <w:tcPr>
            <w:tcW w:w="1667" w:type="dxa"/>
            <w:vAlign w:val="center"/>
          </w:tcPr>
          <w:p w14:paraId="469B5602">
            <w:pPr>
              <w:adjustRightInd w:val="0"/>
              <w:snapToGrid w:val="0"/>
              <w:rPr>
                <w:rFonts w:hint="eastAsia" w:ascii="宋体" w:hAnsi="宋体" w:eastAsia="宋体" w:cs="宋体"/>
                <w:sz w:val="24"/>
              </w:rPr>
            </w:pPr>
            <w:r>
              <w:rPr>
                <w:rFonts w:hint="eastAsia" w:ascii="仿宋_GB2312" w:hAnsi="仿宋" w:eastAsia="仿宋_GB2312"/>
                <w:sz w:val="24"/>
              </w:rPr>
              <w:t>启封赛场</w:t>
            </w:r>
          </w:p>
        </w:tc>
        <w:tc>
          <w:tcPr>
            <w:tcW w:w="3747" w:type="dxa"/>
            <w:vAlign w:val="center"/>
          </w:tcPr>
          <w:p w14:paraId="63D71258">
            <w:pPr>
              <w:adjustRightInd w:val="0"/>
              <w:snapToGrid w:val="0"/>
              <w:rPr>
                <w:rFonts w:hint="eastAsia" w:ascii="宋体" w:hAnsi="宋体" w:eastAsia="宋体" w:cs="宋体"/>
                <w:sz w:val="24"/>
              </w:rPr>
            </w:pPr>
            <w:r>
              <w:rPr>
                <w:rFonts w:hint="eastAsia" w:ascii="仿宋_GB2312" w:hAnsi="仿宋" w:eastAsia="仿宋_GB2312"/>
                <w:sz w:val="24"/>
              </w:rPr>
              <w:t>在裁判员和监督仲裁组的监督下工作人员启封赛场</w:t>
            </w:r>
          </w:p>
        </w:tc>
      </w:tr>
      <w:tr w14:paraId="21119C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2" w:type="pct"/>
            <w:vMerge w:val="continue"/>
            <w:vAlign w:val="center"/>
          </w:tcPr>
          <w:p w14:paraId="7E54210A">
            <w:pPr>
              <w:adjustRightInd w:val="0"/>
              <w:snapToGrid w:val="0"/>
              <w:ind w:left="-105" w:leftChars="-50" w:right="-105" w:rightChars="-50"/>
              <w:jc w:val="center"/>
              <w:rPr>
                <w:rFonts w:hint="eastAsia" w:ascii="宋体" w:hAnsi="宋体" w:eastAsia="宋体" w:cs="宋体"/>
                <w:sz w:val="24"/>
              </w:rPr>
            </w:pPr>
          </w:p>
        </w:tc>
        <w:tc>
          <w:tcPr>
            <w:tcW w:w="1554" w:type="dxa"/>
            <w:vAlign w:val="center"/>
          </w:tcPr>
          <w:p w14:paraId="6134AD54">
            <w:pPr>
              <w:adjustRightInd w:val="0"/>
              <w:snapToGrid w:val="0"/>
              <w:ind w:left="-105" w:leftChars="-50" w:right="-105" w:rightChars="-50"/>
              <w:jc w:val="center"/>
              <w:rPr>
                <w:rFonts w:hint="eastAsia" w:ascii="宋体" w:hAnsi="宋体" w:eastAsia="宋体" w:cs="宋体"/>
                <w:sz w:val="24"/>
                <w:highlight w:val="yellow"/>
              </w:rPr>
            </w:pPr>
            <w:r>
              <w:rPr>
                <w:rFonts w:hint="eastAsia" w:ascii="仿宋_GB2312" w:eastAsia="仿宋_GB2312"/>
                <w:sz w:val="24"/>
                <w:highlight w:val="yellow"/>
              </w:rPr>
              <w:t>07:45-0</w:t>
            </w:r>
            <w:r>
              <w:rPr>
                <w:rFonts w:ascii="仿宋_GB2312" w:eastAsia="仿宋_GB2312"/>
                <w:sz w:val="24"/>
                <w:highlight w:val="yellow"/>
              </w:rPr>
              <w:t>7</w:t>
            </w:r>
            <w:r>
              <w:rPr>
                <w:rFonts w:hint="eastAsia" w:ascii="仿宋_GB2312" w:eastAsia="仿宋_GB2312"/>
                <w:sz w:val="24"/>
                <w:highlight w:val="yellow"/>
              </w:rPr>
              <w:t>:</w:t>
            </w:r>
            <w:r>
              <w:rPr>
                <w:rFonts w:ascii="仿宋_GB2312" w:eastAsia="仿宋_GB2312"/>
                <w:sz w:val="24"/>
                <w:highlight w:val="yellow"/>
              </w:rPr>
              <w:t>5</w:t>
            </w:r>
            <w:r>
              <w:rPr>
                <w:rFonts w:hint="eastAsia" w:ascii="仿宋_GB2312" w:eastAsia="仿宋_GB2312"/>
                <w:sz w:val="24"/>
                <w:highlight w:val="yellow"/>
              </w:rPr>
              <w:t>5</w:t>
            </w:r>
          </w:p>
        </w:tc>
        <w:tc>
          <w:tcPr>
            <w:tcW w:w="1667" w:type="dxa"/>
            <w:vAlign w:val="center"/>
          </w:tcPr>
          <w:p w14:paraId="51AB82B3">
            <w:pPr>
              <w:adjustRightInd w:val="0"/>
              <w:snapToGrid w:val="0"/>
              <w:rPr>
                <w:rFonts w:hint="eastAsia" w:ascii="宋体" w:hAnsi="宋体" w:eastAsia="宋体" w:cs="宋体"/>
                <w:sz w:val="24"/>
              </w:rPr>
            </w:pPr>
            <w:r>
              <w:rPr>
                <w:rFonts w:hint="eastAsia" w:eastAsia="仿宋_GB2312"/>
                <w:sz w:val="24"/>
              </w:rPr>
              <w:t>竞赛</w:t>
            </w:r>
            <w:r>
              <w:rPr>
                <w:rFonts w:hint="eastAsia" w:ascii="仿宋_GB2312" w:eastAsia="仿宋_GB2312"/>
                <w:sz w:val="24"/>
              </w:rPr>
              <w:t>选手进行一次加密</w:t>
            </w:r>
          </w:p>
        </w:tc>
        <w:tc>
          <w:tcPr>
            <w:tcW w:w="3747" w:type="dxa"/>
            <w:vAlign w:val="center"/>
          </w:tcPr>
          <w:p w14:paraId="2AB320A3">
            <w:pPr>
              <w:adjustRightInd w:val="0"/>
              <w:snapToGrid w:val="0"/>
              <w:rPr>
                <w:rFonts w:hint="eastAsia" w:ascii="宋体" w:hAnsi="宋体" w:eastAsia="宋体" w:cs="宋体"/>
                <w:sz w:val="24"/>
              </w:rPr>
            </w:pPr>
            <w:r>
              <w:rPr>
                <w:rFonts w:hint="eastAsia" w:ascii="仿宋_GB2312" w:eastAsia="仿宋_GB2312"/>
                <w:sz w:val="24"/>
              </w:rPr>
              <w:t>参赛选手持参赛证、身份证和学生证接受工作人员检录并进行一次加密确定参赛编号</w:t>
            </w:r>
          </w:p>
        </w:tc>
      </w:tr>
      <w:tr w14:paraId="493915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2" w:type="pct"/>
            <w:vMerge w:val="continue"/>
            <w:vAlign w:val="center"/>
          </w:tcPr>
          <w:p w14:paraId="07AC3C8D">
            <w:pPr>
              <w:adjustRightInd w:val="0"/>
              <w:snapToGrid w:val="0"/>
              <w:ind w:left="-105" w:leftChars="-50" w:right="-105" w:rightChars="-50"/>
              <w:jc w:val="center"/>
              <w:rPr>
                <w:rFonts w:hint="eastAsia" w:ascii="宋体" w:hAnsi="宋体" w:eastAsia="宋体" w:cs="宋体"/>
                <w:sz w:val="24"/>
              </w:rPr>
            </w:pPr>
          </w:p>
        </w:tc>
        <w:tc>
          <w:tcPr>
            <w:tcW w:w="1554" w:type="dxa"/>
            <w:vAlign w:val="center"/>
          </w:tcPr>
          <w:p w14:paraId="3B532366">
            <w:pPr>
              <w:adjustRightInd w:val="0"/>
              <w:snapToGrid w:val="0"/>
              <w:ind w:left="-105" w:leftChars="-50" w:right="-105" w:rightChars="-50"/>
              <w:jc w:val="center"/>
              <w:rPr>
                <w:rFonts w:hint="eastAsia" w:ascii="宋体" w:hAnsi="宋体" w:eastAsia="宋体" w:cs="宋体"/>
                <w:sz w:val="24"/>
                <w:highlight w:val="yellow"/>
              </w:rPr>
            </w:pPr>
            <w:r>
              <w:rPr>
                <w:rFonts w:hint="eastAsia" w:ascii="仿宋_GB2312" w:eastAsia="仿宋_GB2312"/>
                <w:sz w:val="24"/>
                <w:highlight w:val="yellow"/>
              </w:rPr>
              <w:t>07:</w:t>
            </w:r>
            <w:r>
              <w:rPr>
                <w:rFonts w:ascii="仿宋_GB2312" w:eastAsia="仿宋_GB2312"/>
                <w:sz w:val="24"/>
                <w:highlight w:val="yellow"/>
              </w:rPr>
              <w:t>5</w:t>
            </w:r>
            <w:r>
              <w:rPr>
                <w:rFonts w:hint="eastAsia" w:ascii="仿宋_GB2312" w:eastAsia="仿宋_GB2312"/>
                <w:sz w:val="24"/>
                <w:highlight w:val="yellow"/>
              </w:rPr>
              <w:t>5-0</w:t>
            </w:r>
            <w:r>
              <w:rPr>
                <w:rFonts w:ascii="仿宋_GB2312" w:eastAsia="仿宋_GB2312"/>
                <w:sz w:val="24"/>
                <w:highlight w:val="yellow"/>
              </w:rPr>
              <w:t>8</w:t>
            </w:r>
            <w:r>
              <w:rPr>
                <w:rFonts w:hint="eastAsia" w:ascii="仿宋_GB2312" w:eastAsia="仿宋_GB2312"/>
                <w:sz w:val="24"/>
                <w:highlight w:val="yellow"/>
              </w:rPr>
              <w:t>:</w:t>
            </w:r>
            <w:r>
              <w:rPr>
                <w:rFonts w:ascii="仿宋_GB2312" w:eastAsia="仿宋_GB2312"/>
                <w:sz w:val="24"/>
                <w:highlight w:val="yellow"/>
              </w:rPr>
              <w:t>2</w:t>
            </w:r>
            <w:r>
              <w:rPr>
                <w:rFonts w:hint="eastAsia" w:ascii="仿宋_GB2312" w:eastAsia="仿宋_GB2312"/>
                <w:sz w:val="24"/>
                <w:highlight w:val="yellow"/>
              </w:rPr>
              <w:t>5</w:t>
            </w:r>
          </w:p>
        </w:tc>
        <w:tc>
          <w:tcPr>
            <w:tcW w:w="1667" w:type="dxa"/>
            <w:vAlign w:val="center"/>
          </w:tcPr>
          <w:p w14:paraId="4CCF5197">
            <w:pPr>
              <w:adjustRightInd w:val="0"/>
              <w:snapToGrid w:val="0"/>
              <w:rPr>
                <w:rFonts w:hint="eastAsia" w:ascii="宋体" w:hAnsi="宋体" w:eastAsia="宋体" w:cs="宋体"/>
                <w:sz w:val="24"/>
              </w:rPr>
            </w:pPr>
            <w:r>
              <w:rPr>
                <w:rFonts w:hint="eastAsia" w:eastAsia="仿宋_GB2312"/>
                <w:sz w:val="24"/>
              </w:rPr>
              <w:t>二次抽签加密</w:t>
            </w:r>
          </w:p>
        </w:tc>
        <w:tc>
          <w:tcPr>
            <w:tcW w:w="3747" w:type="dxa"/>
            <w:vAlign w:val="center"/>
          </w:tcPr>
          <w:p w14:paraId="06242538">
            <w:pPr>
              <w:adjustRightInd w:val="0"/>
              <w:snapToGrid w:val="0"/>
              <w:rPr>
                <w:rFonts w:hint="eastAsia" w:ascii="宋体" w:hAnsi="宋体" w:eastAsia="宋体" w:cs="宋体"/>
                <w:sz w:val="24"/>
              </w:rPr>
            </w:pPr>
            <w:r>
              <w:rPr>
                <w:rFonts w:hint="eastAsia" w:ascii="仿宋_GB2312" w:eastAsia="仿宋_GB2312"/>
                <w:sz w:val="24"/>
              </w:rPr>
              <w:t>参赛选手凭一次加密后的参赛编号进行二次抽签加密确定赛位号</w:t>
            </w:r>
          </w:p>
        </w:tc>
      </w:tr>
      <w:tr w14:paraId="4AA8D6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2" w:type="pct"/>
            <w:vMerge w:val="continue"/>
            <w:vAlign w:val="center"/>
          </w:tcPr>
          <w:p w14:paraId="71252529">
            <w:pPr>
              <w:adjustRightInd w:val="0"/>
              <w:snapToGrid w:val="0"/>
              <w:ind w:left="-105" w:leftChars="-50" w:right="-105" w:rightChars="-50"/>
              <w:jc w:val="center"/>
              <w:rPr>
                <w:rFonts w:hint="eastAsia" w:ascii="宋体" w:hAnsi="宋体" w:eastAsia="宋体" w:cs="宋体"/>
                <w:sz w:val="24"/>
              </w:rPr>
            </w:pPr>
          </w:p>
        </w:tc>
        <w:tc>
          <w:tcPr>
            <w:tcW w:w="1554" w:type="dxa"/>
            <w:vAlign w:val="center"/>
          </w:tcPr>
          <w:p w14:paraId="19497C9A">
            <w:pPr>
              <w:adjustRightInd w:val="0"/>
              <w:snapToGrid w:val="0"/>
              <w:ind w:left="-105" w:leftChars="-50" w:right="-105" w:rightChars="-50"/>
              <w:jc w:val="center"/>
              <w:rPr>
                <w:rFonts w:hint="eastAsia" w:ascii="宋体" w:hAnsi="宋体" w:eastAsia="宋体" w:cs="宋体"/>
                <w:sz w:val="24"/>
                <w:highlight w:val="yellow"/>
              </w:rPr>
            </w:pPr>
            <w:r>
              <w:rPr>
                <w:rFonts w:ascii="仿宋_GB2312" w:eastAsia="仿宋_GB2312"/>
                <w:sz w:val="24"/>
                <w:highlight w:val="yellow"/>
              </w:rPr>
              <w:t>0</w:t>
            </w:r>
            <w:r>
              <w:rPr>
                <w:rFonts w:hint="eastAsia" w:ascii="仿宋_GB2312" w:eastAsia="仿宋_GB2312"/>
                <w:sz w:val="24"/>
                <w:highlight w:val="yellow"/>
              </w:rPr>
              <w:t>8:</w:t>
            </w:r>
            <w:r>
              <w:rPr>
                <w:rFonts w:ascii="仿宋_GB2312" w:eastAsia="仿宋_GB2312"/>
                <w:sz w:val="24"/>
                <w:highlight w:val="yellow"/>
              </w:rPr>
              <w:t>2</w:t>
            </w:r>
            <w:r>
              <w:rPr>
                <w:rFonts w:hint="eastAsia" w:ascii="仿宋_GB2312" w:eastAsia="仿宋_GB2312"/>
                <w:sz w:val="24"/>
                <w:highlight w:val="yellow"/>
              </w:rPr>
              <w:t>5</w:t>
            </w:r>
            <w:r>
              <w:rPr>
                <w:rFonts w:ascii="仿宋_GB2312" w:eastAsia="仿宋_GB2312"/>
                <w:sz w:val="24"/>
                <w:highlight w:val="yellow"/>
              </w:rPr>
              <w:t>-0</w:t>
            </w:r>
            <w:r>
              <w:rPr>
                <w:rFonts w:hint="eastAsia" w:ascii="仿宋_GB2312" w:eastAsia="仿宋_GB2312"/>
                <w:sz w:val="24"/>
                <w:highlight w:val="yellow"/>
              </w:rPr>
              <w:t>8:</w:t>
            </w:r>
            <w:r>
              <w:rPr>
                <w:rFonts w:ascii="仿宋_GB2312" w:eastAsia="仿宋_GB2312"/>
                <w:sz w:val="24"/>
                <w:highlight w:val="yellow"/>
              </w:rPr>
              <w:t>5</w:t>
            </w:r>
            <w:r>
              <w:rPr>
                <w:rFonts w:hint="eastAsia" w:ascii="仿宋_GB2312" w:eastAsia="仿宋_GB2312"/>
                <w:sz w:val="24"/>
                <w:highlight w:val="yellow"/>
              </w:rPr>
              <w:t>0</w:t>
            </w:r>
          </w:p>
        </w:tc>
        <w:tc>
          <w:tcPr>
            <w:tcW w:w="1667" w:type="dxa"/>
            <w:vAlign w:val="center"/>
          </w:tcPr>
          <w:p w14:paraId="486764B7">
            <w:pPr>
              <w:adjustRightInd w:val="0"/>
              <w:snapToGrid w:val="0"/>
              <w:rPr>
                <w:rFonts w:hint="eastAsia" w:ascii="宋体" w:hAnsi="宋体" w:eastAsia="宋体" w:cs="宋体"/>
                <w:sz w:val="24"/>
              </w:rPr>
            </w:pPr>
            <w:r>
              <w:rPr>
                <w:rFonts w:hint="eastAsia" w:eastAsia="仿宋_GB2312"/>
                <w:sz w:val="24"/>
              </w:rPr>
              <w:t>竞赛入场检录</w:t>
            </w:r>
          </w:p>
        </w:tc>
        <w:tc>
          <w:tcPr>
            <w:tcW w:w="3747" w:type="dxa"/>
            <w:vAlign w:val="center"/>
          </w:tcPr>
          <w:p w14:paraId="5FBC8C61">
            <w:pPr>
              <w:adjustRightInd w:val="0"/>
              <w:snapToGrid w:val="0"/>
              <w:rPr>
                <w:rFonts w:hint="eastAsia" w:ascii="宋体" w:hAnsi="宋体" w:eastAsia="宋体" w:cs="宋体"/>
                <w:sz w:val="24"/>
              </w:rPr>
            </w:pPr>
            <w:r>
              <w:rPr>
                <w:rFonts w:hint="eastAsia" w:ascii="仿宋_GB2312" w:eastAsia="仿宋_GB2312"/>
                <w:sz w:val="24"/>
              </w:rPr>
              <w:t>参赛选手凭赛位号接受入场检录确认没有携带竞赛禁止的工具和材料</w:t>
            </w:r>
          </w:p>
        </w:tc>
      </w:tr>
      <w:tr w14:paraId="2FB85F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2" w:type="pct"/>
            <w:vMerge w:val="continue"/>
            <w:vAlign w:val="center"/>
          </w:tcPr>
          <w:p w14:paraId="1407D736">
            <w:pPr>
              <w:adjustRightInd w:val="0"/>
              <w:snapToGrid w:val="0"/>
              <w:ind w:left="-105" w:leftChars="-50" w:right="-105" w:rightChars="-50"/>
              <w:jc w:val="center"/>
              <w:rPr>
                <w:rFonts w:hint="eastAsia" w:ascii="宋体" w:hAnsi="宋体" w:eastAsia="宋体" w:cs="宋体"/>
                <w:sz w:val="24"/>
              </w:rPr>
            </w:pPr>
          </w:p>
        </w:tc>
        <w:tc>
          <w:tcPr>
            <w:tcW w:w="1554" w:type="dxa"/>
            <w:vAlign w:val="center"/>
          </w:tcPr>
          <w:p w14:paraId="2F01D0D3">
            <w:pPr>
              <w:adjustRightInd w:val="0"/>
              <w:snapToGrid w:val="0"/>
              <w:ind w:left="-105" w:leftChars="-50" w:right="-105" w:rightChars="-50"/>
              <w:jc w:val="center"/>
              <w:rPr>
                <w:rFonts w:hint="eastAsia" w:ascii="宋体" w:hAnsi="宋体" w:eastAsia="宋体" w:cs="宋体"/>
                <w:sz w:val="24"/>
                <w:highlight w:val="yellow"/>
              </w:rPr>
            </w:pPr>
            <w:r>
              <w:rPr>
                <w:rFonts w:hint="eastAsia" w:ascii="仿宋_GB2312" w:eastAsia="仿宋_GB2312"/>
                <w:sz w:val="24"/>
                <w:highlight w:val="yellow"/>
              </w:rPr>
              <w:t>08:5</w:t>
            </w:r>
            <w:r>
              <w:rPr>
                <w:rFonts w:ascii="仿宋_GB2312" w:eastAsia="仿宋_GB2312"/>
                <w:sz w:val="24"/>
                <w:highlight w:val="yellow"/>
              </w:rPr>
              <w:t>0</w:t>
            </w:r>
            <w:r>
              <w:rPr>
                <w:rFonts w:hint="eastAsia" w:ascii="仿宋_GB2312" w:eastAsia="仿宋_GB2312"/>
                <w:sz w:val="24"/>
                <w:highlight w:val="yellow"/>
              </w:rPr>
              <w:t>-09:00</w:t>
            </w:r>
          </w:p>
        </w:tc>
        <w:tc>
          <w:tcPr>
            <w:tcW w:w="1667" w:type="dxa"/>
            <w:vAlign w:val="center"/>
          </w:tcPr>
          <w:p w14:paraId="7D5F808D">
            <w:pPr>
              <w:adjustRightInd w:val="0"/>
              <w:snapToGrid w:val="0"/>
              <w:rPr>
                <w:rFonts w:hint="eastAsia" w:ascii="宋体" w:hAnsi="宋体" w:eastAsia="宋体" w:cs="宋体"/>
                <w:sz w:val="24"/>
              </w:rPr>
            </w:pPr>
            <w:r>
              <w:rPr>
                <w:rFonts w:hint="eastAsia" w:eastAsia="仿宋_GB2312"/>
                <w:sz w:val="24"/>
              </w:rPr>
              <w:t>竞赛选手</w:t>
            </w:r>
            <w:r>
              <w:rPr>
                <w:rFonts w:hint="eastAsia" w:ascii="仿宋_GB2312" w:eastAsia="仿宋_GB2312"/>
                <w:sz w:val="24"/>
              </w:rPr>
              <w:t>入场就位、发布竞赛任务</w:t>
            </w:r>
          </w:p>
        </w:tc>
        <w:tc>
          <w:tcPr>
            <w:tcW w:w="3747" w:type="dxa"/>
            <w:vAlign w:val="center"/>
          </w:tcPr>
          <w:p w14:paraId="76C07001">
            <w:pPr>
              <w:adjustRightInd w:val="0"/>
              <w:snapToGrid w:val="0"/>
              <w:rPr>
                <w:rFonts w:hint="eastAsia" w:ascii="宋体" w:hAnsi="宋体" w:eastAsia="宋体" w:cs="宋体"/>
                <w:kern w:val="0"/>
                <w:sz w:val="24"/>
              </w:rPr>
            </w:pPr>
            <w:r>
              <w:rPr>
                <w:rFonts w:hint="eastAsia" w:ascii="仿宋_GB2312" w:eastAsia="仿宋_GB2312"/>
                <w:sz w:val="24"/>
              </w:rPr>
              <w:t>参赛选手根据赛位号由工作人员引导进入竞赛工位、</w:t>
            </w:r>
            <w:r>
              <w:rPr>
                <w:rFonts w:hint="eastAsia" w:ascii="仿宋_GB2312" w:hAnsi="宋体" w:eastAsia="仿宋_GB2312" w:cs="宋体"/>
                <w:kern w:val="0"/>
                <w:sz w:val="24"/>
              </w:rPr>
              <w:t>裁判宣读竞赛规则及赛场规则，发布竞赛任务并作必要说明</w:t>
            </w:r>
          </w:p>
        </w:tc>
      </w:tr>
      <w:tr w14:paraId="57D674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2" w:type="pct"/>
            <w:vMerge w:val="continue"/>
            <w:vAlign w:val="center"/>
          </w:tcPr>
          <w:p w14:paraId="4D10EE71">
            <w:pPr>
              <w:adjustRightInd w:val="0"/>
              <w:snapToGrid w:val="0"/>
              <w:ind w:left="-105" w:leftChars="-50" w:right="-105" w:rightChars="-50"/>
              <w:jc w:val="center"/>
              <w:rPr>
                <w:rFonts w:hint="eastAsia" w:ascii="宋体" w:hAnsi="宋体" w:eastAsia="宋体" w:cs="宋体"/>
                <w:sz w:val="24"/>
              </w:rPr>
            </w:pPr>
          </w:p>
        </w:tc>
        <w:tc>
          <w:tcPr>
            <w:tcW w:w="1554" w:type="dxa"/>
            <w:vAlign w:val="center"/>
          </w:tcPr>
          <w:p w14:paraId="64A7A917">
            <w:pPr>
              <w:adjustRightInd w:val="0"/>
              <w:snapToGrid w:val="0"/>
              <w:ind w:left="-105" w:leftChars="-50" w:right="-105" w:rightChars="-50"/>
              <w:jc w:val="center"/>
              <w:rPr>
                <w:rFonts w:hint="eastAsia" w:ascii="宋体" w:hAnsi="宋体" w:eastAsia="宋体" w:cs="宋体"/>
                <w:sz w:val="24"/>
                <w:highlight w:val="yellow"/>
              </w:rPr>
            </w:pPr>
            <w:r>
              <w:rPr>
                <w:rFonts w:hint="eastAsia" w:ascii="仿宋_GB2312" w:eastAsia="仿宋_GB2312"/>
                <w:sz w:val="24"/>
                <w:highlight w:val="yellow"/>
              </w:rPr>
              <w:t>09:00</w:t>
            </w:r>
            <w:r>
              <w:rPr>
                <w:rFonts w:ascii="仿宋_GB2312" w:eastAsia="仿宋_GB2312"/>
                <w:sz w:val="24"/>
                <w:highlight w:val="yellow"/>
              </w:rPr>
              <w:t>-13</w:t>
            </w:r>
            <w:r>
              <w:rPr>
                <w:rFonts w:hint="eastAsia" w:ascii="仿宋_GB2312" w:eastAsia="仿宋_GB2312"/>
                <w:sz w:val="24"/>
                <w:highlight w:val="yellow"/>
              </w:rPr>
              <w:t>:</w:t>
            </w:r>
            <w:r>
              <w:rPr>
                <w:rFonts w:ascii="仿宋_GB2312" w:eastAsia="仿宋_GB2312"/>
                <w:sz w:val="24"/>
                <w:highlight w:val="yellow"/>
              </w:rPr>
              <w:t>0</w:t>
            </w:r>
            <w:r>
              <w:rPr>
                <w:rFonts w:hint="eastAsia" w:ascii="仿宋_GB2312" w:eastAsia="仿宋_GB2312"/>
                <w:sz w:val="24"/>
                <w:highlight w:val="yellow"/>
              </w:rPr>
              <w:t>0</w:t>
            </w:r>
          </w:p>
        </w:tc>
        <w:tc>
          <w:tcPr>
            <w:tcW w:w="1667" w:type="dxa"/>
            <w:vAlign w:val="center"/>
          </w:tcPr>
          <w:p w14:paraId="13603FE6">
            <w:pPr>
              <w:adjustRightInd w:val="0"/>
              <w:snapToGrid w:val="0"/>
              <w:rPr>
                <w:rFonts w:hint="eastAsia" w:ascii="宋体" w:hAnsi="宋体" w:eastAsia="宋体" w:cs="宋体"/>
                <w:sz w:val="24"/>
              </w:rPr>
            </w:pPr>
            <w:r>
              <w:rPr>
                <w:rFonts w:hint="eastAsia" w:ascii="仿宋_GB2312" w:eastAsia="仿宋_GB2312"/>
                <w:sz w:val="24"/>
              </w:rPr>
              <w:t>竞赛</w:t>
            </w:r>
          </w:p>
        </w:tc>
        <w:tc>
          <w:tcPr>
            <w:tcW w:w="3747" w:type="dxa"/>
            <w:vAlign w:val="center"/>
          </w:tcPr>
          <w:p w14:paraId="7D1C4BDC">
            <w:pPr>
              <w:adjustRightInd w:val="0"/>
              <w:snapToGrid w:val="0"/>
              <w:rPr>
                <w:rFonts w:hint="eastAsia" w:ascii="宋体" w:hAnsi="宋体" w:eastAsia="宋体" w:cs="宋体"/>
                <w:sz w:val="24"/>
              </w:rPr>
            </w:pPr>
            <w:r>
              <w:rPr>
                <w:rFonts w:hint="eastAsia" w:ascii="仿宋_GB2312" w:eastAsia="仿宋_GB2312"/>
                <w:sz w:val="24"/>
              </w:rPr>
              <w:t>-</w:t>
            </w:r>
            <w:r>
              <w:rPr>
                <w:rFonts w:ascii="仿宋_GB2312" w:eastAsia="仿宋_GB2312"/>
                <w:sz w:val="24"/>
              </w:rPr>
              <w:t>-</w:t>
            </w:r>
          </w:p>
        </w:tc>
      </w:tr>
      <w:tr w14:paraId="3D7486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2" w:type="pct"/>
            <w:vMerge w:val="continue"/>
            <w:vAlign w:val="center"/>
          </w:tcPr>
          <w:p w14:paraId="41C00E4E">
            <w:pPr>
              <w:adjustRightInd w:val="0"/>
              <w:snapToGrid w:val="0"/>
              <w:ind w:left="-105" w:leftChars="-50" w:right="-105" w:rightChars="-50"/>
              <w:jc w:val="center"/>
              <w:rPr>
                <w:rFonts w:hint="eastAsia" w:ascii="宋体" w:hAnsi="宋体" w:eastAsia="宋体" w:cs="宋体"/>
                <w:sz w:val="24"/>
              </w:rPr>
            </w:pPr>
          </w:p>
        </w:tc>
        <w:tc>
          <w:tcPr>
            <w:tcW w:w="1554" w:type="dxa"/>
            <w:vAlign w:val="center"/>
          </w:tcPr>
          <w:p w14:paraId="77B9FF61">
            <w:pPr>
              <w:adjustRightInd w:val="0"/>
              <w:snapToGrid w:val="0"/>
              <w:ind w:left="-105" w:leftChars="-50" w:right="-105" w:rightChars="-50"/>
              <w:jc w:val="center"/>
              <w:rPr>
                <w:rFonts w:hint="eastAsia" w:ascii="宋体" w:hAnsi="宋体" w:eastAsia="宋体" w:cs="宋体"/>
                <w:sz w:val="24"/>
                <w:highlight w:val="yellow"/>
              </w:rPr>
            </w:pPr>
            <w:r>
              <w:rPr>
                <w:rFonts w:hint="eastAsia" w:ascii="仿宋_GB2312" w:eastAsia="仿宋_GB2312"/>
                <w:sz w:val="24"/>
                <w:highlight w:val="yellow"/>
              </w:rPr>
              <w:t>1</w:t>
            </w:r>
            <w:r>
              <w:rPr>
                <w:rFonts w:ascii="仿宋_GB2312" w:eastAsia="仿宋_GB2312"/>
                <w:sz w:val="24"/>
                <w:highlight w:val="yellow"/>
              </w:rPr>
              <w:t>3</w:t>
            </w:r>
            <w:r>
              <w:rPr>
                <w:rFonts w:hint="eastAsia" w:ascii="仿宋_GB2312" w:eastAsia="仿宋_GB2312"/>
                <w:sz w:val="24"/>
                <w:highlight w:val="yellow"/>
              </w:rPr>
              <w:t>:</w:t>
            </w:r>
            <w:r>
              <w:rPr>
                <w:rFonts w:ascii="仿宋_GB2312" w:eastAsia="仿宋_GB2312"/>
                <w:sz w:val="24"/>
                <w:highlight w:val="yellow"/>
              </w:rPr>
              <w:t>0</w:t>
            </w:r>
            <w:r>
              <w:rPr>
                <w:rFonts w:hint="eastAsia" w:ascii="仿宋_GB2312" w:eastAsia="仿宋_GB2312"/>
                <w:sz w:val="24"/>
                <w:highlight w:val="yellow"/>
              </w:rPr>
              <w:t>0-</w:t>
            </w:r>
            <w:r>
              <w:rPr>
                <w:rFonts w:ascii="仿宋_GB2312" w:eastAsia="仿宋_GB2312"/>
                <w:sz w:val="24"/>
                <w:highlight w:val="yellow"/>
              </w:rPr>
              <w:t>14</w:t>
            </w:r>
            <w:r>
              <w:rPr>
                <w:rFonts w:hint="eastAsia" w:ascii="仿宋_GB2312" w:eastAsia="仿宋_GB2312"/>
                <w:sz w:val="24"/>
                <w:highlight w:val="yellow"/>
              </w:rPr>
              <w:t>:</w:t>
            </w:r>
            <w:r>
              <w:rPr>
                <w:rFonts w:ascii="仿宋_GB2312" w:eastAsia="仿宋_GB2312"/>
                <w:sz w:val="24"/>
                <w:highlight w:val="yellow"/>
              </w:rPr>
              <w:t>0</w:t>
            </w:r>
            <w:r>
              <w:rPr>
                <w:rFonts w:hint="eastAsia" w:ascii="仿宋_GB2312" w:eastAsia="仿宋_GB2312"/>
                <w:sz w:val="24"/>
                <w:highlight w:val="yellow"/>
              </w:rPr>
              <w:t>0</w:t>
            </w:r>
          </w:p>
        </w:tc>
        <w:tc>
          <w:tcPr>
            <w:tcW w:w="1667" w:type="dxa"/>
            <w:vAlign w:val="center"/>
          </w:tcPr>
          <w:p w14:paraId="7193B552">
            <w:pPr>
              <w:adjustRightInd w:val="0"/>
              <w:snapToGrid w:val="0"/>
              <w:rPr>
                <w:rFonts w:hint="eastAsia" w:ascii="宋体" w:hAnsi="宋体" w:eastAsia="宋体" w:cs="宋体"/>
                <w:sz w:val="24"/>
              </w:rPr>
            </w:pPr>
            <w:r>
              <w:rPr>
                <w:rFonts w:hint="eastAsia" w:ascii="仿宋_GB2312" w:eastAsia="仿宋_GB2312"/>
                <w:sz w:val="24"/>
              </w:rPr>
              <w:t>赛项申诉与仲裁</w:t>
            </w:r>
          </w:p>
        </w:tc>
        <w:tc>
          <w:tcPr>
            <w:tcW w:w="3747" w:type="dxa"/>
            <w:vAlign w:val="center"/>
          </w:tcPr>
          <w:p w14:paraId="0DC257D0">
            <w:pPr>
              <w:adjustRightInd w:val="0"/>
              <w:snapToGrid w:val="0"/>
              <w:rPr>
                <w:rFonts w:hint="eastAsia" w:ascii="宋体" w:hAnsi="宋体" w:eastAsia="宋体" w:cs="宋体"/>
                <w:sz w:val="24"/>
              </w:rPr>
            </w:pPr>
            <w:r>
              <w:rPr>
                <w:rFonts w:hint="eastAsia" w:ascii="仿宋_GB2312" w:eastAsia="仿宋_GB2312"/>
                <w:sz w:val="24"/>
              </w:rPr>
              <w:t>--</w:t>
            </w:r>
          </w:p>
        </w:tc>
      </w:tr>
      <w:tr w14:paraId="20F90E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2" w:type="pct"/>
            <w:vMerge w:val="continue"/>
            <w:vAlign w:val="center"/>
          </w:tcPr>
          <w:p w14:paraId="3D185322">
            <w:pPr>
              <w:adjustRightInd w:val="0"/>
              <w:snapToGrid w:val="0"/>
              <w:ind w:left="-105" w:leftChars="-50" w:right="-105" w:rightChars="-50"/>
              <w:jc w:val="center"/>
              <w:rPr>
                <w:rFonts w:hint="eastAsia" w:ascii="宋体" w:hAnsi="宋体" w:eastAsia="宋体" w:cs="宋体"/>
                <w:sz w:val="24"/>
              </w:rPr>
            </w:pPr>
          </w:p>
        </w:tc>
        <w:tc>
          <w:tcPr>
            <w:tcW w:w="1554" w:type="dxa"/>
            <w:vAlign w:val="center"/>
          </w:tcPr>
          <w:p w14:paraId="0AB7C1D1">
            <w:pPr>
              <w:adjustRightInd w:val="0"/>
              <w:snapToGrid w:val="0"/>
              <w:ind w:left="-105" w:leftChars="-50" w:right="-105" w:rightChars="-50"/>
              <w:jc w:val="center"/>
              <w:rPr>
                <w:rFonts w:hint="eastAsia" w:ascii="宋体" w:hAnsi="宋体" w:eastAsia="宋体" w:cs="宋体"/>
                <w:sz w:val="24"/>
                <w:highlight w:val="yellow"/>
              </w:rPr>
            </w:pPr>
            <w:r>
              <w:rPr>
                <w:rFonts w:hint="eastAsia" w:ascii="仿宋_GB2312" w:eastAsia="仿宋_GB2312"/>
                <w:sz w:val="24"/>
                <w:highlight w:val="yellow"/>
              </w:rPr>
              <w:t>1</w:t>
            </w:r>
            <w:r>
              <w:rPr>
                <w:rFonts w:ascii="仿宋_GB2312" w:eastAsia="仿宋_GB2312"/>
                <w:sz w:val="24"/>
                <w:highlight w:val="yellow"/>
              </w:rPr>
              <w:t>4</w:t>
            </w:r>
            <w:r>
              <w:rPr>
                <w:rFonts w:hint="eastAsia" w:ascii="仿宋_GB2312" w:eastAsia="仿宋_GB2312"/>
                <w:sz w:val="24"/>
                <w:highlight w:val="yellow"/>
              </w:rPr>
              <w:t>:</w:t>
            </w:r>
            <w:r>
              <w:rPr>
                <w:rFonts w:ascii="仿宋_GB2312" w:eastAsia="仿宋_GB2312"/>
                <w:sz w:val="24"/>
                <w:highlight w:val="yellow"/>
              </w:rPr>
              <w:t>0</w:t>
            </w:r>
            <w:r>
              <w:rPr>
                <w:rFonts w:hint="eastAsia" w:ascii="仿宋_GB2312" w:eastAsia="仿宋_GB2312"/>
                <w:sz w:val="24"/>
                <w:highlight w:val="yellow"/>
              </w:rPr>
              <w:t>0-</w:t>
            </w:r>
            <w:r>
              <w:rPr>
                <w:rFonts w:ascii="仿宋_GB2312" w:eastAsia="仿宋_GB2312"/>
                <w:sz w:val="24"/>
                <w:highlight w:val="yellow"/>
              </w:rPr>
              <w:t>17</w:t>
            </w:r>
            <w:r>
              <w:rPr>
                <w:rFonts w:hint="eastAsia" w:ascii="仿宋_GB2312" w:eastAsia="仿宋_GB2312"/>
                <w:sz w:val="24"/>
                <w:highlight w:val="yellow"/>
              </w:rPr>
              <w:t>:</w:t>
            </w:r>
            <w:r>
              <w:rPr>
                <w:rFonts w:ascii="仿宋_GB2312" w:eastAsia="仿宋_GB2312"/>
                <w:sz w:val="24"/>
                <w:highlight w:val="yellow"/>
              </w:rPr>
              <w:t>00</w:t>
            </w:r>
          </w:p>
        </w:tc>
        <w:tc>
          <w:tcPr>
            <w:tcW w:w="1667" w:type="dxa"/>
            <w:vAlign w:val="center"/>
          </w:tcPr>
          <w:p w14:paraId="6D514AAF">
            <w:pPr>
              <w:adjustRightInd w:val="0"/>
              <w:snapToGrid w:val="0"/>
              <w:rPr>
                <w:rFonts w:hint="eastAsia" w:ascii="宋体" w:hAnsi="宋体" w:eastAsia="宋体" w:cs="宋体"/>
                <w:sz w:val="24"/>
              </w:rPr>
            </w:pPr>
            <w:r>
              <w:rPr>
                <w:rFonts w:hint="eastAsia" w:ascii="仿宋_GB2312" w:eastAsia="仿宋_GB2312"/>
                <w:sz w:val="24"/>
              </w:rPr>
              <w:t>评分</w:t>
            </w:r>
          </w:p>
        </w:tc>
        <w:tc>
          <w:tcPr>
            <w:tcW w:w="3747" w:type="dxa"/>
            <w:vAlign w:val="center"/>
          </w:tcPr>
          <w:p w14:paraId="17579FA1">
            <w:pPr>
              <w:adjustRightInd w:val="0"/>
              <w:snapToGrid w:val="0"/>
              <w:rPr>
                <w:rFonts w:hint="eastAsia" w:ascii="宋体" w:hAnsi="宋体" w:eastAsia="宋体" w:cs="宋体"/>
                <w:sz w:val="24"/>
              </w:rPr>
            </w:pPr>
            <w:r>
              <w:rPr>
                <w:rFonts w:hint="eastAsia" w:ascii="仿宋_GB2312" w:eastAsia="仿宋_GB2312"/>
                <w:sz w:val="24"/>
              </w:rPr>
              <w:t>裁判组对竞赛的各参赛队评分</w:t>
            </w:r>
          </w:p>
        </w:tc>
      </w:tr>
      <w:tr w14:paraId="185464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2" w:type="pct"/>
            <w:vMerge w:val="continue"/>
            <w:vAlign w:val="center"/>
          </w:tcPr>
          <w:p w14:paraId="19AB3FC6">
            <w:pPr>
              <w:adjustRightInd w:val="0"/>
              <w:snapToGrid w:val="0"/>
              <w:ind w:left="-105" w:leftChars="-50" w:right="-105" w:rightChars="-50"/>
              <w:jc w:val="center"/>
              <w:rPr>
                <w:rFonts w:hint="eastAsia" w:ascii="宋体" w:hAnsi="宋体" w:eastAsia="宋体" w:cs="宋体"/>
                <w:sz w:val="24"/>
              </w:rPr>
            </w:pPr>
          </w:p>
        </w:tc>
        <w:tc>
          <w:tcPr>
            <w:tcW w:w="1554" w:type="dxa"/>
            <w:vAlign w:val="center"/>
          </w:tcPr>
          <w:p w14:paraId="77F03560">
            <w:pPr>
              <w:adjustRightInd w:val="0"/>
              <w:snapToGrid w:val="0"/>
              <w:ind w:left="-105" w:leftChars="-50" w:right="-105" w:rightChars="-50"/>
              <w:jc w:val="center"/>
              <w:rPr>
                <w:rFonts w:hint="eastAsia" w:ascii="宋体" w:hAnsi="宋体" w:eastAsia="宋体" w:cs="宋体"/>
                <w:sz w:val="24"/>
                <w:highlight w:val="yellow"/>
              </w:rPr>
            </w:pPr>
            <w:r>
              <w:rPr>
                <w:rFonts w:ascii="仿宋_GB2312" w:eastAsia="仿宋_GB2312"/>
                <w:sz w:val="24"/>
                <w:highlight w:val="yellow"/>
              </w:rPr>
              <w:t>17:00-18</w:t>
            </w:r>
            <w:r>
              <w:rPr>
                <w:rFonts w:hint="eastAsia" w:ascii="仿宋_GB2312" w:eastAsia="仿宋_GB2312"/>
                <w:sz w:val="24"/>
                <w:highlight w:val="yellow"/>
              </w:rPr>
              <w:t>:</w:t>
            </w:r>
            <w:r>
              <w:rPr>
                <w:rFonts w:ascii="仿宋_GB2312" w:eastAsia="仿宋_GB2312"/>
                <w:sz w:val="24"/>
                <w:highlight w:val="yellow"/>
              </w:rPr>
              <w:t>00</w:t>
            </w:r>
          </w:p>
        </w:tc>
        <w:tc>
          <w:tcPr>
            <w:tcW w:w="1667" w:type="dxa"/>
            <w:vAlign w:val="center"/>
          </w:tcPr>
          <w:p w14:paraId="3A301E87">
            <w:pPr>
              <w:adjustRightInd w:val="0"/>
              <w:snapToGrid w:val="0"/>
              <w:rPr>
                <w:rFonts w:hint="eastAsia" w:ascii="宋体" w:hAnsi="宋体" w:eastAsia="宋体" w:cs="宋体"/>
                <w:sz w:val="24"/>
              </w:rPr>
            </w:pPr>
            <w:r>
              <w:rPr>
                <w:rFonts w:hint="eastAsia" w:ascii="仿宋_GB2312" w:eastAsia="仿宋_GB2312"/>
                <w:sz w:val="24"/>
              </w:rPr>
              <w:t>解密</w:t>
            </w:r>
          </w:p>
        </w:tc>
        <w:tc>
          <w:tcPr>
            <w:tcW w:w="3747" w:type="dxa"/>
            <w:vAlign w:val="center"/>
          </w:tcPr>
          <w:p w14:paraId="7027E0EC">
            <w:pPr>
              <w:adjustRightInd w:val="0"/>
              <w:snapToGrid w:val="0"/>
              <w:rPr>
                <w:rFonts w:hint="eastAsia" w:ascii="宋体" w:hAnsi="宋体" w:eastAsia="宋体" w:cs="宋体"/>
                <w:sz w:val="24"/>
              </w:rPr>
            </w:pPr>
            <w:r>
              <w:rPr>
                <w:rFonts w:hint="eastAsia" w:ascii="仿宋_GB2312" w:eastAsia="仿宋_GB2312"/>
                <w:sz w:val="24"/>
              </w:rPr>
              <w:t>对加密信息进行解密</w:t>
            </w:r>
          </w:p>
        </w:tc>
      </w:tr>
      <w:tr w14:paraId="17230D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2" w:type="pct"/>
            <w:vMerge w:val="continue"/>
            <w:vAlign w:val="center"/>
          </w:tcPr>
          <w:p w14:paraId="716DFA28">
            <w:pPr>
              <w:adjustRightInd w:val="0"/>
              <w:snapToGrid w:val="0"/>
              <w:ind w:left="-105" w:leftChars="-50" w:right="-105" w:rightChars="-50"/>
              <w:jc w:val="center"/>
              <w:rPr>
                <w:rFonts w:hint="eastAsia" w:ascii="宋体" w:hAnsi="宋体" w:eastAsia="宋体" w:cs="宋体"/>
                <w:sz w:val="24"/>
              </w:rPr>
            </w:pPr>
          </w:p>
        </w:tc>
        <w:tc>
          <w:tcPr>
            <w:tcW w:w="1554" w:type="dxa"/>
            <w:vAlign w:val="center"/>
          </w:tcPr>
          <w:p w14:paraId="3C689B79">
            <w:pPr>
              <w:adjustRightInd w:val="0"/>
              <w:snapToGrid w:val="0"/>
              <w:ind w:left="-105" w:leftChars="-50" w:right="-105" w:rightChars="-50"/>
              <w:jc w:val="center"/>
              <w:rPr>
                <w:rFonts w:hint="eastAsia" w:ascii="宋体" w:hAnsi="宋体" w:eastAsia="宋体" w:cs="宋体"/>
                <w:sz w:val="24"/>
                <w:highlight w:val="yellow"/>
              </w:rPr>
            </w:pPr>
            <w:r>
              <w:rPr>
                <w:rFonts w:ascii="仿宋_GB2312" w:eastAsia="仿宋_GB2312"/>
                <w:sz w:val="24"/>
                <w:highlight w:val="yellow"/>
              </w:rPr>
              <w:t>18:00-20:00</w:t>
            </w:r>
          </w:p>
        </w:tc>
        <w:tc>
          <w:tcPr>
            <w:tcW w:w="1667" w:type="dxa"/>
            <w:vAlign w:val="center"/>
          </w:tcPr>
          <w:p w14:paraId="6187F4DE">
            <w:pPr>
              <w:adjustRightInd w:val="0"/>
              <w:snapToGrid w:val="0"/>
              <w:rPr>
                <w:rFonts w:hint="eastAsia" w:ascii="宋体" w:hAnsi="宋体" w:eastAsia="宋体" w:cs="宋体"/>
                <w:sz w:val="24"/>
              </w:rPr>
            </w:pPr>
            <w:r>
              <w:rPr>
                <w:rFonts w:hint="eastAsia" w:eastAsia="仿宋_GB2312"/>
                <w:sz w:val="24"/>
              </w:rPr>
              <w:t>成绩确认</w:t>
            </w:r>
          </w:p>
        </w:tc>
        <w:tc>
          <w:tcPr>
            <w:tcW w:w="3747" w:type="dxa"/>
            <w:vAlign w:val="center"/>
          </w:tcPr>
          <w:p w14:paraId="661E4DF1">
            <w:pPr>
              <w:adjustRightInd w:val="0"/>
              <w:snapToGrid w:val="0"/>
              <w:rPr>
                <w:rFonts w:hint="eastAsia" w:ascii="宋体" w:hAnsi="宋体" w:eastAsia="宋体" w:cs="宋体"/>
                <w:sz w:val="24"/>
              </w:rPr>
            </w:pPr>
            <w:r>
              <w:rPr>
                <w:rFonts w:hint="eastAsia" w:eastAsia="仿宋_GB2312"/>
                <w:sz w:val="24"/>
              </w:rPr>
              <w:t>对成绩确认并封存。</w:t>
            </w:r>
          </w:p>
        </w:tc>
      </w:tr>
      <w:tr w14:paraId="095B81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2" w:type="pct"/>
            <w:vMerge w:val="continue"/>
            <w:vAlign w:val="center"/>
          </w:tcPr>
          <w:p w14:paraId="1F15FA8E">
            <w:pPr>
              <w:adjustRightInd w:val="0"/>
              <w:snapToGrid w:val="0"/>
              <w:ind w:left="-105" w:leftChars="-50" w:right="-105" w:rightChars="-50"/>
              <w:jc w:val="center"/>
              <w:rPr>
                <w:rFonts w:hint="eastAsia" w:ascii="宋体" w:hAnsi="宋体" w:eastAsia="宋体" w:cs="宋体"/>
                <w:sz w:val="24"/>
              </w:rPr>
            </w:pPr>
          </w:p>
        </w:tc>
        <w:tc>
          <w:tcPr>
            <w:tcW w:w="1554" w:type="dxa"/>
            <w:vAlign w:val="center"/>
          </w:tcPr>
          <w:p w14:paraId="4787683A">
            <w:pPr>
              <w:adjustRightInd w:val="0"/>
              <w:snapToGrid w:val="0"/>
              <w:ind w:left="-105" w:leftChars="-50" w:right="-105" w:rightChars="-50"/>
              <w:jc w:val="center"/>
              <w:rPr>
                <w:rFonts w:hint="eastAsia" w:ascii="宋体" w:hAnsi="宋体" w:eastAsia="宋体" w:cs="宋体"/>
                <w:sz w:val="24"/>
                <w:highlight w:val="yellow"/>
              </w:rPr>
            </w:pPr>
            <w:r>
              <w:rPr>
                <w:rFonts w:ascii="仿宋_GB2312" w:eastAsia="仿宋_GB2312"/>
                <w:sz w:val="24"/>
                <w:highlight w:val="yellow"/>
              </w:rPr>
              <w:t>20:00-21:00</w:t>
            </w:r>
          </w:p>
        </w:tc>
        <w:tc>
          <w:tcPr>
            <w:tcW w:w="1667" w:type="dxa"/>
            <w:vAlign w:val="center"/>
          </w:tcPr>
          <w:p w14:paraId="442FAE59">
            <w:pPr>
              <w:adjustRightInd w:val="0"/>
              <w:snapToGrid w:val="0"/>
              <w:rPr>
                <w:rFonts w:hint="eastAsia" w:ascii="宋体" w:hAnsi="宋体" w:eastAsia="宋体" w:cs="宋体"/>
                <w:sz w:val="24"/>
              </w:rPr>
            </w:pPr>
            <w:r>
              <w:rPr>
                <w:rFonts w:hint="eastAsia" w:eastAsia="仿宋_GB2312"/>
                <w:sz w:val="24"/>
              </w:rPr>
              <w:t>汇总成绩</w:t>
            </w:r>
          </w:p>
        </w:tc>
        <w:tc>
          <w:tcPr>
            <w:tcW w:w="3747" w:type="dxa"/>
            <w:vAlign w:val="center"/>
          </w:tcPr>
          <w:p w14:paraId="64E8270D">
            <w:pPr>
              <w:adjustRightInd w:val="0"/>
              <w:snapToGrid w:val="0"/>
              <w:rPr>
                <w:rFonts w:hint="eastAsia" w:ascii="宋体" w:hAnsi="宋体" w:eastAsia="宋体" w:cs="宋体"/>
                <w:sz w:val="24"/>
              </w:rPr>
            </w:pPr>
            <w:r>
              <w:rPr>
                <w:rFonts w:hint="eastAsia" w:eastAsia="仿宋_GB2312"/>
                <w:sz w:val="24"/>
              </w:rPr>
              <w:t>对比赛成绩进行汇总</w:t>
            </w:r>
          </w:p>
        </w:tc>
      </w:tr>
      <w:tr w14:paraId="150DBB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12" w:type="pct"/>
            <w:vMerge w:val="continue"/>
            <w:vAlign w:val="center"/>
          </w:tcPr>
          <w:p w14:paraId="6D2C8E26">
            <w:pPr>
              <w:adjustRightInd w:val="0"/>
              <w:snapToGrid w:val="0"/>
              <w:ind w:left="-105" w:leftChars="-50" w:right="-105" w:rightChars="-50"/>
              <w:jc w:val="center"/>
              <w:rPr>
                <w:rFonts w:hint="eastAsia" w:ascii="宋体" w:hAnsi="宋体" w:eastAsia="宋体" w:cs="宋体"/>
                <w:sz w:val="24"/>
              </w:rPr>
            </w:pPr>
          </w:p>
        </w:tc>
        <w:tc>
          <w:tcPr>
            <w:tcW w:w="1554" w:type="dxa"/>
            <w:vAlign w:val="center"/>
          </w:tcPr>
          <w:p w14:paraId="54755319">
            <w:pPr>
              <w:adjustRightInd w:val="0"/>
              <w:snapToGrid w:val="0"/>
              <w:ind w:left="-105" w:leftChars="-50" w:right="-105" w:rightChars="-50"/>
              <w:jc w:val="center"/>
              <w:rPr>
                <w:rFonts w:hint="eastAsia" w:ascii="宋体" w:hAnsi="宋体" w:eastAsia="宋体" w:cs="宋体"/>
                <w:sz w:val="24"/>
                <w:highlight w:val="yellow"/>
              </w:rPr>
            </w:pPr>
            <w:r>
              <w:rPr>
                <w:rFonts w:ascii="仿宋_GB2312" w:eastAsia="仿宋_GB2312"/>
                <w:sz w:val="24"/>
                <w:highlight w:val="yellow"/>
              </w:rPr>
              <w:t>21:00-00:00</w:t>
            </w:r>
          </w:p>
        </w:tc>
        <w:tc>
          <w:tcPr>
            <w:tcW w:w="1667" w:type="dxa"/>
            <w:vAlign w:val="center"/>
          </w:tcPr>
          <w:p w14:paraId="6780ACF2">
            <w:pPr>
              <w:adjustRightInd w:val="0"/>
              <w:snapToGrid w:val="0"/>
              <w:rPr>
                <w:rFonts w:hint="eastAsia" w:ascii="宋体" w:hAnsi="宋体" w:eastAsia="宋体" w:cs="宋体"/>
                <w:sz w:val="24"/>
              </w:rPr>
            </w:pPr>
            <w:r>
              <w:rPr>
                <w:rFonts w:hint="eastAsia" w:eastAsia="仿宋_GB2312"/>
                <w:sz w:val="24"/>
              </w:rPr>
              <w:t>成绩公布</w:t>
            </w:r>
          </w:p>
        </w:tc>
        <w:tc>
          <w:tcPr>
            <w:tcW w:w="3747" w:type="dxa"/>
            <w:vAlign w:val="center"/>
          </w:tcPr>
          <w:p w14:paraId="06059784">
            <w:pPr>
              <w:adjustRightInd w:val="0"/>
              <w:snapToGrid w:val="0"/>
              <w:rPr>
                <w:rFonts w:hint="eastAsia" w:ascii="宋体" w:hAnsi="宋体" w:eastAsia="宋体" w:cs="宋体"/>
                <w:sz w:val="24"/>
              </w:rPr>
            </w:pPr>
            <w:r>
              <w:rPr>
                <w:rFonts w:hint="eastAsia" w:eastAsia="仿宋_GB2312"/>
                <w:sz w:val="24"/>
                <w:shd w:val="clear" w:color="auto" w:fill="FFFFFF"/>
              </w:rPr>
              <w:t>在指定地点，以纸质形式向全体参赛队公布成绩</w:t>
            </w:r>
          </w:p>
        </w:tc>
      </w:tr>
    </w:tbl>
    <w:p w14:paraId="0E15BADE">
      <w:pPr>
        <w:rPr>
          <w:rFonts w:hint="eastAsia" w:ascii="仿宋" w:hAnsi="仿宋" w:eastAsia="仿宋" w:cs="仿宋"/>
        </w:rPr>
      </w:pPr>
      <w:r>
        <w:rPr>
          <w:rFonts w:hint="eastAsia" w:ascii="仿宋" w:hAnsi="仿宋" w:eastAsia="仿宋" w:cs="仿宋"/>
          <w:sz w:val="28"/>
          <w:szCs w:val="30"/>
        </w:rPr>
        <w:t>注：根据工位数和参赛选手人数增/减竞赛场次。</w:t>
      </w:r>
    </w:p>
    <w:p w14:paraId="5157338A">
      <w:pPr>
        <w:spacing w:line="360" w:lineRule="auto"/>
        <w:ind w:right="210" w:rightChars="100" w:firstLine="420"/>
        <w:jc w:val="left"/>
        <w:outlineLvl w:val="1"/>
        <w:rPr>
          <w:rFonts w:hint="eastAsia" w:eastAsia="楷体"/>
          <w:b/>
          <w:sz w:val="32"/>
          <w:szCs w:val="40"/>
        </w:rPr>
      </w:pPr>
      <w:r>
        <w:rPr>
          <w:rFonts w:hint="eastAsia" w:eastAsia="楷体"/>
          <w:b/>
          <w:sz w:val="32"/>
          <w:szCs w:val="40"/>
        </w:rPr>
        <w:t>（三）竞赛过程</w:t>
      </w:r>
    </w:p>
    <w:p w14:paraId="54813181">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1.参赛选手入场和就位</w:t>
      </w:r>
    </w:p>
    <w:p w14:paraId="13ED5EEF">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参赛选手使用报到时领取的抽签号，进行一级加密顺序号及二级加密赛位号的抽取，入场时赛位号进行检录查询赛场的位置，并按照工位位置就位等候比赛开始。</w:t>
      </w:r>
    </w:p>
    <w:p w14:paraId="4B737484">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2.竞赛过程</w:t>
      </w:r>
    </w:p>
    <w:p w14:paraId="0CBD66AB">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在裁判长宣布比赛开始后，各参赛选手通过赛位号找到比赛工位，正式进行竞赛，按照每个工位提供的任务书上的项目要求，完成每个项目任务要求，并按照任务要求提交和保存竞赛结果；</w:t>
      </w:r>
    </w:p>
    <w:p w14:paraId="060F3344">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3.竞赛结束</w:t>
      </w:r>
    </w:p>
    <w:p w14:paraId="69B1ECEF">
      <w:pPr>
        <w:ind w:firstLine="560" w:firstLineChars="200"/>
      </w:pPr>
      <w:r>
        <w:rPr>
          <w:rFonts w:hint="eastAsia" w:ascii="仿宋" w:hAnsi="仿宋" w:eastAsia="仿宋" w:cs="仿宋"/>
          <w:sz w:val="28"/>
          <w:szCs w:val="30"/>
        </w:rPr>
        <w:t>在竞赛规定时间到达后，裁判长会宣布竞赛结束，每个竞赛工位设备锁定，参赛选手停止所有操作，并按照裁判组要求有次序的离开竞赛场地。</w:t>
      </w:r>
    </w:p>
    <w:p w14:paraId="18594861">
      <w:pPr>
        <w:pStyle w:val="2"/>
        <w:rPr>
          <w:rFonts w:hint="eastAsia" w:ascii="黑体" w:hAnsi="黑体" w:eastAsia="黑体" w:cs="黑体"/>
          <w:bCs w:val="0"/>
          <w:kern w:val="2"/>
          <w:sz w:val="30"/>
          <w:szCs w:val="30"/>
        </w:rPr>
      </w:pPr>
      <w:r>
        <w:rPr>
          <w:rFonts w:hint="eastAsia" w:ascii="黑体" w:hAnsi="黑体" w:eastAsia="黑体" w:cs="黑体"/>
          <w:bCs w:val="0"/>
          <w:kern w:val="2"/>
          <w:sz w:val="30"/>
          <w:szCs w:val="30"/>
        </w:rPr>
        <w:t>六、竞赛试题</w:t>
      </w:r>
    </w:p>
    <w:p w14:paraId="38DE3F76">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本赛项的命题工作由赛项执委会指定的命题专家组负责，按照竞赛规程的内容要求，在方向和难度上依据教育部颁发的职业院校相关专业人才培养标准和国家职业标准，结合高职物联网人才培养要求和物联网企业岗位需要进行设计，命题专家在完成命题后，交由赛项执委会指定的专家进行审核。</w:t>
      </w:r>
    </w:p>
    <w:p w14:paraId="017AFE0D">
      <w:pPr>
        <w:pStyle w:val="2"/>
        <w:rPr>
          <w:rFonts w:hint="eastAsia" w:ascii="黑体" w:hAnsi="黑体" w:eastAsia="黑体" w:cs="黑体"/>
          <w:bCs w:val="0"/>
          <w:kern w:val="2"/>
          <w:sz w:val="30"/>
          <w:szCs w:val="30"/>
        </w:rPr>
      </w:pPr>
      <w:r>
        <w:rPr>
          <w:rFonts w:hint="eastAsia" w:ascii="黑体" w:hAnsi="黑体" w:eastAsia="黑体" w:cs="黑体"/>
          <w:bCs w:val="0"/>
          <w:kern w:val="2"/>
          <w:sz w:val="30"/>
          <w:szCs w:val="30"/>
        </w:rPr>
        <w:t>七、竞赛规则</w:t>
      </w:r>
    </w:p>
    <w:p w14:paraId="02F3ABBC">
      <w:pPr>
        <w:spacing w:line="360" w:lineRule="auto"/>
        <w:ind w:right="210" w:rightChars="100" w:firstLine="420"/>
        <w:jc w:val="left"/>
        <w:outlineLvl w:val="1"/>
        <w:rPr>
          <w:rFonts w:hint="eastAsia" w:eastAsia="楷体"/>
          <w:b/>
          <w:sz w:val="32"/>
          <w:szCs w:val="40"/>
        </w:rPr>
      </w:pPr>
      <w:bookmarkStart w:id="2" w:name="_Hlk509269238"/>
      <w:r>
        <w:rPr>
          <w:rFonts w:hint="eastAsia" w:eastAsia="楷体"/>
          <w:b/>
          <w:sz w:val="32"/>
          <w:szCs w:val="40"/>
        </w:rPr>
        <w:t>（一）参赛资格</w:t>
      </w:r>
    </w:p>
    <w:p w14:paraId="5B98798B">
      <w:pPr>
        <w:spacing w:line="560" w:lineRule="exact"/>
        <w:ind w:firstLine="600"/>
        <w:rPr>
          <w:rFonts w:hint="eastAsia" w:ascii="仿宋" w:hAnsi="仿宋" w:eastAsia="仿宋" w:cs="仿宋"/>
          <w:sz w:val="28"/>
          <w:szCs w:val="28"/>
          <w:highlight w:val="yellow"/>
        </w:rPr>
      </w:pPr>
      <w:r>
        <w:rPr>
          <w:rFonts w:hint="eastAsia" w:ascii="仿宋" w:hAnsi="仿宋" w:eastAsia="仿宋" w:cs="仿宋"/>
          <w:sz w:val="28"/>
          <w:szCs w:val="28"/>
        </w:rPr>
        <w:t>参赛选手须为高等职业学校专科、高等职业学校本科全日制在籍学生。五年制高职学生报名参赛的，四、五年级学生参加高职组比赛。</w:t>
      </w:r>
      <w:r>
        <w:rPr>
          <w:rFonts w:hint="eastAsia" w:ascii="仿宋" w:hAnsi="仿宋" w:eastAsia="仿宋" w:cs="仿宋"/>
          <w:sz w:val="28"/>
        </w:rPr>
        <w:t>性别不限。</w:t>
      </w:r>
    </w:p>
    <w:p w14:paraId="0AD09D20">
      <w:pPr>
        <w:spacing w:line="560" w:lineRule="exact"/>
        <w:ind w:firstLine="600"/>
        <w:rPr>
          <w:rFonts w:hint="eastAsia" w:ascii="仿宋" w:hAnsi="仿宋" w:eastAsia="仿宋" w:cs="仿宋"/>
          <w:sz w:val="28"/>
          <w:szCs w:val="28"/>
          <w:highlight w:val="none"/>
        </w:rPr>
      </w:pPr>
      <w:r>
        <w:rPr>
          <w:rFonts w:hint="eastAsia" w:ascii="仿宋" w:hAnsi="仿宋" w:eastAsia="仿宋" w:cs="仿宋"/>
          <w:sz w:val="28"/>
          <w:szCs w:val="28"/>
          <w:highlight w:val="none"/>
        </w:rPr>
        <w:t>凡在往届</w:t>
      </w:r>
      <w:r>
        <w:rPr>
          <w:rFonts w:hint="eastAsia" w:ascii="仿宋" w:hAnsi="仿宋" w:eastAsia="仿宋" w:cs="仿宋"/>
          <w:sz w:val="28"/>
          <w:szCs w:val="28"/>
          <w:highlight w:val="yellow"/>
        </w:rPr>
        <w:t>全国职业院校技能大赛</w:t>
      </w:r>
      <w:r>
        <w:rPr>
          <w:rFonts w:hint="eastAsia" w:ascii="仿宋" w:hAnsi="仿宋" w:eastAsia="仿宋" w:cs="仿宋"/>
          <w:sz w:val="28"/>
          <w:szCs w:val="28"/>
          <w:highlight w:val="none"/>
        </w:rPr>
        <w:t>中获一等奖的选手，不能再参加同一项目同一组别的比赛。参赛选手的资格审查工作按照</w:t>
      </w:r>
      <w:r>
        <w:rPr>
          <w:rFonts w:hint="eastAsia" w:ascii="仿宋" w:hAnsi="仿宋" w:eastAsia="仿宋" w:cs="仿宋"/>
          <w:sz w:val="28"/>
          <w:szCs w:val="28"/>
          <w:highlight w:val="yellow"/>
          <w:lang w:val="en-US" w:eastAsia="zh-CN"/>
        </w:rPr>
        <w:t>河北省</w:t>
      </w:r>
      <w:r>
        <w:rPr>
          <w:rFonts w:hint="eastAsia" w:ascii="仿宋" w:hAnsi="仿宋" w:eastAsia="仿宋" w:cs="仿宋"/>
          <w:sz w:val="28"/>
          <w:szCs w:val="28"/>
          <w:highlight w:val="yellow"/>
        </w:rPr>
        <w:t>职业院校技能大赛制度</w:t>
      </w:r>
      <w:r>
        <w:rPr>
          <w:rFonts w:hint="eastAsia" w:ascii="仿宋" w:hAnsi="仿宋" w:eastAsia="仿宋" w:cs="仿宋"/>
          <w:sz w:val="28"/>
          <w:szCs w:val="28"/>
          <w:highlight w:val="yellow"/>
          <w:lang w:val="en-US" w:eastAsia="zh-CN"/>
        </w:rPr>
        <w:t>相关</w:t>
      </w:r>
      <w:r>
        <w:rPr>
          <w:rFonts w:hint="eastAsia" w:ascii="仿宋" w:hAnsi="仿宋" w:eastAsia="仿宋" w:cs="仿宋"/>
          <w:sz w:val="28"/>
          <w:szCs w:val="28"/>
          <w:highlight w:val="yellow"/>
        </w:rPr>
        <w:t>要求执行</w:t>
      </w:r>
      <w:r>
        <w:rPr>
          <w:rFonts w:hint="eastAsia" w:ascii="仿宋" w:hAnsi="仿宋" w:eastAsia="仿宋" w:cs="仿宋"/>
          <w:sz w:val="28"/>
          <w:szCs w:val="28"/>
          <w:highlight w:val="none"/>
        </w:rPr>
        <w:t>。</w:t>
      </w:r>
    </w:p>
    <w:p w14:paraId="7EB2D05E">
      <w:pPr>
        <w:spacing w:line="360" w:lineRule="auto"/>
        <w:ind w:right="210" w:rightChars="100" w:firstLine="420"/>
        <w:jc w:val="left"/>
        <w:outlineLvl w:val="1"/>
        <w:rPr>
          <w:rFonts w:hint="eastAsia" w:eastAsia="楷体"/>
          <w:b/>
          <w:sz w:val="32"/>
          <w:szCs w:val="40"/>
        </w:rPr>
      </w:pPr>
      <w:r>
        <w:rPr>
          <w:rFonts w:hint="eastAsia" w:eastAsia="楷体"/>
          <w:b/>
          <w:sz w:val="32"/>
          <w:szCs w:val="40"/>
        </w:rPr>
        <w:t>（二）报名要求</w:t>
      </w:r>
    </w:p>
    <w:p w14:paraId="762E01B6">
      <w:pPr>
        <w:spacing w:line="560" w:lineRule="exact"/>
        <w:ind w:firstLine="600"/>
        <w:rPr>
          <w:rFonts w:hint="eastAsia" w:ascii="仿宋" w:hAnsi="仿宋" w:eastAsia="仿宋" w:cs="仿宋"/>
          <w:sz w:val="28"/>
          <w:szCs w:val="28"/>
        </w:rPr>
      </w:pPr>
      <w:r>
        <w:rPr>
          <w:rFonts w:hint="eastAsia" w:ascii="仿宋" w:hAnsi="仿宋" w:eastAsia="仿宋" w:cs="仿宋"/>
          <w:sz w:val="28"/>
          <w:szCs w:val="28"/>
        </w:rPr>
        <w:t>本赛项为团体赛，以院校为单位组织组队参赛，不允许跨校组队。</w:t>
      </w:r>
      <w:r>
        <w:rPr>
          <w:rFonts w:hint="eastAsia" w:ascii="仿宋" w:hAnsi="仿宋" w:eastAsia="仿宋" w:cs="仿宋"/>
          <w:sz w:val="28"/>
        </w:rPr>
        <w:t>参赛选手在报名获得确认后，原则上不再更换。如在筹备过程中，选手因故不能参赛，参赛学校主管部门需出具书面说明并按相关参赛选手资格补充人员并接受审核；竞赛开始后，参赛队不得更换参赛选手，允许队员缺席比赛。</w:t>
      </w:r>
    </w:p>
    <w:bookmarkEnd w:id="2"/>
    <w:p w14:paraId="6B55717A">
      <w:pPr>
        <w:spacing w:line="360" w:lineRule="auto"/>
        <w:ind w:right="210" w:rightChars="100" w:firstLine="420"/>
        <w:jc w:val="left"/>
        <w:outlineLvl w:val="1"/>
        <w:rPr>
          <w:rFonts w:hint="eastAsia" w:eastAsia="楷体"/>
          <w:b/>
          <w:sz w:val="32"/>
          <w:szCs w:val="40"/>
        </w:rPr>
      </w:pPr>
      <w:r>
        <w:rPr>
          <w:rFonts w:hint="eastAsia" w:eastAsia="楷体"/>
          <w:b/>
          <w:sz w:val="32"/>
          <w:szCs w:val="40"/>
        </w:rPr>
        <w:t>（三）赛前准备</w:t>
      </w:r>
    </w:p>
    <w:p w14:paraId="313E2BA2">
      <w:pPr>
        <w:spacing w:line="560" w:lineRule="exact"/>
        <w:ind w:firstLine="600"/>
        <w:rPr>
          <w:rFonts w:hint="eastAsia" w:ascii="仿宋" w:hAnsi="仿宋" w:eastAsia="仿宋" w:cs="仿宋"/>
          <w:sz w:val="28"/>
          <w:szCs w:val="28"/>
        </w:rPr>
      </w:pPr>
      <w:r>
        <w:rPr>
          <w:rFonts w:hint="eastAsia" w:ascii="仿宋" w:hAnsi="仿宋" w:eastAsia="仿宋" w:cs="仿宋"/>
          <w:sz w:val="28"/>
          <w:szCs w:val="28"/>
        </w:rPr>
        <w:t>1.参赛选手应在竞赛日程规定的时间熟悉竞赛场地，选手可进入竞赛场地及工位熟悉。</w:t>
      </w:r>
    </w:p>
    <w:p w14:paraId="32A067E3">
      <w:pPr>
        <w:spacing w:line="560" w:lineRule="exact"/>
        <w:ind w:firstLine="600"/>
        <w:rPr>
          <w:rFonts w:hint="eastAsia" w:ascii="仿宋" w:hAnsi="仿宋" w:eastAsia="仿宋" w:cs="仿宋"/>
          <w:sz w:val="28"/>
          <w:szCs w:val="28"/>
        </w:rPr>
      </w:pPr>
      <w:r>
        <w:rPr>
          <w:rFonts w:hint="eastAsia" w:ascii="仿宋" w:hAnsi="仿宋" w:eastAsia="仿宋" w:cs="仿宋"/>
          <w:sz w:val="28"/>
          <w:szCs w:val="28"/>
        </w:rPr>
        <w:t>2.参赛队熟悉竞赛场地后，认为所提供的设备、工具等不符合竞赛规定或有异议时，参赛队领队必须在1小时内提出书面报告，送交赛项执委会进行处理，超过时效将不予受理。</w:t>
      </w:r>
    </w:p>
    <w:p w14:paraId="48145228">
      <w:pPr>
        <w:spacing w:line="360" w:lineRule="auto"/>
        <w:ind w:right="210" w:rightChars="100" w:firstLine="420"/>
        <w:jc w:val="left"/>
        <w:outlineLvl w:val="1"/>
        <w:rPr>
          <w:rFonts w:hint="eastAsia" w:eastAsia="楷体"/>
          <w:b/>
          <w:sz w:val="32"/>
          <w:szCs w:val="40"/>
        </w:rPr>
      </w:pPr>
      <w:r>
        <w:rPr>
          <w:rFonts w:hint="eastAsia" w:eastAsia="楷体"/>
          <w:b/>
          <w:sz w:val="32"/>
          <w:szCs w:val="40"/>
        </w:rPr>
        <w:t>（三）正式比赛</w:t>
      </w:r>
    </w:p>
    <w:p w14:paraId="06F5456E">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参赛选手须提前20分钟入场，入场必须佩戴参赛证并出示身份证和学生证。不得私自携带任何软硬件工具（各种便携式电脑、各种移动存储设备等）、技术资源、通信工具。按工位号入座，检查比赛所需竞赛设备齐全后，由参赛选手签字确认方可开始比赛。选手在比赛中应注意随时存盘。迟到超过10分钟不得入场。竞赛期间不准出场，竞赛结束后方可离场。</w:t>
      </w:r>
    </w:p>
    <w:p w14:paraId="244B1D9D">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竞赛过程中，每个参赛队内部成员之间可以互相沟通，但不得向任何其它人员讨论问题，也不得向裁判、巡视和其他必须进入考场的工作人员询问与竞赛项目的操作流程和操作方法有关的问题，如有竞赛题目文字不清、软硬件环境故障的问题时，可向裁判员询问，成员间的沟通谈话不得影响到其他竞赛队伍。</w:t>
      </w:r>
    </w:p>
    <w:p w14:paraId="53B657CD">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竞赛过程中除裁判和其他必须进入考场的工作人员外，任何其它非竞赛选手不得进入竞赛场地。</w:t>
      </w:r>
    </w:p>
    <w:p w14:paraId="1E8B641F">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竞赛结束（或提前完成）后，参赛队要确认成功提交竞赛要求的文件，裁判员与参赛队队长一起签字确认，参赛队在确认后不得再进行任何操作。</w:t>
      </w:r>
    </w:p>
    <w:p w14:paraId="492E0F39">
      <w:pPr>
        <w:spacing w:line="360" w:lineRule="auto"/>
        <w:ind w:right="210" w:rightChars="100" w:firstLine="420"/>
        <w:jc w:val="left"/>
        <w:outlineLvl w:val="1"/>
        <w:rPr>
          <w:rFonts w:hint="eastAsia" w:eastAsia="楷体"/>
          <w:b/>
          <w:sz w:val="32"/>
          <w:szCs w:val="40"/>
        </w:rPr>
      </w:pPr>
      <w:r>
        <w:rPr>
          <w:rFonts w:hint="eastAsia" w:eastAsia="楷体"/>
          <w:b/>
          <w:sz w:val="32"/>
          <w:szCs w:val="40"/>
        </w:rPr>
        <w:t>（四）成绩公布</w:t>
      </w:r>
    </w:p>
    <w:p w14:paraId="08825DF6">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赛项成绩解密后汇总后，经裁判长签字，在赛项执委会指定的地点，以纸质形式向全体参赛队进行公布。</w:t>
      </w:r>
    </w:p>
    <w:p w14:paraId="36C69AE2">
      <w:pPr>
        <w:spacing w:line="360" w:lineRule="auto"/>
        <w:ind w:right="210" w:rightChars="100" w:firstLine="420"/>
        <w:jc w:val="left"/>
        <w:outlineLvl w:val="1"/>
        <w:rPr>
          <w:rFonts w:hint="eastAsia" w:eastAsia="楷体"/>
          <w:b/>
          <w:sz w:val="32"/>
          <w:szCs w:val="40"/>
        </w:rPr>
      </w:pPr>
      <w:r>
        <w:rPr>
          <w:rFonts w:hint="eastAsia" w:eastAsia="楷体"/>
          <w:b/>
          <w:sz w:val="32"/>
          <w:szCs w:val="40"/>
        </w:rPr>
        <w:t>（五）其他</w:t>
      </w:r>
    </w:p>
    <w:p w14:paraId="142CFADD">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1.参赛选手应严格遵守赛场纪律，服从指挥，着装整洁，仪表端庄，讲文明礼貌。各地代表队之间应团结、友好、协作，避免各种矛盾发生。</w:t>
      </w:r>
    </w:p>
    <w:p w14:paraId="05E5C8EB">
      <w:pPr>
        <w:ind w:firstLine="560" w:firstLineChars="200"/>
        <w:rPr>
          <w:rFonts w:hint="eastAsia" w:ascii="仿宋" w:hAnsi="仿宋" w:eastAsia="仿宋" w:cs="仿宋"/>
        </w:rPr>
      </w:pPr>
      <w:r>
        <w:rPr>
          <w:rFonts w:hint="eastAsia" w:ascii="仿宋" w:hAnsi="仿宋" w:eastAsia="仿宋" w:cs="仿宋"/>
          <w:sz w:val="28"/>
          <w:szCs w:val="30"/>
        </w:rPr>
        <w:t>2.其它未尽事宜，将在竞赛指南或赛前说明会向各领队做详细说明。</w:t>
      </w:r>
    </w:p>
    <w:p w14:paraId="6BE01B4E">
      <w:pPr>
        <w:pStyle w:val="2"/>
        <w:rPr>
          <w:rFonts w:hint="eastAsia" w:ascii="黑体" w:hAnsi="黑体" w:eastAsia="黑体" w:cs="黑体"/>
          <w:bCs w:val="0"/>
          <w:kern w:val="2"/>
          <w:sz w:val="30"/>
          <w:szCs w:val="30"/>
        </w:rPr>
      </w:pPr>
      <w:r>
        <w:rPr>
          <w:rFonts w:hint="eastAsia" w:ascii="黑体" w:hAnsi="黑体" w:eastAsia="黑体" w:cs="黑体"/>
          <w:bCs w:val="0"/>
          <w:kern w:val="2"/>
          <w:sz w:val="30"/>
          <w:szCs w:val="30"/>
        </w:rPr>
        <w:t>八、竞赛环境</w:t>
      </w:r>
    </w:p>
    <w:p w14:paraId="2FCF5DDF">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1.竞赛场地。竞赛现场设置竞赛区、裁判区、服务区、技术支持区。现场保证良好的采光、照明和通风；提供稳定的水、电和供电应急设备。同时提供所有指导教师休息室1间。</w:t>
      </w:r>
    </w:p>
    <w:p w14:paraId="023266F0">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2.竞赛设备。所有竞赛设备由大赛合作企业与承办校负责提供和保障，按照参赛队数量准备比赛所需的软硬件平台，为参赛队提供标准竞赛设备。</w:t>
      </w:r>
    </w:p>
    <w:p w14:paraId="6D36524F">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3.竞赛工位。竞赛现场各个工作区配备单相220V/3A以上交流电源。每个比赛工位上标明编号。每个比赛间配有工作台，用于摆放计算机和其它调试设备工具等。配备2把工作椅（凳）。</w:t>
      </w:r>
    </w:p>
    <w:p w14:paraId="287BEFE9">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4.技术支持区为参赛选手提供公用备件等竞赛相关设备。</w:t>
      </w:r>
    </w:p>
    <w:p w14:paraId="58F3319A">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5.服务区提供医疗等服务保障。</w:t>
      </w:r>
    </w:p>
    <w:p w14:paraId="609A54AB">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6.赛场开放。竞赛环境依据竞赛需求设计，在竞赛不被干扰的前提下赛场面向媒体、行业专家等开放。允许媒体、行业专家等在规定的时段内沿指定路线进行现场参观。</w:t>
      </w:r>
    </w:p>
    <w:p w14:paraId="78D53DDB">
      <w:pPr>
        <w:pStyle w:val="2"/>
        <w:rPr>
          <w:rFonts w:hint="eastAsia" w:ascii="黑体" w:hAnsi="黑体" w:eastAsia="黑体" w:cs="黑体"/>
          <w:bCs w:val="0"/>
          <w:kern w:val="2"/>
          <w:sz w:val="30"/>
          <w:szCs w:val="30"/>
        </w:rPr>
      </w:pPr>
      <w:r>
        <w:rPr>
          <w:rFonts w:hint="eastAsia" w:ascii="黑体" w:hAnsi="黑体" w:eastAsia="黑体" w:cs="黑体"/>
          <w:bCs w:val="0"/>
          <w:kern w:val="2"/>
          <w:sz w:val="30"/>
          <w:szCs w:val="30"/>
        </w:rPr>
        <w:t>九、技术规范</w:t>
      </w:r>
    </w:p>
    <w:p w14:paraId="3988AA9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竞赛项目的命题结合企业职业岗位对人才培养需求，并参照以下相关标准制定：</w:t>
      </w:r>
    </w:p>
    <w:p w14:paraId="07D3964A">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ISO/IEC 29182-5-2013 信息技术-传感器网络：传感器网络参考体系结构</w:t>
      </w:r>
    </w:p>
    <w:p w14:paraId="20E5639D">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《物联网安装调试员国家职业技能标准》 </w:t>
      </w:r>
    </w:p>
    <w:p w14:paraId="2AA2F55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GB/T 33474-2016 物联网参考体系结构 </w:t>
      </w:r>
    </w:p>
    <w:p w14:paraId="43B9A57A">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GB 50311-2016 综合布线系统工程设计规范 </w:t>
      </w:r>
    </w:p>
    <w:p w14:paraId="7565BE2B">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GB21671-2008 基于以太网技术的局域网系统验收测评规范</w:t>
      </w:r>
    </w:p>
    <w:p w14:paraId="1F3BC51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GB/T 34068-2017 物联网总体技术智能传感器接口规范 </w:t>
      </w:r>
    </w:p>
    <w:p w14:paraId="6E70C95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33745-2017 物联网 术语</w:t>
      </w:r>
    </w:p>
    <w:p w14:paraId="14E9E83F">
      <w:pPr>
        <w:pStyle w:val="2"/>
        <w:rPr>
          <w:rFonts w:hint="eastAsia" w:ascii="黑体" w:hAnsi="黑体" w:eastAsia="黑体" w:cs="黑体"/>
          <w:bCs w:val="0"/>
          <w:kern w:val="2"/>
          <w:sz w:val="30"/>
          <w:szCs w:val="30"/>
        </w:rPr>
      </w:pPr>
      <w:r>
        <w:rPr>
          <w:rFonts w:hint="eastAsia" w:ascii="黑体" w:hAnsi="黑体" w:eastAsia="黑体" w:cs="黑体"/>
          <w:bCs w:val="0"/>
          <w:kern w:val="2"/>
          <w:sz w:val="30"/>
          <w:szCs w:val="30"/>
        </w:rPr>
        <w:t>十、技术平台</w:t>
      </w:r>
    </w:p>
    <w:p w14:paraId="65FE933F">
      <w:pPr>
        <w:spacing w:line="360" w:lineRule="auto"/>
        <w:ind w:right="210" w:rightChars="100" w:firstLine="420"/>
        <w:jc w:val="left"/>
        <w:outlineLvl w:val="1"/>
        <w:rPr>
          <w:rFonts w:hint="eastAsia" w:eastAsia="楷体"/>
          <w:b/>
          <w:sz w:val="32"/>
          <w:szCs w:val="40"/>
        </w:rPr>
      </w:pPr>
      <w:r>
        <w:rPr>
          <w:rFonts w:hint="eastAsia" w:eastAsia="楷体"/>
          <w:b/>
          <w:sz w:val="32"/>
          <w:szCs w:val="40"/>
        </w:rPr>
        <w:t>（一）通用计算机环境</w:t>
      </w:r>
    </w:p>
    <w:p w14:paraId="680892BC">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个人计算机（PC机），配置不低于以下参数：</w:t>
      </w:r>
    </w:p>
    <w:p w14:paraId="3F3E743E">
      <w:pPr>
        <w:numPr>
          <w:ilvl w:val="0"/>
          <w:numId w:val="1"/>
        </w:numPr>
        <w:spacing w:line="560" w:lineRule="exact"/>
        <w:rPr>
          <w:rFonts w:hint="eastAsia" w:ascii="仿宋" w:hAnsi="仿宋" w:eastAsia="仿宋" w:cs="仿宋"/>
          <w:color w:val="000000"/>
          <w:sz w:val="28"/>
          <w:szCs w:val="28"/>
        </w:rPr>
      </w:pPr>
      <w:r>
        <w:rPr>
          <w:rFonts w:hint="eastAsia" w:ascii="仿宋" w:hAnsi="仿宋" w:eastAsia="仿宋" w:cs="仿宋"/>
          <w:color w:val="000000"/>
          <w:sz w:val="28"/>
          <w:szCs w:val="28"/>
        </w:rPr>
        <w:t>CPU：Intel i5；</w:t>
      </w:r>
    </w:p>
    <w:p w14:paraId="4E49A631">
      <w:pPr>
        <w:numPr>
          <w:ilvl w:val="0"/>
          <w:numId w:val="1"/>
        </w:numPr>
        <w:spacing w:line="560" w:lineRule="exact"/>
        <w:rPr>
          <w:rFonts w:hint="eastAsia" w:ascii="仿宋" w:hAnsi="仿宋" w:eastAsia="仿宋" w:cs="仿宋"/>
          <w:color w:val="000000"/>
          <w:sz w:val="28"/>
          <w:szCs w:val="28"/>
        </w:rPr>
      </w:pPr>
      <w:r>
        <w:rPr>
          <w:rFonts w:hint="eastAsia" w:ascii="仿宋" w:hAnsi="仿宋" w:eastAsia="仿宋" w:cs="仿宋"/>
          <w:color w:val="000000"/>
          <w:sz w:val="28"/>
          <w:szCs w:val="28"/>
        </w:rPr>
        <w:t>内存容量：8G；</w:t>
      </w:r>
    </w:p>
    <w:p w14:paraId="1461BA23">
      <w:pPr>
        <w:numPr>
          <w:ilvl w:val="0"/>
          <w:numId w:val="1"/>
        </w:numPr>
        <w:spacing w:line="560" w:lineRule="exact"/>
        <w:rPr>
          <w:rFonts w:hint="eastAsia" w:ascii="仿宋" w:hAnsi="仿宋" w:eastAsia="仿宋" w:cs="仿宋"/>
          <w:color w:val="000000"/>
          <w:sz w:val="28"/>
          <w:szCs w:val="28"/>
        </w:rPr>
      </w:pPr>
      <w:r>
        <w:rPr>
          <w:rFonts w:hint="eastAsia" w:ascii="仿宋" w:hAnsi="仿宋" w:eastAsia="仿宋" w:cs="仿宋"/>
          <w:color w:val="000000"/>
          <w:sz w:val="28"/>
          <w:szCs w:val="28"/>
        </w:rPr>
        <w:t>硬盘：256G固态盘；</w:t>
      </w:r>
    </w:p>
    <w:p w14:paraId="30875DB0">
      <w:pPr>
        <w:numPr>
          <w:ilvl w:val="0"/>
          <w:numId w:val="1"/>
        </w:numPr>
        <w:spacing w:line="560" w:lineRule="exact"/>
        <w:rPr>
          <w:rFonts w:hint="eastAsia" w:ascii="仿宋" w:hAnsi="仿宋" w:eastAsia="仿宋" w:cs="仿宋"/>
          <w:color w:val="000000"/>
          <w:sz w:val="28"/>
          <w:szCs w:val="28"/>
        </w:rPr>
      </w:pPr>
      <w:r>
        <w:rPr>
          <w:rFonts w:hint="eastAsia" w:ascii="仿宋" w:hAnsi="仿宋" w:eastAsia="仿宋" w:cs="仿宋"/>
          <w:color w:val="000000"/>
          <w:sz w:val="28"/>
          <w:szCs w:val="28"/>
        </w:rPr>
        <w:t>接口：1个串口，4个USB端口。</w:t>
      </w:r>
    </w:p>
    <w:p w14:paraId="60C4405F">
      <w:pPr>
        <w:spacing w:line="560" w:lineRule="exact"/>
        <w:ind w:firstLine="560" w:firstLineChars="200"/>
        <w:rPr>
          <w:rFonts w:hint="eastAsia" w:ascii="仿宋" w:hAnsi="仿宋" w:eastAsia="仿宋" w:cs="仿宋"/>
          <w:sz w:val="28"/>
          <w:szCs w:val="28"/>
        </w:rPr>
      </w:pPr>
      <w:r>
        <w:rPr>
          <w:rFonts w:hint="eastAsia" w:ascii="仿宋" w:hAnsi="仿宋" w:eastAsia="仿宋" w:cs="仿宋"/>
          <w:color w:val="000000"/>
          <w:sz w:val="28"/>
          <w:szCs w:val="28"/>
        </w:rPr>
        <w:t>计算机配备不低于以下版本的软件：</w:t>
      </w:r>
      <w:r>
        <w:rPr>
          <w:rFonts w:hint="eastAsia" w:ascii="仿宋" w:hAnsi="仿宋" w:eastAsia="仿宋" w:cs="仿宋"/>
        </w:rPr>
        <w:t xml:space="preserve"> </w:t>
      </w:r>
    </w:p>
    <w:tbl>
      <w:tblPr>
        <w:tblStyle w:val="10"/>
        <w:tblW w:w="0" w:type="auto"/>
        <w:jc w:val="center"/>
        <w:tblLayout w:type="fixed"/>
        <w:tblCellMar>
          <w:top w:w="0" w:type="dxa"/>
          <w:left w:w="108" w:type="dxa"/>
          <w:bottom w:w="0" w:type="dxa"/>
          <w:right w:w="108" w:type="dxa"/>
        </w:tblCellMar>
      </w:tblPr>
      <w:tblGrid>
        <w:gridCol w:w="782"/>
        <w:gridCol w:w="735"/>
        <w:gridCol w:w="5566"/>
        <w:gridCol w:w="721"/>
      </w:tblGrid>
      <w:tr w14:paraId="5E378EDC">
        <w:tblPrEx>
          <w:tblCellMar>
            <w:top w:w="0" w:type="dxa"/>
            <w:left w:w="108" w:type="dxa"/>
            <w:bottom w:w="0" w:type="dxa"/>
            <w:right w:w="108" w:type="dxa"/>
          </w:tblCellMar>
        </w:tblPrEx>
        <w:trPr>
          <w:trHeight w:val="342"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14:paraId="79A868E6">
            <w:pPr>
              <w:adjustRightInd w:val="0"/>
              <w:snapToGrid w:val="0"/>
              <w:spacing w:line="240" w:lineRule="atLeast"/>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735" w:type="dxa"/>
            <w:tcBorders>
              <w:top w:val="single" w:color="auto" w:sz="4" w:space="0"/>
              <w:left w:val="nil"/>
              <w:bottom w:val="single" w:color="auto" w:sz="4" w:space="0"/>
              <w:right w:val="single" w:color="auto" w:sz="4" w:space="0"/>
            </w:tcBorders>
            <w:vAlign w:val="center"/>
          </w:tcPr>
          <w:p w14:paraId="7E82D387">
            <w:pPr>
              <w:adjustRightInd w:val="0"/>
              <w:snapToGrid w:val="0"/>
              <w:spacing w:line="240" w:lineRule="atLeast"/>
              <w:jc w:val="center"/>
              <w:rPr>
                <w:rFonts w:hint="eastAsia" w:ascii="宋体" w:hAnsi="宋体" w:eastAsia="宋体" w:cs="宋体"/>
                <w:b/>
                <w:bCs/>
                <w:sz w:val="24"/>
                <w:szCs w:val="24"/>
              </w:rPr>
            </w:pPr>
            <w:r>
              <w:rPr>
                <w:rFonts w:hint="eastAsia" w:ascii="宋体" w:hAnsi="宋体" w:eastAsia="宋体" w:cs="宋体"/>
                <w:b/>
                <w:bCs/>
                <w:sz w:val="24"/>
                <w:szCs w:val="24"/>
              </w:rPr>
              <w:t>类别</w:t>
            </w:r>
          </w:p>
        </w:tc>
        <w:tc>
          <w:tcPr>
            <w:tcW w:w="5566" w:type="dxa"/>
            <w:tcBorders>
              <w:top w:val="single" w:color="auto" w:sz="4" w:space="0"/>
              <w:left w:val="nil"/>
              <w:bottom w:val="single" w:color="auto" w:sz="4" w:space="0"/>
              <w:right w:val="single" w:color="auto" w:sz="4" w:space="0"/>
            </w:tcBorders>
            <w:vAlign w:val="center"/>
          </w:tcPr>
          <w:p w14:paraId="6CABCCF1">
            <w:pPr>
              <w:adjustRightInd w:val="0"/>
              <w:snapToGrid w:val="0"/>
              <w:spacing w:line="240" w:lineRule="atLeast"/>
              <w:jc w:val="center"/>
              <w:rPr>
                <w:rFonts w:hint="eastAsia" w:ascii="宋体" w:hAnsi="宋体" w:eastAsia="宋体" w:cs="宋体"/>
                <w:b/>
                <w:bCs/>
                <w:sz w:val="24"/>
                <w:szCs w:val="24"/>
              </w:rPr>
            </w:pPr>
            <w:r>
              <w:rPr>
                <w:rFonts w:hint="eastAsia" w:ascii="宋体" w:hAnsi="宋体" w:eastAsia="宋体" w:cs="宋体"/>
                <w:b/>
                <w:bCs/>
                <w:sz w:val="24"/>
                <w:szCs w:val="24"/>
              </w:rPr>
              <w:t>设备</w:t>
            </w:r>
          </w:p>
        </w:tc>
        <w:tc>
          <w:tcPr>
            <w:tcW w:w="721" w:type="dxa"/>
            <w:tcBorders>
              <w:top w:val="single" w:color="auto" w:sz="4" w:space="0"/>
              <w:left w:val="nil"/>
              <w:bottom w:val="single" w:color="auto" w:sz="4" w:space="0"/>
              <w:right w:val="single" w:color="auto" w:sz="4" w:space="0"/>
            </w:tcBorders>
            <w:vAlign w:val="center"/>
          </w:tcPr>
          <w:p w14:paraId="584EF714">
            <w:pPr>
              <w:adjustRightInd w:val="0"/>
              <w:snapToGrid w:val="0"/>
              <w:spacing w:line="240" w:lineRule="atLeast"/>
              <w:jc w:val="center"/>
              <w:rPr>
                <w:rFonts w:hint="eastAsia" w:ascii="宋体" w:hAnsi="宋体" w:eastAsia="宋体" w:cs="宋体"/>
                <w:b/>
                <w:bCs/>
                <w:sz w:val="24"/>
                <w:szCs w:val="24"/>
              </w:rPr>
            </w:pPr>
            <w:r>
              <w:rPr>
                <w:rFonts w:hint="eastAsia" w:ascii="宋体" w:hAnsi="宋体" w:eastAsia="宋体" w:cs="宋体"/>
                <w:b/>
                <w:bCs/>
                <w:sz w:val="24"/>
                <w:szCs w:val="24"/>
              </w:rPr>
              <w:t>数量</w:t>
            </w:r>
          </w:p>
        </w:tc>
      </w:tr>
      <w:tr w14:paraId="1CF18A96">
        <w:tblPrEx>
          <w:tblCellMar>
            <w:top w:w="0" w:type="dxa"/>
            <w:left w:w="108" w:type="dxa"/>
            <w:bottom w:w="0" w:type="dxa"/>
            <w:right w:w="108" w:type="dxa"/>
          </w:tblCellMar>
        </w:tblPrEx>
        <w:trPr>
          <w:trHeight w:val="342" w:hRule="atLeast"/>
          <w:jc w:val="center"/>
        </w:trPr>
        <w:tc>
          <w:tcPr>
            <w:tcW w:w="782" w:type="dxa"/>
            <w:tcBorders>
              <w:top w:val="nil"/>
              <w:left w:val="single" w:color="auto" w:sz="4" w:space="0"/>
              <w:bottom w:val="single" w:color="auto" w:sz="4" w:space="0"/>
              <w:right w:val="single" w:color="auto" w:sz="4" w:space="0"/>
            </w:tcBorders>
            <w:vAlign w:val="center"/>
          </w:tcPr>
          <w:p w14:paraId="27AD67C8">
            <w:pPr>
              <w:widowControl/>
              <w:numPr>
                <w:ilvl w:val="0"/>
                <w:numId w:val="0"/>
              </w:numPr>
              <w:ind w:left="0" w:leftChars="0" w:right="0" w:righ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735" w:type="dxa"/>
            <w:tcBorders>
              <w:top w:val="nil"/>
              <w:left w:val="nil"/>
              <w:bottom w:val="single" w:color="auto" w:sz="4" w:space="0"/>
              <w:right w:val="single" w:color="auto" w:sz="4" w:space="0"/>
            </w:tcBorders>
          </w:tcPr>
          <w:p w14:paraId="46A9EB09">
            <w:pPr>
              <w:widowControl/>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sz w:val="24"/>
                <w:szCs w:val="24"/>
              </w:rPr>
              <w:t>软件</w:t>
            </w:r>
          </w:p>
        </w:tc>
        <w:tc>
          <w:tcPr>
            <w:tcW w:w="5566" w:type="dxa"/>
            <w:tcBorders>
              <w:top w:val="nil"/>
              <w:left w:val="nil"/>
              <w:bottom w:val="single" w:color="auto" w:sz="4" w:space="0"/>
              <w:right w:val="single" w:color="auto" w:sz="4" w:space="0"/>
            </w:tcBorders>
            <w:vAlign w:val="center"/>
          </w:tcPr>
          <w:p w14:paraId="73354CF4">
            <w:pPr>
              <w:widowControl/>
              <w:jc w:val="center"/>
              <w:rPr>
                <w:rFonts w:hint="eastAsia" w:ascii="宋体" w:hAnsi="宋体" w:eastAsia="宋体" w:cs="宋体"/>
                <w:sz w:val="24"/>
                <w:szCs w:val="24"/>
              </w:rPr>
            </w:pPr>
            <w:r>
              <w:rPr>
                <w:rFonts w:hint="eastAsia" w:ascii="宋体" w:hAnsi="宋体" w:eastAsia="宋体" w:cs="宋体"/>
                <w:sz w:val="24"/>
                <w:szCs w:val="24"/>
              </w:rPr>
              <w:t>Microsoft windows 10（64位）</w:t>
            </w:r>
          </w:p>
        </w:tc>
        <w:tc>
          <w:tcPr>
            <w:tcW w:w="721" w:type="dxa"/>
            <w:tcBorders>
              <w:top w:val="nil"/>
              <w:left w:val="nil"/>
              <w:bottom w:val="single" w:color="auto" w:sz="4" w:space="0"/>
              <w:right w:val="single" w:color="auto" w:sz="4" w:space="0"/>
            </w:tcBorders>
            <w:vAlign w:val="center"/>
          </w:tcPr>
          <w:p w14:paraId="5142DFF2">
            <w:pPr>
              <w:widowControl/>
              <w:jc w:val="center"/>
              <w:rPr>
                <w:rFonts w:hint="eastAsia" w:ascii="宋体" w:hAnsi="宋体" w:eastAsia="宋体" w:cs="宋体"/>
                <w:sz w:val="24"/>
                <w:szCs w:val="24"/>
              </w:rPr>
            </w:pPr>
            <w:r>
              <w:rPr>
                <w:rFonts w:hint="eastAsia" w:ascii="宋体" w:hAnsi="宋体" w:eastAsia="宋体" w:cs="宋体"/>
                <w:sz w:val="24"/>
                <w:szCs w:val="24"/>
              </w:rPr>
              <w:t>1</w:t>
            </w:r>
          </w:p>
        </w:tc>
      </w:tr>
      <w:tr w14:paraId="279E9AB0">
        <w:tblPrEx>
          <w:tblCellMar>
            <w:top w:w="0" w:type="dxa"/>
            <w:left w:w="108" w:type="dxa"/>
            <w:bottom w:w="0" w:type="dxa"/>
            <w:right w:w="108" w:type="dxa"/>
          </w:tblCellMar>
        </w:tblPrEx>
        <w:trPr>
          <w:trHeight w:val="342" w:hRule="atLeast"/>
          <w:jc w:val="center"/>
        </w:trPr>
        <w:tc>
          <w:tcPr>
            <w:tcW w:w="782" w:type="dxa"/>
            <w:tcBorders>
              <w:top w:val="nil"/>
              <w:left w:val="single" w:color="auto" w:sz="4" w:space="0"/>
              <w:bottom w:val="single" w:color="auto" w:sz="4" w:space="0"/>
              <w:right w:val="single" w:color="auto" w:sz="4" w:space="0"/>
            </w:tcBorders>
            <w:vAlign w:val="center"/>
          </w:tcPr>
          <w:p w14:paraId="2C7483DE">
            <w:pPr>
              <w:widowControl/>
              <w:numPr>
                <w:ilvl w:val="0"/>
                <w:numId w:val="0"/>
              </w:numPr>
              <w:ind w:left="0" w:leftChars="0" w:right="0" w:righ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735" w:type="dxa"/>
            <w:tcBorders>
              <w:top w:val="nil"/>
              <w:left w:val="nil"/>
              <w:bottom w:val="single" w:color="auto" w:sz="4" w:space="0"/>
              <w:right w:val="single" w:color="auto" w:sz="4" w:space="0"/>
            </w:tcBorders>
          </w:tcPr>
          <w:p w14:paraId="367DB5EC">
            <w:pPr>
              <w:widowControl/>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sz w:val="24"/>
                <w:szCs w:val="24"/>
              </w:rPr>
              <w:t>软件</w:t>
            </w:r>
          </w:p>
        </w:tc>
        <w:tc>
          <w:tcPr>
            <w:tcW w:w="5566" w:type="dxa"/>
            <w:tcBorders>
              <w:top w:val="nil"/>
              <w:left w:val="nil"/>
              <w:bottom w:val="single" w:color="auto" w:sz="4" w:space="0"/>
              <w:right w:val="single" w:color="auto" w:sz="4" w:space="0"/>
            </w:tcBorders>
            <w:vAlign w:val="center"/>
          </w:tcPr>
          <w:p w14:paraId="4A2BA8C5">
            <w:pPr>
              <w:widowControl/>
              <w:jc w:val="center"/>
              <w:rPr>
                <w:rFonts w:hint="eastAsia" w:ascii="宋体" w:hAnsi="宋体" w:eastAsia="宋体" w:cs="宋体"/>
                <w:sz w:val="24"/>
                <w:szCs w:val="24"/>
              </w:rPr>
            </w:pPr>
            <w:r>
              <w:rPr>
                <w:rFonts w:hint="eastAsia" w:ascii="宋体" w:hAnsi="宋体" w:eastAsia="宋体" w:cs="宋体"/>
                <w:sz w:val="24"/>
                <w:szCs w:val="24"/>
              </w:rPr>
              <w:t>Ubuntu 18.4（及以上）</w:t>
            </w:r>
          </w:p>
        </w:tc>
        <w:tc>
          <w:tcPr>
            <w:tcW w:w="721" w:type="dxa"/>
            <w:tcBorders>
              <w:top w:val="nil"/>
              <w:left w:val="nil"/>
              <w:bottom w:val="single" w:color="auto" w:sz="4" w:space="0"/>
              <w:right w:val="single" w:color="auto" w:sz="4" w:space="0"/>
            </w:tcBorders>
            <w:vAlign w:val="center"/>
          </w:tcPr>
          <w:p w14:paraId="236930E4">
            <w:pPr>
              <w:widowControl/>
              <w:jc w:val="center"/>
              <w:rPr>
                <w:rFonts w:hint="eastAsia" w:ascii="宋体" w:hAnsi="宋体" w:eastAsia="宋体" w:cs="宋体"/>
                <w:sz w:val="24"/>
                <w:szCs w:val="24"/>
              </w:rPr>
            </w:pPr>
            <w:r>
              <w:rPr>
                <w:rFonts w:hint="eastAsia" w:ascii="宋体" w:hAnsi="宋体" w:eastAsia="宋体" w:cs="宋体"/>
                <w:sz w:val="24"/>
                <w:szCs w:val="24"/>
              </w:rPr>
              <w:t>1</w:t>
            </w:r>
          </w:p>
        </w:tc>
      </w:tr>
      <w:tr w14:paraId="292BA5CB">
        <w:tblPrEx>
          <w:tblCellMar>
            <w:top w:w="0" w:type="dxa"/>
            <w:left w:w="108" w:type="dxa"/>
            <w:bottom w:w="0" w:type="dxa"/>
            <w:right w:w="108" w:type="dxa"/>
          </w:tblCellMar>
        </w:tblPrEx>
        <w:trPr>
          <w:trHeight w:val="342" w:hRule="atLeast"/>
          <w:jc w:val="center"/>
        </w:trPr>
        <w:tc>
          <w:tcPr>
            <w:tcW w:w="782" w:type="dxa"/>
            <w:tcBorders>
              <w:top w:val="nil"/>
              <w:left w:val="single" w:color="auto" w:sz="4" w:space="0"/>
              <w:bottom w:val="single" w:color="auto" w:sz="4" w:space="0"/>
              <w:right w:val="single" w:color="auto" w:sz="4" w:space="0"/>
            </w:tcBorders>
            <w:vAlign w:val="center"/>
          </w:tcPr>
          <w:p w14:paraId="6CEF498A">
            <w:pPr>
              <w:widowControl/>
              <w:numPr>
                <w:ilvl w:val="0"/>
                <w:numId w:val="0"/>
              </w:numPr>
              <w:ind w:left="0" w:leftChars="0" w:right="0" w:righ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735" w:type="dxa"/>
            <w:tcBorders>
              <w:top w:val="nil"/>
              <w:left w:val="nil"/>
              <w:bottom w:val="single" w:color="auto" w:sz="4" w:space="0"/>
              <w:right w:val="single" w:color="auto" w:sz="4" w:space="0"/>
            </w:tcBorders>
          </w:tcPr>
          <w:p w14:paraId="6500AD5F">
            <w:pPr>
              <w:widowControl/>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sz w:val="24"/>
                <w:szCs w:val="24"/>
              </w:rPr>
              <w:t>软件</w:t>
            </w:r>
          </w:p>
        </w:tc>
        <w:tc>
          <w:tcPr>
            <w:tcW w:w="5566" w:type="dxa"/>
            <w:tcBorders>
              <w:top w:val="nil"/>
              <w:left w:val="nil"/>
              <w:bottom w:val="single" w:color="auto" w:sz="4" w:space="0"/>
              <w:right w:val="single" w:color="auto" w:sz="4" w:space="0"/>
            </w:tcBorders>
            <w:vAlign w:val="center"/>
          </w:tcPr>
          <w:p w14:paraId="1FFC9A28">
            <w:pPr>
              <w:widowControl/>
              <w:jc w:val="center"/>
              <w:rPr>
                <w:rFonts w:hint="eastAsia" w:ascii="宋体" w:hAnsi="宋体" w:eastAsia="宋体" w:cs="宋体"/>
                <w:sz w:val="24"/>
                <w:szCs w:val="24"/>
              </w:rPr>
            </w:pPr>
            <w:r>
              <w:rPr>
                <w:rFonts w:hint="eastAsia" w:ascii="宋体" w:hAnsi="宋体" w:eastAsia="宋体" w:cs="宋体"/>
                <w:sz w:val="24"/>
                <w:szCs w:val="24"/>
              </w:rPr>
              <w:t>Microsoft Office 2016</w:t>
            </w:r>
          </w:p>
        </w:tc>
        <w:tc>
          <w:tcPr>
            <w:tcW w:w="721" w:type="dxa"/>
            <w:tcBorders>
              <w:top w:val="nil"/>
              <w:left w:val="nil"/>
              <w:bottom w:val="single" w:color="auto" w:sz="4" w:space="0"/>
              <w:right w:val="single" w:color="auto" w:sz="4" w:space="0"/>
            </w:tcBorders>
            <w:vAlign w:val="center"/>
          </w:tcPr>
          <w:p w14:paraId="0EE213ED">
            <w:pPr>
              <w:widowControl/>
              <w:jc w:val="center"/>
              <w:rPr>
                <w:rFonts w:hint="eastAsia" w:ascii="宋体" w:hAnsi="宋体" w:eastAsia="宋体" w:cs="宋体"/>
                <w:sz w:val="24"/>
                <w:szCs w:val="24"/>
              </w:rPr>
            </w:pPr>
            <w:r>
              <w:rPr>
                <w:rFonts w:hint="eastAsia" w:ascii="宋体" w:hAnsi="宋体" w:eastAsia="宋体" w:cs="宋体"/>
                <w:sz w:val="24"/>
                <w:szCs w:val="24"/>
              </w:rPr>
              <w:t>1</w:t>
            </w:r>
          </w:p>
        </w:tc>
      </w:tr>
      <w:tr w14:paraId="39DA7E61">
        <w:tblPrEx>
          <w:tblCellMar>
            <w:top w:w="0" w:type="dxa"/>
            <w:left w:w="108" w:type="dxa"/>
            <w:bottom w:w="0" w:type="dxa"/>
            <w:right w:w="108" w:type="dxa"/>
          </w:tblCellMar>
        </w:tblPrEx>
        <w:trPr>
          <w:trHeight w:val="342" w:hRule="atLeast"/>
          <w:jc w:val="center"/>
        </w:trPr>
        <w:tc>
          <w:tcPr>
            <w:tcW w:w="782" w:type="dxa"/>
            <w:tcBorders>
              <w:top w:val="nil"/>
              <w:left w:val="single" w:color="auto" w:sz="4" w:space="0"/>
              <w:bottom w:val="single" w:color="auto" w:sz="4" w:space="0"/>
              <w:right w:val="single" w:color="auto" w:sz="4" w:space="0"/>
            </w:tcBorders>
            <w:vAlign w:val="center"/>
          </w:tcPr>
          <w:p w14:paraId="0A24A596">
            <w:pPr>
              <w:widowControl/>
              <w:numPr>
                <w:ilvl w:val="0"/>
                <w:numId w:val="0"/>
              </w:numPr>
              <w:ind w:left="0" w:leftChars="0" w:right="0" w:righ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735" w:type="dxa"/>
            <w:tcBorders>
              <w:top w:val="nil"/>
              <w:left w:val="nil"/>
              <w:bottom w:val="single" w:color="auto" w:sz="4" w:space="0"/>
              <w:right w:val="single" w:color="auto" w:sz="4" w:space="0"/>
            </w:tcBorders>
          </w:tcPr>
          <w:p w14:paraId="4A51DBFE">
            <w:pPr>
              <w:widowControl/>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sz w:val="24"/>
                <w:szCs w:val="24"/>
              </w:rPr>
              <w:t>软件</w:t>
            </w:r>
          </w:p>
        </w:tc>
        <w:tc>
          <w:tcPr>
            <w:tcW w:w="5566" w:type="dxa"/>
            <w:tcBorders>
              <w:top w:val="nil"/>
              <w:left w:val="nil"/>
              <w:bottom w:val="single" w:color="auto" w:sz="4" w:space="0"/>
              <w:right w:val="single" w:color="auto" w:sz="4" w:space="0"/>
            </w:tcBorders>
            <w:vAlign w:val="center"/>
          </w:tcPr>
          <w:p w14:paraId="074A4A5F">
            <w:pPr>
              <w:widowControl/>
              <w:jc w:val="center"/>
              <w:rPr>
                <w:rFonts w:hint="eastAsia" w:ascii="宋体" w:hAnsi="宋体" w:eastAsia="宋体" w:cs="宋体"/>
                <w:sz w:val="24"/>
                <w:szCs w:val="24"/>
              </w:rPr>
            </w:pPr>
            <w:r>
              <w:rPr>
                <w:rFonts w:hint="eastAsia" w:ascii="宋体" w:hAnsi="宋体" w:eastAsia="宋体" w:cs="宋体"/>
                <w:sz w:val="24"/>
                <w:szCs w:val="24"/>
              </w:rPr>
              <w:t>Microsoft Visio 2016</w:t>
            </w:r>
          </w:p>
        </w:tc>
        <w:tc>
          <w:tcPr>
            <w:tcW w:w="721" w:type="dxa"/>
            <w:tcBorders>
              <w:top w:val="nil"/>
              <w:left w:val="nil"/>
              <w:bottom w:val="single" w:color="auto" w:sz="4" w:space="0"/>
              <w:right w:val="single" w:color="auto" w:sz="4" w:space="0"/>
            </w:tcBorders>
            <w:vAlign w:val="center"/>
          </w:tcPr>
          <w:p w14:paraId="7F0E0F59">
            <w:pPr>
              <w:widowControl/>
              <w:jc w:val="center"/>
              <w:rPr>
                <w:rFonts w:hint="eastAsia" w:ascii="宋体" w:hAnsi="宋体" w:eastAsia="宋体" w:cs="宋体"/>
                <w:sz w:val="24"/>
                <w:szCs w:val="24"/>
              </w:rPr>
            </w:pPr>
            <w:r>
              <w:rPr>
                <w:rFonts w:hint="eastAsia" w:ascii="宋体" w:hAnsi="宋体" w:eastAsia="宋体" w:cs="宋体"/>
                <w:sz w:val="24"/>
                <w:szCs w:val="24"/>
              </w:rPr>
              <w:t>1</w:t>
            </w:r>
          </w:p>
        </w:tc>
      </w:tr>
      <w:tr w14:paraId="29F05CAF">
        <w:tblPrEx>
          <w:tblCellMar>
            <w:top w:w="0" w:type="dxa"/>
            <w:left w:w="108" w:type="dxa"/>
            <w:bottom w:w="0" w:type="dxa"/>
            <w:right w:w="108" w:type="dxa"/>
          </w:tblCellMar>
        </w:tblPrEx>
        <w:trPr>
          <w:trHeight w:val="342" w:hRule="atLeast"/>
          <w:jc w:val="center"/>
        </w:trPr>
        <w:tc>
          <w:tcPr>
            <w:tcW w:w="782" w:type="dxa"/>
            <w:tcBorders>
              <w:top w:val="nil"/>
              <w:left w:val="single" w:color="auto" w:sz="4" w:space="0"/>
              <w:bottom w:val="single" w:color="auto" w:sz="4" w:space="0"/>
              <w:right w:val="single" w:color="auto" w:sz="4" w:space="0"/>
            </w:tcBorders>
            <w:vAlign w:val="center"/>
          </w:tcPr>
          <w:p w14:paraId="39BF0D50">
            <w:pPr>
              <w:widowControl/>
              <w:numPr>
                <w:ilvl w:val="0"/>
                <w:numId w:val="0"/>
              </w:numPr>
              <w:ind w:left="0" w:leftChars="0" w:right="0" w:righ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735" w:type="dxa"/>
            <w:tcBorders>
              <w:top w:val="nil"/>
              <w:left w:val="nil"/>
              <w:bottom w:val="single" w:color="auto" w:sz="4" w:space="0"/>
              <w:right w:val="single" w:color="auto" w:sz="4" w:space="0"/>
            </w:tcBorders>
            <w:vAlign w:val="center"/>
          </w:tcPr>
          <w:p w14:paraId="52049267">
            <w:pPr>
              <w:widowControl/>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sz w:val="24"/>
                <w:szCs w:val="24"/>
              </w:rPr>
              <w:t>软件</w:t>
            </w:r>
          </w:p>
        </w:tc>
        <w:tc>
          <w:tcPr>
            <w:tcW w:w="5566" w:type="dxa"/>
            <w:tcBorders>
              <w:top w:val="nil"/>
              <w:left w:val="nil"/>
              <w:bottom w:val="single" w:color="auto" w:sz="4" w:space="0"/>
              <w:right w:val="single" w:color="auto" w:sz="4" w:space="0"/>
            </w:tcBorders>
            <w:vAlign w:val="center"/>
          </w:tcPr>
          <w:p w14:paraId="04FA4D70">
            <w:pPr>
              <w:widowControl/>
              <w:jc w:val="center"/>
              <w:rPr>
                <w:rFonts w:hint="eastAsia" w:ascii="宋体" w:hAnsi="宋体" w:eastAsia="宋体" w:cs="宋体"/>
                <w:sz w:val="24"/>
                <w:szCs w:val="24"/>
              </w:rPr>
            </w:pPr>
            <w:r>
              <w:rPr>
                <w:rFonts w:hint="eastAsia" w:ascii="宋体" w:hAnsi="宋体" w:eastAsia="宋体" w:cs="宋体"/>
                <w:sz w:val="24"/>
                <w:szCs w:val="24"/>
              </w:rPr>
              <w:t>IAR Embedded Workbench for 8051 8.10.1</w:t>
            </w:r>
          </w:p>
        </w:tc>
        <w:tc>
          <w:tcPr>
            <w:tcW w:w="721" w:type="dxa"/>
            <w:tcBorders>
              <w:top w:val="nil"/>
              <w:left w:val="nil"/>
              <w:bottom w:val="single" w:color="auto" w:sz="4" w:space="0"/>
              <w:right w:val="single" w:color="auto" w:sz="4" w:space="0"/>
            </w:tcBorders>
            <w:vAlign w:val="center"/>
          </w:tcPr>
          <w:p w14:paraId="6A661C97">
            <w:pPr>
              <w:widowControl/>
              <w:jc w:val="center"/>
              <w:rPr>
                <w:rFonts w:hint="eastAsia" w:ascii="宋体" w:hAnsi="宋体" w:eastAsia="宋体" w:cs="宋体"/>
                <w:sz w:val="24"/>
                <w:szCs w:val="24"/>
              </w:rPr>
            </w:pPr>
            <w:r>
              <w:rPr>
                <w:rFonts w:hint="eastAsia" w:ascii="宋体" w:hAnsi="宋体" w:eastAsia="宋体" w:cs="宋体"/>
                <w:sz w:val="24"/>
                <w:szCs w:val="24"/>
              </w:rPr>
              <w:t>1</w:t>
            </w:r>
          </w:p>
        </w:tc>
      </w:tr>
      <w:tr w14:paraId="621652C4">
        <w:tblPrEx>
          <w:tblCellMar>
            <w:top w:w="0" w:type="dxa"/>
            <w:left w:w="108" w:type="dxa"/>
            <w:bottom w:w="0" w:type="dxa"/>
            <w:right w:w="108" w:type="dxa"/>
          </w:tblCellMar>
        </w:tblPrEx>
        <w:trPr>
          <w:trHeight w:val="342" w:hRule="atLeast"/>
          <w:jc w:val="center"/>
        </w:trPr>
        <w:tc>
          <w:tcPr>
            <w:tcW w:w="782" w:type="dxa"/>
            <w:tcBorders>
              <w:top w:val="nil"/>
              <w:left w:val="single" w:color="auto" w:sz="4" w:space="0"/>
              <w:bottom w:val="single" w:color="auto" w:sz="4" w:space="0"/>
              <w:right w:val="single" w:color="auto" w:sz="4" w:space="0"/>
            </w:tcBorders>
            <w:vAlign w:val="center"/>
          </w:tcPr>
          <w:p w14:paraId="22C2DF73">
            <w:pPr>
              <w:widowControl/>
              <w:numPr>
                <w:ilvl w:val="0"/>
                <w:numId w:val="0"/>
              </w:numPr>
              <w:ind w:left="0" w:leftChars="0" w:right="0" w:righ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735" w:type="dxa"/>
            <w:tcBorders>
              <w:top w:val="nil"/>
              <w:left w:val="nil"/>
              <w:bottom w:val="single" w:color="auto" w:sz="4" w:space="0"/>
              <w:right w:val="single" w:color="auto" w:sz="4" w:space="0"/>
            </w:tcBorders>
            <w:vAlign w:val="center"/>
          </w:tcPr>
          <w:p w14:paraId="1A06F5B6">
            <w:pPr>
              <w:widowControl/>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sz w:val="24"/>
                <w:szCs w:val="24"/>
              </w:rPr>
              <w:t>软件</w:t>
            </w:r>
          </w:p>
        </w:tc>
        <w:tc>
          <w:tcPr>
            <w:tcW w:w="5566" w:type="dxa"/>
            <w:tcBorders>
              <w:top w:val="nil"/>
              <w:left w:val="nil"/>
              <w:bottom w:val="single" w:color="auto" w:sz="4" w:space="0"/>
              <w:right w:val="single" w:color="auto" w:sz="4" w:space="0"/>
            </w:tcBorders>
            <w:vAlign w:val="center"/>
          </w:tcPr>
          <w:p w14:paraId="319DAFF7">
            <w:pPr>
              <w:widowControl/>
              <w:jc w:val="center"/>
              <w:rPr>
                <w:rFonts w:hint="eastAsia" w:ascii="宋体" w:hAnsi="宋体" w:eastAsia="宋体" w:cs="宋体"/>
                <w:sz w:val="24"/>
                <w:szCs w:val="24"/>
              </w:rPr>
            </w:pPr>
            <w:r>
              <w:rPr>
                <w:rFonts w:hint="eastAsia" w:ascii="宋体" w:hAnsi="宋体" w:eastAsia="宋体" w:cs="宋体"/>
                <w:sz w:val="24"/>
                <w:szCs w:val="24"/>
              </w:rPr>
              <w:t>Keil uVision 5</w:t>
            </w:r>
          </w:p>
        </w:tc>
        <w:tc>
          <w:tcPr>
            <w:tcW w:w="721" w:type="dxa"/>
            <w:tcBorders>
              <w:top w:val="nil"/>
              <w:left w:val="nil"/>
              <w:bottom w:val="single" w:color="auto" w:sz="4" w:space="0"/>
              <w:right w:val="single" w:color="auto" w:sz="4" w:space="0"/>
            </w:tcBorders>
            <w:vAlign w:val="center"/>
          </w:tcPr>
          <w:p w14:paraId="0F23527A">
            <w:pPr>
              <w:widowControl/>
              <w:jc w:val="center"/>
              <w:rPr>
                <w:rFonts w:hint="eastAsia" w:ascii="宋体" w:hAnsi="宋体" w:eastAsia="宋体" w:cs="宋体"/>
                <w:sz w:val="24"/>
                <w:szCs w:val="24"/>
              </w:rPr>
            </w:pPr>
            <w:r>
              <w:rPr>
                <w:rFonts w:hint="eastAsia" w:ascii="宋体" w:hAnsi="宋体" w:eastAsia="宋体" w:cs="宋体"/>
                <w:sz w:val="24"/>
                <w:szCs w:val="24"/>
              </w:rPr>
              <w:t>1</w:t>
            </w:r>
          </w:p>
        </w:tc>
      </w:tr>
      <w:tr w14:paraId="25980CE5">
        <w:tblPrEx>
          <w:tblCellMar>
            <w:top w:w="0" w:type="dxa"/>
            <w:left w:w="108" w:type="dxa"/>
            <w:bottom w:w="0" w:type="dxa"/>
            <w:right w:w="108" w:type="dxa"/>
          </w:tblCellMar>
        </w:tblPrEx>
        <w:trPr>
          <w:trHeight w:val="120" w:hRule="atLeast"/>
          <w:jc w:val="center"/>
        </w:trPr>
        <w:tc>
          <w:tcPr>
            <w:tcW w:w="782" w:type="dxa"/>
            <w:tcBorders>
              <w:top w:val="nil"/>
              <w:left w:val="single" w:color="auto" w:sz="4" w:space="0"/>
              <w:bottom w:val="single" w:color="auto" w:sz="4" w:space="0"/>
              <w:right w:val="single" w:color="auto" w:sz="4" w:space="0"/>
            </w:tcBorders>
            <w:vAlign w:val="center"/>
          </w:tcPr>
          <w:p w14:paraId="7EC9B348">
            <w:pPr>
              <w:widowControl/>
              <w:numPr>
                <w:ilvl w:val="0"/>
                <w:numId w:val="0"/>
              </w:numPr>
              <w:ind w:left="0" w:leftChars="0" w:right="0" w:righ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735" w:type="dxa"/>
            <w:tcBorders>
              <w:top w:val="nil"/>
              <w:left w:val="nil"/>
              <w:bottom w:val="single" w:color="auto" w:sz="4" w:space="0"/>
              <w:right w:val="single" w:color="auto" w:sz="4" w:space="0"/>
            </w:tcBorders>
            <w:vAlign w:val="center"/>
          </w:tcPr>
          <w:p w14:paraId="75BE2807">
            <w:pPr>
              <w:widowControl/>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sz w:val="24"/>
                <w:szCs w:val="24"/>
              </w:rPr>
              <w:t>软件</w:t>
            </w:r>
          </w:p>
        </w:tc>
        <w:tc>
          <w:tcPr>
            <w:tcW w:w="5566" w:type="dxa"/>
            <w:tcBorders>
              <w:top w:val="nil"/>
              <w:left w:val="nil"/>
              <w:bottom w:val="single" w:color="auto" w:sz="4" w:space="0"/>
              <w:right w:val="single" w:color="auto" w:sz="4" w:space="0"/>
            </w:tcBorders>
            <w:vAlign w:val="center"/>
          </w:tcPr>
          <w:p w14:paraId="6E12BFC7">
            <w:pPr>
              <w:widowControl/>
              <w:jc w:val="center"/>
              <w:rPr>
                <w:rFonts w:hint="eastAsia" w:ascii="宋体" w:hAnsi="宋体" w:eastAsia="宋体" w:cs="宋体"/>
                <w:sz w:val="24"/>
                <w:szCs w:val="24"/>
              </w:rPr>
            </w:pPr>
            <w:r>
              <w:rPr>
                <w:rFonts w:hint="eastAsia" w:ascii="宋体" w:hAnsi="宋体" w:eastAsia="宋体" w:cs="宋体"/>
                <w:sz w:val="24"/>
                <w:szCs w:val="24"/>
              </w:rPr>
              <w:t>Android Studio 3.2</w:t>
            </w:r>
          </w:p>
        </w:tc>
        <w:tc>
          <w:tcPr>
            <w:tcW w:w="721" w:type="dxa"/>
            <w:tcBorders>
              <w:top w:val="nil"/>
              <w:left w:val="nil"/>
              <w:bottom w:val="single" w:color="auto" w:sz="4" w:space="0"/>
              <w:right w:val="single" w:color="auto" w:sz="4" w:space="0"/>
            </w:tcBorders>
            <w:vAlign w:val="center"/>
          </w:tcPr>
          <w:p w14:paraId="2DC9EFFE">
            <w:pPr>
              <w:widowControl/>
              <w:jc w:val="center"/>
              <w:rPr>
                <w:rFonts w:hint="eastAsia" w:ascii="宋体" w:hAnsi="宋体" w:eastAsia="宋体" w:cs="宋体"/>
                <w:sz w:val="24"/>
                <w:szCs w:val="24"/>
              </w:rPr>
            </w:pPr>
            <w:r>
              <w:rPr>
                <w:rFonts w:hint="eastAsia" w:ascii="宋体" w:hAnsi="宋体" w:eastAsia="宋体" w:cs="宋体"/>
                <w:sz w:val="24"/>
                <w:szCs w:val="24"/>
              </w:rPr>
              <w:t>1</w:t>
            </w:r>
          </w:p>
        </w:tc>
      </w:tr>
      <w:tr w14:paraId="656374BC">
        <w:tblPrEx>
          <w:tblCellMar>
            <w:top w:w="0" w:type="dxa"/>
            <w:left w:w="108" w:type="dxa"/>
            <w:bottom w:w="0" w:type="dxa"/>
            <w:right w:w="108" w:type="dxa"/>
          </w:tblCellMar>
        </w:tblPrEx>
        <w:trPr>
          <w:trHeight w:val="342" w:hRule="atLeast"/>
          <w:jc w:val="center"/>
        </w:trPr>
        <w:tc>
          <w:tcPr>
            <w:tcW w:w="782" w:type="dxa"/>
            <w:tcBorders>
              <w:top w:val="nil"/>
              <w:left w:val="single" w:color="auto" w:sz="4" w:space="0"/>
              <w:bottom w:val="single" w:color="auto" w:sz="4" w:space="0"/>
              <w:right w:val="single" w:color="auto" w:sz="4" w:space="0"/>
            </w:tcBorders>
            <w:vAlign w:val="center"/>
          </w:tcPr>
          <w:p w14:paraId="7D5758C2">
            <w:pPr>
              <w:widowControl/>
              <w:numPr>
                <w:ilvl w:val="0"/>
                <w:numId w:val="0"/>
              </w:numPr>
              <w:ind w:left="0" w:leftChars="0" w:right="0" w:righ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735" w:type="dxa"/>
            <w:tcBorders>
              <w:top w:val="nil"/>
              <w:left w:val="nil"/>
              <w:bottom w:val="single" w:color="auto" w:sz="4" w:space="0"/>
              <w:right w:val="single" w:color="auto" w:sz="4" w:space="0"/>
            </w:tcBorders>
            <w:vAlign w:val="center"/>
          </w:tcPr>
          <w:p w14:paraId="6020271C">
            <w:pPr>
              <w:widowControl/>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sz w:val="24"/>
                <w:szCs w:val="24"/>
              </w:rPr>
              <w:t>软件</w:t>
            </w:r>
          </w:p>
        </w:tc>
        <w:tc>
          <w:tcPr>
            <w:tcW w:w="5566" w:type="dxa"/>
            <w:tcBorders>
              <w:top w:val="nil"/>
              <w:left w:val="nil"/>
              <w:bottom w:val="single" w:color="auto" w:sz="4" w:space="0"/>
              <w:right w:val="single" w:color="auto" w:sz="4" w:space="0"/>
            </w:tcBorders>
            <w:vAlign w:val="center"/>
          </w:tcPr>
          <w:p w14:paraId="2CD17E13">
            <w:pPr>
              <w:widowControl/>
              <w:jc w:val="center"/>
              <w:rPr>
                <w:rFonts w:hint="eastAsia" w:ascii="宋体" w:hAnsi="宋体" w:eastAsia="宋体" w:cs="宋体"/>
                <w:sz w:val="24"/>
                <w:szCs w:val="24"/>
              </w:rPr>
            </w:pPr>
            <w:r>
              <w:rPr>
                <w:rFonts w:hint="eastAsia" w:ascii="宋体" w:hAnsi="宋体" w:eastAsia="宋体" w:cs="宋体"/>
                <w:sz w:val="24"/>
                <w:szCs w:val="24"/>
              </w:rPr>
              <w:t>VS code 1.52</w:t>
            </w:r>
          </w:p>
        </w:tc>
        <w:tc>
          <w:tcPr>
            <w:tcW w:w="721" w:type="dxa"/>
            <w:tcBorders>
              <w:top w:val="nil"/>
              <w:left w:val="nil"/>
              <w:bottom w:val="single" w:color="auto" w:sz="4" w:space="0"/>
              <w:right w:val="single" w:color="auto" w:sz="4" w:space="0"/>
            </w:tcBorders>
            <w:vAlign w:val="center"/>
          </w:tcPr>
          <w:p w14:paraId="7CEEB42A">
            <w:pPr>
              <w:widowControl/>
              <w:jc w:val="center"/>
              <w:rPr>
                <w:rFonts w:hint="eastAsia" w:ascii="宋体" w:hAnsi="宋体" w:eastAsia="宋体" w:cs="宋体"/>
                <w:sz w:val="24"/>
                <w:szCs w:val="24"/>
              </w:rPr>
            </w:pPr>
            <w:r>
              <w:rPr>
                <w:rFonts w:hint="eastAsia" w:ascii="宋体" w:hAnsi="宋体" w:eastAsia="宋体" w:cs="宋体"/>
                <w:sz w:val="24"/>
                <w:szCs w:val="24"/>
              </w:rPr>
              <w:t>1</w:t>
            </w:r>
          </w:p>
        </w:tc>
      </w:tr>
      <w:tr w14:paraId="04C41DCA">
        <w:tblPrEx>
          <w:tblCellMar>
            <w:top w:w="0" w:type="dxa"/>
            <w:left w:w="108" w:type="dxa"/>
            <w:bottom w:w="0" w:type="dxa"/>
            <w:right w:w="108" w:type="dxa"/>
          </w:tblCellMar>
        </w:tblPrEx>
        <w:trPr>
          <w:trHeight w:val="342" w:hRule="atLeast"/>
          <w:jc w:val="center"/>
        </w:trPr>
        <w:tc>
          <w:tcPr>
            <w:tcW w:w="782" w:type="dxa"/>
            <w:tcBorders>
              <w:top w:val="nil"/>
              <w:left w:val="single" w:color="auto" w:sz="4" w:space="0"/>
              <w:bottom w:val="single" w:color="auto" w:sz="4" w:space="0"/>
              <w:right w:val="single" w:color="auto" w:sz="4" w:space="0"/>
            </w:tcBorders>
            <w:vAlign w:val="center"/>
          </w:tcPr>
          <w:p w14:paraId="35EF6A12">
            <w:pPr>
              <w:widowControl/>
              <w:numPr>
                <w:ilvl w:val="0"/>
                <w:numId w:val="0"/>
              </w:numPr>
              <w:ind w:left="0" w:leftChars="0" w:right="0" w:rightChars="0" w:firstLine="0" w:firstLineChars="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p>
        </w:tc>
        <w:tc>
          <w:tcPr>
            <w:tcW w:w="735" w:type="dxa"/>
            <w:tcBorders>
              <w:top w:val="nil"/>
              <w:left w:val="nil"/>
              <w:bottom w:val="single" w:color="auto" w:sz="4" w:space="0"/>
              <w:right w:val="single" w:color="auto" w:sz="4" w:space="0"/>
            </w:tcBorders>
            <w:vAlign w:val="center"/>
          </w:tcPr>
          <w:p w14:paraId="281637BE">
            <w:pPr>
              <w:widowControl/>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sz w:val="24"/>
                <w:szCs w:val="24"/>
              </w:rPr>
              <w:t>软件</w:t>
            </w:r>
          </w:p>
        </w:tc>
        <w:tc>
          <w:tcPr>
            <w:tcW w:w="5566" w:type="dxa"/>
            <w:tcBorders>
              <w:top w:val="nil"/>
              <w:left w:val="nil"/>
              <w:bottom w:val="single" w:color="auto" w:sz="4" w:space="0"/>
              <w:right w:val="single" w:color="auto" w:sz="4" w:space="0"/>
            </w:tcBorders>
            <w:vAlign w:val="center"/>
          </w:tcPr>
          <w:p w14:paraId="54C7F033">
            <w:pPr>
              <w:widowControl/>
              <w:jc w:val="center"/>
              <w:rPr>
                <w:rFonts w:hint="eastAsia" w:ascii="宋体" w:hAnsi="宋体" w:eastAsia="宋体" w:cs="宋体"/>
                <w:sz w:val="24"/>
                <w:szCs w:val="24"/>
              </w:rPr>
            </w:pPr>
            <w:r>
              <w:rPr>
                <w:rFonts w:hint="eastAsia" w:ascii="宋体" w:hAnsi="宋体" w:eastAsia="宋体" w:cs="宋体"/>
                <w:sz w:val="24"/>
                <w:szCs w:val="24"/>
              </w:rPr>
              <w:t>Python 3.6</w:t>
            </w:r>
          </w:p>
        </w:tc>
        <w:tc>
          <w:tcPr>
            <w:tcW w:w="721" w:type="dxa"/>
            <w:tcBorders>
              <w:top w:val="nil"/>
              <w:left w:val="nil"/>
              <w:bottom w:val="single" w:color="auto" w:sz="4" w:space="0"/>
              <w:right w:val="single" w:color="auto" w:sz="4" w:space="0"/>
            </w:tcBorders>
            <w:vAlign w:val="center"/>
          </w:tcPr>
          <w:p w14:paraId="7FBFEA90">
            <w:pPr>
              <w:widowControl/>
              <w:jc w:val="center"/>
              <w:rPr>
                <w:rFonts w:hint="eastAsia" w:ascii="宋体" w:hAnsi="宋体" w:eastAsia="宋体" w:cs="宋体"/>
                <w:sz w:val="24"/>
                <w:szCs w:val="24"/>
              </w:rPr>
            </w:pPr>
            <w:r>
              <w:rPr>
                <w:rFonts w:hint="eastAsia" w:ascii="宋体" w:hAnsi="宋体" w:eastAsia="宋体" w:cs="宋体"/>
                <w:sz w:val="24"/>
                <w:szCs w:val="24"/>
              </w:rPr>
              <w:t>1</w:t>
            </w:r>
          </w:p>
        </w:tc>
      </w:tr>
      <w:tr w14:paraId="1C8B563E">
        <w:tblPrEx>
          <w:tblCellMar>
            <w:top w:w="0" w:type="dxa"/>
            <w:left w:w="108" w:type="dxa"/>
            <w:bottom w:w="0" w:type="dxa"/>
            <w:right w:w="108" w:type="dxa"/>
          </w:tblCellMar>
        </w:tblPrEx>
        <w:trPr>
          <w:trHeight w:val="342" w:hRule="atLeast"/>
          <w:jc w:val="center"/>
        </w:trPr>
        <w:tc>
          <w:tcPr>
            <w:tcW w:w="782" w:type="dxa"/>
            <w:tcBorders>
              <w:top w:val="nil"/>
              <w:left w:val="single" w:color="auto" w:sz="4" w:space="0"/>
              <w:bottom w:val="single" w:color="auto" w:sz="4" w:space="0"/>
              <w:right w:val="single" w:color="auto" w:sz="4" w:space="0"/>
            </w:tcBorders>
            <w:vAlign w:val="center"/>
          </w:tcPr>
          <w:p w14:paraId="208F02BC">
            <w:pPr>
              <w:widowControl/>
              <w:numPr>
                <w:ilvl w:val="0"/>
                <w:numId w:val="0"/>
              </w:numPr>
              <w:ind w:left="0" w:leftChars="0" w:right="0" w:rightChars="0"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735" w:type="dxa"/>
            <w:tcBorders>
              <w:top w:val="nil"/>
              <w:left w:val="nil"/>
              <w:bottom w:val="single" w:color="auto" w:sz="4" w:space="0"/>
              <w:right w:val="single" w:color="auto" w:sz="4" w:space="0"/>
            </w:tcBorders>
            <w:vAlign w:val="center"/>
          </w:tcPr>
          <w:p w14:paraId="6CEE2CAB">
            <w:pPr>
              <w:widowControl/>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sz w:val="24"/>
                <w:szCs w:val="24"/>
              </w:rPr>
              <w:t>软件</w:t>
            </w:r>
          </w:p>
        </w:tc>
        <w:tc>
          <w:tcPr>
            <w:tcW w:w="5566" w:type="dxa"/>
            <w:tcBorders>
              <w:top w:val="nil"/>
              <w:left w:val="nil"/>
              <w:bottom w:val="single" w:color="auto" w:sz="4" w:space="0"/>
              <w:right w:val="single" w:color="auto" w:sz="4" w:space="0"/>
            </w:tcBorders>
            <w:vAlign w:val="center"/>
          </w:tcPr>
          <w:p w14:paraId="282FDEA9">
            <w:pPr>
              <w:widowControl/>
              <w:jc w:val="center"/>
              <w:rPr>
                <w:rFonts w:hint="eastAsia" w:ascii="宋体" w:hAnsi="宋体" w:eastAsia="宋体" w:cs="宋体"/>
                <w:sz w:val="24"/>
                <w:szCs w:val="24"/>
              </w:rPr>
            </w:pPr>
            <w:r>
              <w:rPr>
                <w:rFonts w:hint="eastAsia" w:ascii="宋体" w:hAnsi="宋体" w:eastAsia="宋体" w:cs="宋体"/>
                <w:sz w:val="24"/>
                <w:szCs w:val="24"/>
              </w:rPr>
              <w:t>PyCharm 社区版 2022.1</w:t>
            </w:r>
          </w:p>
        </w:tc>
        <w:tc>
          <w:tcPr>
            <w:tcW w:w="721" w:type="dxa"/>
            <w:tcBorders>
              <w:top w:val="nil"/>
              <w:left w:val="nil"/>
              <w:bottom w:val="single" w:color="auto" w:sz="4" w:space="0"/>
              <w:right w:val="single" w:color="auto" w:sz="4" w:space="0"/>
            </w:tcBorders>
            <w:vAlign w:val="center"/>
          </w:tcPr>
          <w:p w14:paraId="75E75B0C">
            <w:pPr>
              <w:widowControl/>
              <w:jc w:val="center"/>
              <w:rPr>
                <w:rFonts w:hint="eastAsia" w:ascii="宋体" w:hAnsi="宋体" w:eastAsia="宋体" w:cs="宋体"/>
                <w:sz w:val="24"/>
                <w:szCs w:val="24"/>
              </w:rPr>
            </w:pPr>
            <w:r>
              <w:rPr>
                <w:rFonts w:hint="eastAsia" w:ascii="宋体" w:hAnsi="宋体" w:eastAsia="宋体" w:cs="宋体"/>
                <w:sz w:val="24"/>
                <w:szCs w:val="24"/>
              </w:rPr>
              <w:t>1</w:t>
            </w:r>
          </w:p>
        </w:tc>
      </w:tr>
      <w:tr w14:paraId="7924D8E3">
        <w:tblPrEx>
          <w:tblCellMar>
            <w:top w:w="0" w:type="dxa"/>
            <w:left w:w="108" w:type="dxa"/>
            <w:bottom w:w="0" w:type="dxa"/>
            <w:right w:w="108" w:type="dxa"/>
          </w:tblCellMar>
        </w:tblPrEx>
        <w:trPr>
          <w:trHeight w:val="342"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14:paraId="1B65E7DE">
            <w:pPr>
              <w:widowControl/>
              <w:numPr>
                <w:ilvl w:val="0"/>
                <w:numId w:val="0"/>
              </w:numPr>
              <w:ind w:left="0" w:leftChars="0" w:right="0" w:rightChars="0"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w:t>
            </w:r>
          </w:p>
        </w:tc>
        <w:tc>
          <w:tcPr>
            <w:tcW w:w="735" w:type="dxa"/>
            <w:tcBorders>
              <w:top w:val="single" w:color="auto" w:sz="4" w:space="0"/>
              <w:left w:val="nil"/>
              <w:bottom w:val="single" w:color="auto" w:sz="4" w:space="0"/>
              <w:right w:val="single" w:color="auto" w:sz="4" w:space="0"/>
            </w:tcBorders>
            <w:vAlign w:val="center"/>
          </w:tcPr>
          <w:p w14:paraId="31A97E68">
            <w:pPr>
              <w:widowControl/>
              <w:ind w:left="0" w:leftChars="0" w:right="0" w:rightChars="0" w:firstLine="0" w:firstLineChars="0"/>
              <w:jc w:val="center"/>
              <w:rPr>
                <w:rFonts w:hint="eastAsia" w:ascii="宋体" w:hAnsi="宋体" w:eastAsia="宋体" w:cs="宋体"/>
                <w:sz w:val="24"/>
                <w:szCs w:val="24"/>
              </w:rPr>
            </w:pPr>
            <w:r>
              <w:rPr>
                <w:rFonts w:hint="eastAsia" w:ascii="宋体" w:hAnsi="宋体" w:eastAsia="宋体" w:cs="宋体"/>
                <w:sz w:val="24"/>
                <w:szCs w:val="24"/>
              </w:rPr>
              <w:t>软件</w:t>
            </w:r>
          </w:p>
        </w:tc>
        <w:tc>
          <w:tcPr>
            <w:tcW w:w="5566" w:type="dxa"/>
            <w:tcBorders>
              <w:top w:val="single" w:color="auto" w:sz="4" w:space="0"/>
              <w:left w:val="nil"/>
              <w:bottom w:val="single" w:color="auto" w:sz="4" w:space="0"/>
              <w:right w:val="single" w:color="auto" w:sz="4" w:space="0"/>
            </w:tcBorders>
            <w:vAlign w:val="center"/>
          </w:tcPr>
          <w:p w14:paraId="37E8CDDC">
            <w:pPr>
              <w:widowControl/>
              <w:jc w:val="center"/>
              <w:rPr>
                <w:rFonts w:hint="eastAsia" w:ascii="宋体" w:hAnsi="宋体" w:eastAsia="宋体" w:cs="宋体"/>
                <w:sz w:val="24"/>
                <w:szCs w:val="24"/>
              </w:rPr>
            </w:pPr>
            <w:r>
              <w:rPr>
                <w:rFonts w:hint="eastAsia" w:ascii="宋体" w:hAnsi="宋体" w:eastAsia="宋体" w:cs="宋体"/>
                <w:sz w:val="24"/>
                <w:szCs w:val="24"/>
              </w:rPr>
              <w:t>调试软件包、网络扫描、侦听工具、串口调试助手等</w:t>
            </w:r>
          </w:p>
        </w:tc>
        <w:tc>
          <w:tcPr>
            <w:tcW w:w="721" w:type="dxa"/>
            <w:tcBorders>
              <w:top w:val="single" w:color="auto" w:sz="4" w:space="0"/>
              <w:left w:val="nil"/>
              <w:bottom w:val="single" w:color="auto" w:sz="4" w:space="0"/>
              <w:right w:val="single" w:color="auto" w:sz="4" w:space="0"/>
            </w:tcBorders>
            <w:vAlign w:val="center"/>
          </w:tcPr>
          <w:p w14:paraId="4B4A6F35">
            <w:pPr>
              <w:widowControl/>
              <w:jc w:val="center"/>
              <w:rPr>
                <w:rFonts w:hint="eastAsia" w:ascii="宋体" w:hAnsi="宋体" w:eastAsia="宋体" w:cs="宋体"/>
                <w:sz w:val="24"/>
                <w:szCs w:val="24"/>
              </w:rPr>
            </w:pPr>
            <w:r>
              <w:rPr>
                <w:rFonts w:hint="eastAsia" w:ascii="宋体" w:hAnsi="宋体" w:eastAsia="宋体" w:cs="宋体"/>
                <w:sz w:val="24"/>
                <w:szCs w:val="24"/>
              </w:rPr>
              <w:t>1</w:t>
            </w:r>
          </w:p>
        </w:tc>
      </w:tr>
    </w:tbl>
    <w:p w14:paraId="1187E703">
      <w:pPr>
        <w:spacing w:line="560" w:lineRule="exact"/>
        <w:ind w:firstLine="560" w:firstLineChars="200"/>
        <w:rPr>
          <w:rFonts w:hint="eastAsia" w:ascii="仿宋" w:hAnsi="仿宋" w:eastAsia="仿宋" w:cs="仿宋"/>
          <w:sz w:val="28"/>
          <w:szCs w:val="28"/>
        </w:rPr>
      </w:pPr>
    </w:p>
    <w:p w14:paraId="1F9E666C">
      <w:pPr>
        <w:spacing w:line="360" w:lineRule="auto"/>
        <w:ind w:right="210" w:rightChars="100" w:firstLine="420"/>
        <w:jc w:val="left"/>
        <w:outlineLvl w:val="1"/>
        <w:rPr>
          <w:rFonts w:hint="eastAsia" w:eastAsia="楷体"/>
          <w:b/>
          <w:sz w:val="32"/>
          <w:szCs w:val="40"/>
        </w:rPr>
      </w:pPr>
      <w:r>
        <w:rPr>
          <w:rFonts w:hint="eastAsia" w:eastAsia="楷体"/>
          <w:b/>
          <w:sz w:val="32"/>
          <w:szCs w:val="40"/>
        </w:rPr>
        <w:t>（二）竞赛设备</w:t>
      </w:r>
    </w:p>
    <w:tbl>
      <w:tblPr>
        <w:tblStyle w:val="10"/>
        <w:tblW w:w="46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0"/>
        <w:gridCol w:w="5103"/>
        <w:gridCol w:w="928"/>
        <w:gridCol w:w="732"/>
      </w:tblGrid>
      <w:tr w14:paraId="69E0D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721" w:type="pct"/>
            <w:vAlign w:val="center"/>
          </w:tcPr>
          <w:p w14:paraId="4E587F2B">
            <w:pPr>
              <w:jc w:val="center"/>
              <w:rPr>
                <w:rFonts w:hint="eastAsia" w:ascii="宋体" w:hAnsi="宋体" w:eastAsia="宋体" w:cs="宋体"/>
                <w:b/>
                <w:szCs w:val="21"/>
              </w:rPr>
            </w:pPr>
            <w:r>
              <w:rPr>
                <w:rFonts w:hint="eastAsia" w:ascii="宋体" w:hAnsi="宋体" w:eastAsia="宋体" w:cs="宋体"/>
                <w:b/>
                <w:szCs w:val="21"/>
              </w:rPr>
              <w:t>序号</w:t>
            </w:r>
          </w:p>
        </w:tc>
        <w:tc>
          <w:tcPr>
            <w:tcW w:w="3227" w:type="pct"/>
            <w:vAlign w:val="center"/>
          </w:tcPr>
          <w:p w14:paraId="38F536F6">
            <w:pPr>
              <w:jc w:val="center"/>
              <w:rPr>
                <w:rFonts w:hint="eastAsia" w:ascii="宋体" w:hAnsi="宋体" w:eastAsia="宋体" w:cs="宋体"/>
                <w:b/>
                <w:szCs w:val="21"/>
              </w:rPr>
            </w:pPr>
            <w:r>
              <w:rPr>
                <w:rFonts w:hint="eastAsia" w:ascii="宋体" w:hAnsi="宋体" w:eastAsia="宋体" w:cs="宋体"/>
                <w:b/>
                <w:szCs w:val="21"/>
              </w:rPr>
              <w:t>设备名称</w:t>
            </w:r>
          </w:p>
        </w:tc>
        <w:tc>
          <w:tcPr>
            <w:tcW w:w="587" w:type="pct"/>
            <w:vAlign w:val="center"/>
          </w:tcPr>
          <w:p w14:paraId="51082DA3">
            <w:pPr>
              <w:jc w:val="center"/>
              <w:rPr>
                <w:rFonts w:hint="eastAsia" w:ascii="宋体" w:hAnsi="宋体" w:eastAsia="宋体" w:cs="宋体"/>
                <w:b/>
                <w:szCs w:val="21"/>
              </w:rPr>
            </w:pPr>
            <w:r>
              <w:rPr>
                <w:rFonts w:hint="eastAsia" w:ascii="宋体" w:hAnsi="宋体" w:eastAsia="宋体" w:cs="宋体"/>
                <w:b/>
                <w:szCs w:val="21"/>
              </w:rPr>
              <w:t>单位</w:t>
            </w:r>
          </w:p>
        </w:tc>
        <w:tc>
          <w:tcPr>
            <w:tcW w:w="463" w:type="pct"/>
            <w:vAlign w:val="center"/>
          </w:tcPr>
          <w:p w14:paraId="09FEFAA7">
            <w:pPr>
              <w:jc w:val="center"/>
              <w:rPr>
                <w:rFonts w:hint="eastAsia" w:ascii="宋体" w:hAnsi="宋体" w:eastAsia="宋体" w:cs="宋体"/>
                <w:b/>
                <w:szCs w:val="21"/>
              </w:rPr>
            </w:pPr>
            <w:r>
              <w:rPr>
                <w:rFonts w:hint="eastAsia" w:ascii="宋体" w:hAnsi="宋体" w:eastAsia="宋体" w:cs="宋体"/>
                <w:b/>
                <w:szCs w:val="21"/>
              </w:rPr>
              <w:t>数量</w:t>
            </w:r>
          </w:p>
        </w:tc>
      </w:tr>
      <w:tr w14:paraId="194C0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pct"/>
            <w:vAlign w:val="center"/>
          </w:tcPr>
          <w:p w14:paraId="042A869E">
            <w:pPr>
              <w:jc w:val="center"/>
              <w:rPr>
                <w:rFonts w:hint="eastAsia" w:ascii="宋体" w:hAnsi="宋体" w:eastAsia="宋体" w:cs="宋体"/>
                <w:szCs w:val="21"/>
              </w:rPr>
            </w:pPr>
            <w:r>
              <w:rPr>
                <w:rFonts w:hint="eastAsia" w:ascii="宋体" w:hAnsi="宋体" w:eastAsia="宋体" w:cs="宋体"/>
                <w:szCs w:val="21"/>
              </w:rPr>
              <w:t>1</w:t>
            </w:r>
          </w:p>
        </w:tc>
        <w:tc>
          <w:tcPr>
            <w:tcW w:w="3227" w:type="pct"/>
            <w:vAlign w:val="center"/>
          </w:tcPr>
          <w:p w14:paraId="2FA21394">
            <w:pPr>
              <w:rPr>
                <w:rFonts w:hint="eastAsia" w:ascii="宋体" w:hAnsi="宋体" w:eastAsia="宋体" w:cs="宋体"/>
                <w:szCs w:val="21"/>
              </w:rPr>
            </w:pPr>
            <w:r>
              <w:rPr>
                <w:rFonts w:hint="eastAsia" w:ascii="宋体" w:hAnsi="宋体" w:eastAsia="宋体" w:cs="宋体"/>
                <w:sz w:val="24"/>
                <w:szCs w:val="24"/>
              </w:rPr>
              <w:t>物联网全栈智能应用实训系统</w:t>
            </w:r>
          </w:p>
        </w:tc>
        <w:tc>
          <w:tcPr>
            <w:tcW w:w="587" w:type="pct"/>
            <w:vAlign w:val="center"/>
          </w:tcPr>
          <w:p w14:paraId="0F4DC38C">
            <w:pPr>
              <w:jc w:val="center"/>
              <w:rPr>
                <w:rFonts w:hint="eastAsia" w:ascii="宋体" w:hAnsi="宋体" w:eastAsia="宋体" w:cs="宋体"/>
                <w:sz w:val="24"/>
              </w:rPr>
            </w:pPr>
            <w:r>
              <w:rPr>
                <w:rFonts w:hint="eastAsia" w:ascii="宋体" w:hAnsi="宋体" w:eastAsia="宋体" w:cs="宋体"/>
                <w:sz w:val="24"/>
              </w:rPr>
              <w:t>套</w:t>
            </w:r>
          </w:p>
        </w:tc>
        <w:tc>
          <w:tcPr>
            <w:tcW w:w="463" w:type="pct"/>
            <w:vAlign w:val="center"/>
          </w:tcPr>
          <w:p w14:paraId="6988250A">
            <w:pPr>
              <w:jc w:val="center"/>
              <w:rPr>
                <w:rFonts w:hint="eastAsia" w:ascii="宋体" w:hAnsi="宋体" w:eastAsia="宋体" w:cs="宋体"/>
                <w:sz w:val="24"/>
              </w:rPr>
            </w:pPr>
            <w:r>
              <w:rPr>
                <w:rFonts w:hint="eastAsia" w:ascii="宋体" w:hAnsi="宋体" w:eastAsia="宋体" w:cs="宋体"/>
                <w:sz w:val="24"/>
              </w:rPr>
              <w:t>1</w:t>
            </w:r>
          </w:p>
        </w:tc>
      </w:tr>
      <w:tr w14:paraId="3FA18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pct"/>
            <w:vAlign w:val="center"/>
          </w:tcPr>
          <w:p w14:paraId="37D33531">
            <w:pPr>
              <w:jc w:val="center"/>
              <w:rPr>
                <w:rFonts w:hint="eastAsia" w:ascii="宋体" w:hAnsi="宋体" w:eastAsia="宋体" w:cs="宋体"/>
                <w:sz w:val="24"/>
              </w:rPr>
            </w:pPr>
            <w:r>
              <w:rPr>
                <w:rFonts w:hint="eastAsia" w:ascii="宋体" w:hAnsi="宋体" w:eastAsia="宋体" w:cs="宋体"/>
                <w:sz w:val="24"/>
              </w:rPr>
              <w:t>2</w:t>
            </w:r>
          </w:p>
        </w:tc>
        <w:tc>
          <w:tcPr>
            <w:tcW w:w="3227" w:type="pct"/>
            <w:vAlign w:val="center"/>
          </w:tcPr>
          <w:p w14:paraId="69E242B3">
            <w:pPr>
              <w:rPr>
                <w:rFonts w:hint="eastAsia" w:ascii="宋体" w:hAnsi="宋体" w:eastAsia="宋体" w:cs="宋体"/>
                <w:sz w:val="24"/>
              </w:rPr>
            </w:pPr>
            <w:r>
              <w:rPr>
                <w:rFonts w:hint="eastAsia" w:ascii="宋体" w:hAnsi="宋体" w:eastAsia="宋体" w:cs="宋体"/>
                <w:sz w:val="24"/>
              </w:rPr>
              <w:t>物联网工具箱及耗材包</w:t>
            </w:r>
          </w:p>
        </w:tc>
        <w:tc>
          <w:tcPr>
            <w:tcW w:w="587" w:type="pct"/>
            <w:vAlign w:val="center"/>
          </w:tcPr>
          <w:p w14:paraId="653CDD1B">
            <w:pPr>
              <w:jc w:val="center"/>
              <w:rPr>
                <w:rFonts w:hint="eastAsia" w:ascii="宋体" w:hAnsi="宋体" w:eastAsia="宋体" w:cs="宋体"/>
                <w:sz w:val="24"/>
              </w:rPr>
            </w:pPr>
            <w:r>
              <w:rPr>
                <w:rFonts w:hint="eastAsia" w:ascii="宋体" w:hAnsi="宋体" w:eastAsia="宋体" w:cs="宋体"/>
                <w:sz w:val="24"/>
              </w:rPr>
              <w:t>套</w:t>
            </w:r>
          </w:p>
        </w:tc>
        <w:tc>
          <w:tcPr>
            <w:tcW w:w="463" w:type="pct"/>
            <w:vAlign w:val="center"/>
          </w:tcPr>
          <w:p w14:paraId="008DB932">
            <w:pPr>
              <w:jc w:val="center"/>
              <w:rPr>
                <w:rFonts w:hint="eastAsia" w:ascii="宋体" w:hAnsi="宋体" w:eastAsia="宋体" w:cs="宋体"/>
                <w:sz w:val="24"/>
              </w:rPr>
            </w:pPr>
            <w:r>
              <w:rPr>
                <w:rFonts w:hint="eastAsia" w:ascii="宋体" w:hAnsi="宋体" w:eastAsia="宋体" w:cs="宋体"/>
                <w:sz w:val="24"/>
              </w:rPr>
              <w:t>1</w:t>
            </w:r>
          </w:p>
        </w:tc>
      </w:tr>
      <w:tr w14:paraId="1328F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pct"/>
            <w:vAlign w:val="center"/>
          </w:tcPr>
          <w:p w14:paraId="46CE251E">
            <w:pPr>
              <w:jc w:val="center"/>
              <w:rPr>
                <w:rFonts w:hint="eastAsia" w:ascii="宋体" w:hAnsi="宋体" w:eastAsia="宋体" w:cs="宋体"/>
                <w:sz w:val="24"/>
              </w:rPr>
            </w:pPr>
            <w:r>
              <w:rPr>
                <w:rFonts w:hint="eastAsia" w:ascii="宋体" w:hAnsi="宋体" w:eastAsia="宋体" w:cs="宋体"/>
                <w:sz w:val="24"/>
              </w:rPr>
              <w:t>3</w:t>
            </w:r>
          </w:p>
        </w:tc>
        <w:tc>
          <w:tcPr>
            <w:tcW w:w="3227" w:type="pct"/>
            <w:vAlign w:val="center"/>
          </w:tcPr>
          <w:p w14:paraId="3B33F9C9">
            <w:pPr>
              <w:rPr>
                <w:rFonts w:hint="eastAsia" w:ascii="宋体" w:hAnsi="宋体" w:eastAsia="宋体" w:cs="宋体"/>
                <w:sz w:val="24"/>
              </w:rPr>
            </w:pPr>
            <w:r>
              <w:rPr>
                <w:rFonts w:hint="eastAsia" w:ascii="宋体" w:hAnsi="宋体" w:eastAsia="宋体" w:cs="宋体"/>
                <w:sz w:val="24"/>
              </w:rPr>
              <w:t>工作台</w:t>
            </w:r>
          </w:p>
        </w:tc>
        <w:tc>
          <w:tcPr>
            <w:tcW w:w="587" w:type="pct"/>
            <w:vAlign w:val="center"/>
          </w:tcPr>
          <w:p w14:paraId="1BFDCCD2">
            <w:pPr>
              <w:jc w:val="center"/>
              <w:rPr>
                <w:rFonts w:hint="eastAsia" w:ascii="宋体" w:hAnsi="宋体" w:eastAsia="宋体" w:cs="宋体"/>
                <w:sz w:val="24"/>
              </w:rPr>
            </w:pPr>
            <w:r>
              <w:rPr>
                <w:rFonts w:hint="eastAsia" w:ascii="宋体" w:hAnsi="宋体" w:eastAsia="宋体" w:cs="宋体"/>
                <w:sz w:val="24"/>
              </w:rPr>
              <w:t>张</w:t>
            </w:r>
          </w:p>
        </w:tc>
        <w:tc>
          <w:tcPr>
            <w:tcW w:w="463" w:type="pct"/>
            <w:vAlign w:val="center"/>
          </w:tcPr>
          <w:p w14:paraId="6EAA9A21">
            <w:pPr>
              <w:jc w:val="center"/>
              <w:rPr>
                <w:rFonts w:hint="eastAsia" w:ascii="宋体" w:hAnsi="宋体" w:eastAsia="宋体" w:cs="宋体"/>
                <w:sz w:val="24"/>
              </w:rPr>
            </w:pPr>
            <w:r>
              <w:rPr>
                <w:rFonts w:hint="eastAsia" w:ascii="宋体" w:hAnsi="宋体" w:eastAsia="宋体" w:cs="宋体"/>
                <w:sz w:val="24"/>
              </w:rPr>
              <w:t>2</w:t>
            </w:r>
          </w:p>
        </w:tc>
      </w:tr>
      <w:tr w14:paraId="01B7F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1" w:type="pct"/>
            <w:vAlign w:val="center"/>
          </w:tcPr>
          <w:p w14:paraId="3358545E">
            <w:pPr>
              <w:jc w:val="center"/>
              <w:rPr>
                <w:rFonts w:hint="eastAsia" w:ascii="宋体" w:hAnsi="宋体" w:eastAsia="宋体" w:cs="宋体"/>
                <w:sz w:val="24"/>
              </w:rPr>
            </w:pPr>
            <w:r>
              <w:rPr>
                <w:rFonts w:hint="eastAsia" w:ascii="宋体" w:hAnsi="宋体" w:eastAsia="宋体" w:cs="宋体"/>
                <w:sz w:val="24"/>
              </w:rPr>
              <w:t>4</w:t>
            </w:r>
          </w:p>
        </w:tc>
        <w:tc>
          <w:tcPr>
            <w:tcW w:w="3227" w:type="pct"/>
            <w:vAlign w:val="center"/>
          </w:tcPr>
          <w:p w14:paraId="3FC5A481">
            <w:pPr>
              <w:rPr>
                <w:rFonts w:hint="eastAsia" w:ascii="宋体" w:hAnsi="宋体" w:eastAsia="宋体" w:cs="宋体"/>
                <w:sz w:val="24"/>
              </w:rPr>
            </w:pPr>
            <w:r>
              <w:rPr>
                <w:rFonts w:hint="eastAsia" w:ascii="宋体" w:hAnsi="宋体" w:eastAsia="宋体" w:cs="宋体"/>
                <w:sz w:val="24"/>
              </w:rPr>
              <w:t>计算机</w:t>
            </w:r>
          </w:p>
        </w:tc>
        <w:tc>
          <w:tcPr>
            <w:tcW w:w="587" w:type="pct"/>
            <w:vAlign w:val="center"/>
          </w:tcPr>
          <w:p w14:paraId="293F578B">
            <w:pPr>
              <w:jc w:val="center"/>
              <w:rPr>
                <w:rFonts w:hint="eastAsia" w:ascii="宋体" w:hAnsi="宋体" w:eastAsia="宋体" w:cs="宋体"/>
                <w:sz w:val="24"/>
              </w:rPr>
            </w:pPr>
            <w:r>
              <w:rPr>
                <w:rFonts w:hint="eastAsia" w:ascii="宋体" w:hAnsi="宋体" w:eastAsia="宋体" w:cs="宋体"/>
                <w:sz w:val="24"/>
              </w:rPr>
              <w:t>台</w:t>
            </w:r>
          </w:p>
        </w:tc>
        <w:tc>
          <w:tcPr>
            <w:tcW w:w="463" w:type="pct"/>
            <w:vAlign w:val="center"/>
          </w:tcPr>
          <w:p w14:paraId="3C08C2CB">
            <w:pPr>
              <w:jc w:val="center"/>
              <w:rPr>
                <w:rFonts w:hint="eastAsia" w:ascii="宋体" w:hAnsi="宋体" w:eastAsia="宋体" w:cs="宋体"/>
                <w:sz w:val="24"/>
              </w:rPr>
            </w:pPr>
            <w:r>
              <w:rPr>
                <w:rFonts w:hint="eastAsia" w:ascii="宋体" w:hAnsi="宋体" w:eastAsia="宋体" w:cs="宋体"/>
                <w:sz w:val="24"/>
              </w:rPr>
              <w:t>2</w:t>
            </w:r>
          </w:p>
        </w:tc>
      </w:tr>
    </w:tbl>
    <w:p w14:paraId="44741246">
      <w:pPr>
        <w:pStyle w:val="2"/>
        <w:rPr>
          <w:rFonts w:hint="eastAsia" w:ascii="黑体" w:hAnsi="黑体" w:eastAsia="黑体" w:cs="黑体"/>
          <w:bCs w:val="0"/>
          <w:kern w:val="2"/>
          <w:sz w:val="30"/>
          <w:szCs w:val="30"/>
        </w:rPr>
      </w:pPr>
      <w:r>
        <w:rPr>
          <w:rFonts w:hint="eastAsia" w:ascii="黑体" w:hAnsi="黑体" w:eastAsia="黑体" w:cs="黑体"/>
          <w:bCs w:val="0"/>
          <w:kern w:val="2"/>
          <w:sz w:val="30"/>
          <w:szCs w:val="30"/>
        </w:rPr>
        <w:t>十一、成绩评定</w:t>
      </w:r>
    </w:p>
    <w:p w14:paraId="3FE7881A">
      <w:pPr>
        <w:ind w:firstLine="560" w:firstLineChars="200"/>
        <w:rPr>
          <w:rFonts w:hint="eastAsia" w:ascii="仿宋" w:hAnsi="仿宋" w:eastAsia="仿宋" w:cs="仿宋"/>
          <w:sz w:val="28"/>
          <w:szCs w:val="30"/>
        </w:rPr>
      </w:pPr>
      <w:r>
        <w:rPr>
          <w:rFonts w:hint="eastAsia" w:ascii="仿宋" w:hAnsi="仿宋" w:eastAsia="仿宋" w:cs="仿宋"/>
          <w:sz w:val="28"/>
          <w:szCs w:val="30"/>
        </w:rPr>
        <w:t>竞赛评分本着公平公正公开的原则，评分标准注重对参赛选手价值观与态度、物联网技术应用能力、团队协作与沟通及组织与管理能力的考察。以技能考核为主，兼顾团队协作精神和职业道德素养综合评定。</w:t>
      </w:r>
    </w:p>
    <w:p w14:paraId="34D61612">
      <w:pPr>
        <w:spacing w:line="360" w:lineRule="auto"/>
        <w:ind w:right="210" w:rightChars="100" w:firstLine="420"/>
        <w:jc w:val="left"/>
        <w:outlineLvl w:val="1"/>
        <w:rPr>
          <w:rFonts w:hint="eastAsia" w:eastAsia="楷体"/>
          <w:b/>
          <w:sz w:val="32"/>
          <w:szCs w:val="40"/>
        </w:rPr>
      </w:pPr>
      <w:r>
        <w:rPr>
          <w:rFonts w:hint="eastAsia" w:eastAsia="楷体"/>
          <w:b/>
          <w:sz w:val="32"/>
          <w:szCs w:val="40"/>
        </w:rPr>
        <w:t>（一）评分规则</w:t>
      </w:r>
    </w:p>
    <w:p w14:paraId="4CC02A1E">
      <w:pPr>
        <w:ind w:firstLine="560" w:firstLineChars="200"/>
        <w:rPr>
          <w:rFonts w:hint="eastAsia" w:ascii="仿宋" w:hAnsi="仿宋" w:eastAsia="仿宋" w:cs="仿宋"/>
          <w:sz w:val="28"/>
          <w:szCs w:val="30"/>
        </w:rPr>
      </w:pPr>
      <w:r>
        <w:rPr>
          <w:rFonts w:hint="eastAsia" w:ascii="仿宋" w:hAnsi="仿宋" w:eastAsia="仿宋" w:cs="仿宋"/>
          <w:sz w:val="28"/>
          <w:szCs w:val="30"/>
        </w:rPr>
        <w:t>本项目评分标准分为：评价分（主观）、测量分（客观）。按各模块评分表分别设置评分小组，由裁判长指定各组裁判人员，分别对各模块进行评分。各评分小组负责所有选手同一指标的现场评分，并签字确认评分结果。</w:t>
      </w:r>
    </w:p>
    <w:p w14:paraId="7472C76C">
      <w:pPr>
        <w:ind w:firstLine="560" w:firstLineChars="200"/>
        <w:rPr>
          <w:rFonts w:hint="eastAsia" w:ascii="仿宋" w:hAnsi="仿宋" w:eastAsia="仿宋" w:cs="仿宋"/>
          <w:sz w:val="28"/>
          <w:szCs w:val="30"/>
        </w:rPr>
      </w:pPr>
      <w:r>
        <w:rPr>
          <w:rFonts w:hint="eastAsia" w:ascii="仿宋" w:hAnsi="仿宋" w:eastAsia="仿宋" w:cs="仿宋"/>
          <w:sz w:val="28"/>
          <w:szCs w:val="30"/>
        </w:rPr>
        <w:t>1、评价分（主观）</w:t>
      </w:r>
    </w:p>
    <w:p w14:paraId="6F47B1F0">
      <w:pPr>
        <w:spacing w:line="360" w:lineRule="auto"/>
        <w:ind w:firstLine="560" w:firstLineChars="200"/>
        <w:rPr>
          <w:rFonts w:hint="eastAsia" w:ascii="仿宋" w:hAnsi="仿宋" w:eastAsia="仿宋" w:cs="仿宋"/>
          <w:sz w:val="28"/>
        </w:rPr>
      </w:pPr>
      <w:r>
        <w:rPr>
          <w:rFonts w:hint="eastAsia" w:ascii="仿宋" w:hAnsi="仿宋" w:eastAsia="仿宋" w:cs="仿宋"/>
          <w:sz w:val="28"/>
        </w:rPr>
        <w:t>评价分（Judgement）打分方式：3名（N）及以上裁判为一组，各自单独评分，计算出平均权重分，除以3（N）后再乘以该子项的分值计算出实际得分。裁判相互间分差必须小于等于1分，否则需要给出确切理由并在小组长或裁判长的监督下进行调分。</w:t>
      </w:r>
    </w:p>
    <w:p w14:paraId="4D769CB1">
      <w:pPr>
        <w:ind w:firstLine="560" w:firstLineChars="200"/>
        <w:rPr>
          <w:rFonts w:hint="eastAsia" w:ascii="仿宋" w:hAnsi="仿宋" w:eastAsia="仿宋" w:cs="仿宋"/>
          <w:sz w:val="28"/>
          <w:szCs w:val="30"/>
        </w:rPr>
      </w:pPr>
      <w:r>
        <w:rPr>
          <w:rFonts w:hint="eastAsia" w:ascii="仿宋" w:hAnsi="仿宋" w:eastAsia="仿宋" w:cs="仿宋"/>
          <w:sz w:val="28"/>
          <w:szCs w:val="30"/>
        </w:rPr>
        <w:t>权重表如下：</w:t>
      </w:r>
    </w:p>
    <w:tbl>
      <w:tblPr>
        <w:tblStyle w:val="10"/>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10"/>
        <w:gridCol w:w="7012"/>
      </w:tblGrid>
      <w:tr w14:paraId="6D8C3D4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tcBorders>
              <w:top w:val="single" w:color="auto" w:sz="12" w:space="0"/>
              <w:left w:val="single" w:color="auto" w:sz="4" w:space="0"/>
              <w:bottom w:val="single" w:color="auto" w:sz="4" w:space="0"/>
            </w:tcBorders>
            <w:vAlign w:val="center"/>
          </w:tcPr>
          <w:p w14:paraId="7AB5E58C">
            <w:pPr>
              <w:jc w:val="center"/>
              <w:rPr>
                <w:rFonts w:hint="eastAsia" w:ascii="宋体" w:hAnsi="宋体" w:eastAsia="宋体" w:cs="宋体"/>
                <w:b/>
                <w:sz w:val="24"/>
                <w:szCs w:val="24"/>
              </w:rPr>
            </w:pPr>
            <w:r>
              <w:rPr>
                <w:rFonts w:hint="eastAsia" w:ascii="宋体" w:hAnsi="宋体" w:eastAsia="宋体" w:cs="宋体"/>
                <w:b/>
                <w:sz w:val="24"/>
                <w:szCs w:val="24"/>
              </w:rPr>
              <w:t>权重分值</w:t>
            </w:r>
          </w:p>
        </w:tc>
        <w:tc>
          <w:tcPr>
            <w:tcW w:w="4114" w:type="pct"/>
            <w:tcBorders>
              <w:top w:val="single" w:color="auto" w:sz="12" w:space="0"/>
              <w:bottom w:val="single" w:color="auto" w:sz="4" w:space="0"/>
              <w:right w:val="single" w:color="auto" w:sz="4" w:space="0"/>
            </w:tcBorders>
            <w:vAlign w:val="center"/>
          </w:tcPr>
          <w:p w14:paraId="1F73C2C7">
            <w:pPr>
              <w:jc w:val="center"/>
              <w:rPr>
                <w:rFonts w:hint="eastAsia" w:ascii="宋体" w:hAnsi="宋体" w:eastAsia="宋体" w:cs="宋体"/>
                <w:b/>
                <w:sz w:val="24"/>
                <w:szCs w:val="24"/>
              </w:rPr>
            </w:pPr>
            <w:r>
              <w:rPr>
                <w:rFonts w:hint="eastAsia" w:ascii="宋体" w:hAnsi="宋体" w:eastAsia="宋体" w:cs="宋体"/>
                <w:b/>
                <w:sz w:val="24"/>
                <w:szCs w:val="24"/>
              </w:rPr>
              <w:t>要求描述</w:t>
            </w:r>
          </w:p>
        </w:tc>
      </w:tr>
      <w:tr w14:paraId="375A09D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tcBorders>
              <w:top w:val="single" w:color="auto" w:sz="4" w:space="0"/>
              <w:left w:val="single" w:color="auto" w:sz="4" w:space="0"/>
              <w:bottom w:val="single" w:color="auto" w:sz="4" w:space="0"/>
            </w:tcBorders>
            <w:vAlign w:val="center"/>
          </w:tcPr>
          <w:p w14:paraId="65AA13AA">
            <w:pPr>
              <w:jc w:val="center"/>
              <w:rPr>
                <w:rFonts w:hint="eastAsia" w:ascii="宋体" w:hAnsi="宋体" w:eastAsia="宋体" w:cs="宋体"/>
                <w:sz w:val="24"/>
                <w:szCs w:val="24"/>
              </w:rPr>
            </w:pPr>
            <w:r>
              <w:rPr>
                <w:rFonts w:hint="eastAsia" w:ascii="宋体" w:hAnsi="宋体" w:eastAsia="宋体" w:cs="宋体"/>
                <w:sz w:val="24"/>
                <w:szCs w:val="24"/>
              </w:rPr>
              <w:t>0分</w:t>
            </w:r>
          </w:p>
        </w:tc>
        <w:tc>
          <w:tcPr>
            <w:tcW w:w="4114" w:type="pct"/>
            <w:tcBorders>
              <w:top w:val="single" w:color="auto" w:sz="4" w:space="0"/>
              <w:bottom w:val="single" w:color="auto" w:sz="4" w:space="0"/>
              <w:right w:val="single" w:color="auto" w:sz="4" w:space="0"/>
            </w:tcBorders>
            <w:vAlign w:val="center"/>
          </w:tcPr>
          <w:p w14:paraId="33E32C86">
            <w:pPr>
              <w:jc w:val="left"/>
              <w:rPr>
                <w:rFonts w:hint="eastAsia" w:ascii="宋体" w:hAnsi="宋体" w:eastAsia="宋体" w:cs="宋体"/>
                <w:sz w:val="24"/>
                <w:szCs w:val="24"/>
              </w:rPr>
            </w:pPr>
            <w:r>
              <w:rPr>
                <w:rFonts w:hint="eastAsia" w:ascii="宋体" w:hAnsi="宋体" w:eastAsia="宋体" w:cs="宋体"/>
                <w:sz w:val="24"/>
                <w:szCs w:val="24"/>
              </w:rPr>
              <w:t>各方面均低于行业标准，包括“未做尝试”</w:t>
            </w:r>
          </w:p>
        </w:tc>
      </w:tr>
      <w:tr w14:paraId="7C3F89C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tcBorders>
              <w:top w:val="single" w:color="auto" w:sz="4" w:space="0"/>
              <w:left w:val="single" w:color="auto" w:sz="4" w:space="0"/>
              <w:bottom w:val="single" w:color="auto" w:sz="4" w:space="0"/>
            </w:tcBorders>
            <w:vAlign w:val="center"/>
          </w:tcPr>
          <w:p w14:paraId="1CD5188F">
            <w:pPr>
              <w:jc w:val="center"/>
              <w:rPr>
                <w:rFonts w:hint="eastAsia" w:ascii="宋体" w:hAnsi="宋体" w:eastAsia="宋体" w:cs="宋体"/>
                <w:sz w:val="24"/>
                <w:szCs w:val="24"/>
              </w:rPr>
            </w:pPr>
            <w:r>
              <w:rPr>
                <w:rFonts w:hint="eastAsia" w:ascii="宋体" w:hAnsi="宋体" w:eastAsia="宋体" w:cs="宋体"/>
                <w:sz w:val="24"/>
                <w:szCs w:val="24"/>
              </w:rPr>
              <w:t>1分</w:t>
            </w:r>
          </w:p>
        </w:tc>
        <w:tc>
          <w:tcPr>
            <w:tcW w:w="4114" w:type="pct"/>
            <w:tcBorders>
              <w:top w:val="single" w:color="auto" w:sz="4" w:space="0"/>
              <w:bottom w:val="single" w:color="auto" w:sz="4" w:space="0"/>
              <w:right w:val="single" w:color="auto" w:sz="4" w:space="0"/>
            </w:tcBorders>
            <w:vAlign w:val="center"/>
          </w:tcPr>
          <w:p w14:paraId="4304547D">
            <w:pPr>
              <w:jc w:val="left"/>
              <w:rPr>
                <w:rFonts w:hint="eastAsia" w:ascii="宋体" w:hAnsi="宋体" w:eastAsia="宋体" w:cs="宋体"/>
                <w:sz w:val="24"/>
                <w:szCs w:val="24"/>
              </w:rPr>
            </w:pPr>
            <w:r>
              <w:rPr>
                <w:rFonts w:hint="eastAsia" w:ascii="宋体" w:hAnsi="宋体" w:eastAsia="宋体" w:cs="宋体"/>
                <w:sz w:val="24"/>
                <w:szCs w:val="24"/>
              </w:rPr>
              <w:t>达到行业标准</w:t>
            </w:r>
          </w:p>
        </w:tc>
      </w:tr>
      <w:tr w14:paraId="1B7A9E1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tcBorders>
              <w:top w:val="single" w:color="auto" w:sz="4" w:space="0"/>
              <w:left w:val="single" w:color="auto" w:sz="4" w:space="0"/>
              <w:bottom w:val="single" w:color="auto" w:sz="4" w:space="0"/>
            </w:tcBorders>
            <w:vAlign w:val="center"/>
          </w:tcPr>
          <w:p w14:paraId="29EC50D6">
            <w:pPr>
              <w:jc w:val="center"/>
              <w:rPr>
                <w:rFonts w:hint="eastAsia" w:ascii="宋体" w:hAnsi="宋体" w:eastAsia="宋体" w:cs="宋体"/>
                <w:sz w:val="24"/>
                <w:szCs w:val="24"/>
              </w:rPr>
            </w:pPr>
            <w:r>
              <w:rPr>
                <w:rFonts w:hint="eastAsia" w:ascii="宋体" w:hAnsi="宋体" w:eastAsia="宋体" w:cs="宋体"/>
                <w:sz w:val="24"/>
                <w:szCs w:val="24"/>
              </w:rPr>
              <w:t>2分</w:t>
            </w:r>
          </w:p>
        </w:tc>
        <w:tc>
          <w:tcPr>
            <w:tcW w:w="4114" w:type="pct"/>
            <w:tcBorders>
              <w:top w:val="single" w:color="auto" w:sz="4" w:space="0"/>
              <w:bottom w:val="single" w:color="auto" w:sz="4" w:space="0"/>
              <w:right w:val="single" w:color="auto" w:sz="4" w:space="0"/>
            </w:tcBorders>
            <w:vAlign w:val="center"/>
          </w:tcPr>
          <w:p w14:paraId="640D1A8E">
            <w:pPr>
              <w:jc w:val="left"/>
              <w:rPr>
                <w:rFonts w:hint="eastAsia" w:ascii="宋体" w:hAnsi="宋体" w:eastAsia="宋体" w:cs="宋体"/>
                <w:sz w:val="24"/>
                <w:szCs w:val="24"/>
              </w:rPr>
            </w:pPr>
            <w:r>
              <w:rPr>
                <w:rFonts w:hint="eastAsia" w:ascii="宋体" w:hAnsi="宋体" w:eastAsia="宋体" w:cs="宋体"/>
                <w:sz w:val="24"/>
                <w:szCs w:val="24"/>
              </w:rPr>
              <w:t>达到行业标准，且某些方面超过标准</w:t>
            </w:r>
          </w:p>
        </w:tc>
      </w:tr>
      <w:tr w14:paraId="2EDB470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tcBorders>
              <w:top w:val="single" w:color="auto" w:sz="4" w:space="0"/>
              <w:left w:val="single" w:color="auto" w:sz="4" w:space="0"/>
              <w:bottom w:val="single" w:color="auto" w:sz="12" w:space="0"/>
            </w:tcBorders>
            <w:vAlign w:val="center"/>
          </w:tcPr>
          <w:p w14:paraId="29593229">
            <w:pPr>
              <w:jc w:val="center"/>
              <w:rPr>
                <w:rFonts w:hint="eastAsia" w:ascii="宋体" w:hAnsi="宋体" w:eastAsia="宋体" w:cs="宋体"/>
                <w:sz w:val="24"/>
                <w:szCs w:val="24"/>
              </w:rPr>
            </w:pPr>
            <w:r>
              <w:rPr>
                <w:rFonts w:hint="eastAsia" w:ascii="宋体" w:hAnsi="宋体" w:eastAsia="宋体" w:cs="宋体"/>
                <w:sz w:val="24"/>
                <w:szCs w:val="24"/>
              </w:rPr>
              <w:t>3分</w:t>
            </w:r>
          </w:p>
        </w:tc>
        <w:tc>
          <w:tcPr>
            <w:tcW w:w="4114" w:type="pct"/>
            <w:tcBorders>
              <w:top w:val="single" w:color="auto" w:sz="4" w:space="0"/>
              <w:bottom w:val="single" w:color="auto" w:sz="12" w:space="0"/>
              <w:right w:val="single" w:color="auto" w:sz="4" w:space="0"/>
            </w:tcBorders>
            <w:vAlign w:val="center"/>
          </w:tcPr>
          <w:p w14:paraId="556A5852">
            <w:pPr>
              <w:jc w:val="left"/>
              <w:rPr>
                <w:rFonts w:hint="eastAsia" w:ascii="宋体" w:hAnsi="宋体" w:eastAsia="宋体" w:cs="宋体"/>
                <w:sz w:val="24"/>
                <w:szCs w:val="24"/>
              </w:rPr>
            </w:pPr>
            <w:r>
              <w:rPr>
                <w:rFonts w:hint="eastAsia" w:ascii="宋体" w:hAnsi="宋体" w:eastAsia="宋体" w:cs="宋体"/>
                <w:sz w:val="24"/>
                <w:szCs w:val="24"/>
              </w:rPr>
              <w:t>达到行业期待的优秀水平</w:t>
            </w:r>
          </w:p>
        </w:tc>
      </w:tr>
    </w:tbl>
    <w:p w14:paraId="5C5B5E9B"/>
    <w:p w14:paraId="7EEDF365">
      <w:pPr>
        <w:ind w:firstLine="480"/>
        <w:rPr>
          <w:rFonts w:ascii="仿宋" w:hAnsi="仿宋" w:eastAsia="仿宋"/>
          <w:sz w:val="28"/>
          <w:szCs w:val="28"/>
        </w:rPr>
      </w:pPr>
      <w:r>
        <w:rPr>
          <w:rFonts w:hint="eastAsia" w:ascii="仿宋" w:hAnsi="仿宋" w:eastAsia="仿宋"/>
          <w:sz w:val="28"/>
          <w:szCs w:val="28"/>
        </w:rPr>
        <w:t>（样例</w:t>
      </w:r>
      <w:r>
        <w:rPr>
          <w:rFonts w:ascii="仿宋" w:hAnsi="仿宋" w:eastAsia="仿宋"/>
          <w:sz w:val="28"/>
          <w:szCs w:val="28"/>
        </w:rPr>
        <w:t>：</w:t>
      </w:r>
      <w:r>
        <w:rPr>
          <w:rFonts w:hint="eastAsia" w:ascii="仿宋" w:hAnsi="仿宋" w:eastAsia="仿宋"/>
          <w:sz w:val="28"/>
          <w:szCs w:val="28"/>
        </w:rPr>
        <w:t>X区连线整齐评价标准参考</w:t>
      </w:r>
      <w:r>
        <w:rPr>
          <w:rFonts w:hint="eastAsia" w:ascii="仿宋" w:hAnsi="仿宋" w:eastAsia="仿宋" w:cs="宋体"/>
          <w:color w:val="000000"/>
          <w:kern w:val="0"/>
          <w:sz w:val="28"/>
          <w:szCs w:val="28"/>
        </w:rPr>
        <w:t>）</w:t>
      </w:r>
    </w:p>
    <w:tbl>
      <w:tblPr>
        <w:tblStyle w:val="10"/>
        <w:tblW w:w="852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7012"/>
      </w:tblGrid>
      <w:tr w14:paraId="4A67EE2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12" w:space="0"/>
              <w:left w:val="single" w:color="auto" w:sz="4" w:space="0"/>
              <w:bottom w:val="single" w:color="auto" w:sz="4" w:space="0"/>
            </w:tcBorders>
            <w:vAlign w:val="center"/>
          </w:tcPr>
          <w:p w14:paraId="0BDBA12A">
            <w:pPr>
              <w:jc w:val="center"/>
              <w:rPr>
                <w:rFonts w:hint="eastAsia" w:ascii="宋体" w:hAnsi="宋体" w:eastAsia="宋体" w:cs="宋体"/>
                <w:b/>
                <w:sz w:val="24"/>
                <w:szCs w:val="24"/>
              </w:rPr>
            </w:pPr>
            <w:r>
              <w:rPr>
                <w:rFonts w:hint="eastAsia" w:ascii="宋体" w:hAnsi="宋体" w:eastAsia="宋体" w:cs="宋体"/>
                <w:b/>
                <w:sz w:val="24"/>
                <w:szCs w:val="24"/>
              </w:rPr>
              <w:t>权重分值</w:t>
            </w:r>
          </w:p>
        </w:tc>
        <w:tc>
          <w:tcPr>
            <w:tcW w:w="7012" w:type="dxa"/>
            <w:tcBorders>
              <w:top w:val="single" w:color="auto" w:sz="12" w:space="0"/>
              <w:bottom w:val="single" w:color="auto" w:sz="4" w:space="0"/>
              <w:right w:val="single" w:color="auto" w:sz="4" w:space="0"/>
            </w:tcBorders>
            <w:vAlign w:val="center"/>
          </w:tcPr>
          <w:p w14:paraId="3B763312">
            <w:pPr>
              <w:jc w:val="center"/>
              <w:rPr>
                <w:rFonts w:hint="eastAsia" w:ascii="宋体" w:hAnsi="宋体" w:eastAsia="宋体" w:cs="宋体"/>
                <w:b/>
                <w:sz w:val="24"/>
                <w:szCs w:val="24"/>
              </w:rPr>
            </w:pPr>
            <w:r>
              <w:rPr>
                <w:rFonts w:hint="eastAsia" w:ascii="宋体" w:hAnsi="宋体" w:eastAsia="宋体" w:cs="宋体"/>
                <w:b/>
                <w:sz w:val="24"/>
                <w:szCs w:val="24"/>
              </w:rPr>
              <w:t>要求描述</w:t>
            </w:r>
          </w:p>
        </w:tc>
      </w:tr>
      <w:tr w14:paraId="57AB249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4" w:space="0"/>
              <w:left w:val="single" w:color="auto" w:sz="4" w:space="0"/>
              <w:bottom w:val="single" w:color="auto" w:sz="4" w:space="0"/>
            </w:tcBorders>
            <w:vAlign w:val="center"/>
          </w:tcPr>
          <w:p w14:paraId="442482A7">
            <w:pPr>
              <w:jc w:val="center"/>
              <w:rPr>
                <w:rFonts w:hint="eastAsia" w:ascii="宋体" w:hAnsi="宋体" w:eastAsia="宋体" w:cs="宋体"/>
                <w:sz w:val="24"/>
                <w:szCs w:val="24"/>
              </w:rPr>
            </w:pPr>
            <w:r>
              <w:rPr>
                <w:rFonts w:hint="eastAsia" w:ascii="宋体" w:hAnsi="宋体" w:eastAsia="宋体" w:cs="宋体"/>
                <w:sz w:val="24"/>
                <w:szCs w:val="24"/>
              </w:rPr>
              <w:t>0分</w:t>
            </w:r>
          </w:p>
        </w:tc>
        <w:tc>
          <w:tcPr>
            <w:tcW w:w="7012" w:type="dxa"/>
            <w:tcBorders>
              <w:top w:val="single" w:color="auto" w:sz="4" w:space="0"/>
              <w:bottom w:val="single" w:color="auto" w:sz="4" w:space="0"/>
              <w:right w:val="single" w:color="auto" w:sz="4" w:space="0"/>
            </w:tcBorders>
            <w:vAlign w:val="center"/>
          </w:tcPr>
          <w:p w14:paraId="0086F49B">
            <w:pPr>
              <w:jc w:val="left"/>
              <w:rPr>
                <w:rFonts w:hint="eastAsia" w:ascii="宋体" w:hAnsi="宋体" w:eastAsia="宋体" w:cs="宋体"/>
                <w:sz w:val="24"/>
                <w:szCs w:val="24"/>
              </w:rPr>
            </w:pPr>
            <w:r>
              <w:rPr>
                <w:rFonts w:hint="eastAsia" w:ascii="宋体" w:hAnsi="宋体" w:eastAsia="宋体" w:cs="宋体"/>
                <w:color w:val="000000"/>
                <w:kern w:val="0"/>
                <w:sz w:val="24"/>
                <w:szCs w:val="24"/>
              </w:rPr>
              <w:t>不接受（接线杂乱，未完成接线数量超过1根及以上）</w:t>
            </w:r>
          </w:p>
        </w:tc>
      </w:tr>
      <w:tr w14:paraId="14ECD4A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4" w:space="0"/>
              <w:left w:val="single" w:color="auto" w:sz="4" w:space="0"/>
              <w:bottom w:val="single" w:color="auto" w:sz="4" w:space="0"/>
            </w:tcBorders>
            <w:vAlign w:val="center"/>
          </w:tcPr>
          <w:p w14:paraId="5BF36D76">
            <w:pPr>
              <w:jc w:val="center"/>
              <w:rPr>
                <w:rFonts w:hint="eastAsia" w:ascii="宋体" w:hAnsi="宋体" w:eastAsia="宋体" w:cs="宋体"/>
                <w:sz w:val="24"/>
                <w:szCs w:val="24"/>
              </w:rPr>
            </w:pPr>
            <w:r>
              <w:rPr>
                <w:rFonts w:hint="eastAsia" w:ascii="宋体" w:hAnsi="宋体" w:eastAsia="宋体" w:cs="宋体"/>
                <w:sz w:val="24"/>
                <w:szCs w:val="24"/>
              </w:rPr>
              <w:t>1分</w:t>
            </w:r>
          </w:p>
        </w:tc>
        <w:tc>
          <w:tcPr>
            <w:tcW w:w="7012" w:type="dxa"/>
            <w:tcBorders>
              <w:top w:val="single" w:color="auto" w:sz="4" w:space="0"/>
              <w:bottom w:val="single" w:color="auto" w:sz="4" w:space="0"/>
              <w:right w:val="single" w:color="auto" w:sz="4" w:space="0"/>
            </w:tcBorders>
            <w:vAlign w:val="center"/>
          </w:tcPr>
          <w:p w14:paraId="5D7C85A1">
            <w:pPr>
              <w:jc w:val="left"/>
              <w:rPr>
                <w:rFonts w:hint="eastAsia" w:ascii="宋体" w:hAnsi="宋体" w:eastAsia="宋体" w:cs="宋体"/>
                <w:sz w:val="24"/>
                <w:szCs w:val="24"/>
              </w:rPr>
            </w:pPr>
            <w:r>
              <w:rPr>
                <w:rFonts w:hint="eastAsia" w:ascii="宋体" w:hAnsi="宋体" w:eastAsia="宋体" w:cs="宋体"/>
                <w:color w:val="000000"/>
                <w:kern w:val="0"/>
                <w:sz w:val="24"/>
                <w:szCs w:val="24"/>
              </w:rPr>
              <w:t>符合行业标准（能够在线槽中规范连线）</w:t>
            </w:r>
          </w:p>
        </w:tc>
      </w:tr>
      <w:tr w14:paraId="244A563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4" w:space="0"/>
              <w:left w:val="single" w:color="auto" w:sz="4" w:space="0"/>
              <w:bottom w:val="single" w:color="auto" w:sz="4" w:space="0"/>
            </w:tcBorders>
            <w:vAlign w:val="center"/>
          </w:tcPr>
          <w:p w14:paraId="7E1D134A">
            <w:pPr>
              <w:jc w:val="center"/>
              <w:rPr>
                <w:rFonts w:hint="eastAsia" w:ascii="宋体" w:hAnsi="宋体" w:eastAsia="宋体" w:cs="宋体"/>
                <w:sz w:val="24"/>
                <w:szCs w:val="24"/>
              </w:rPr>
            </w:pPr>
            <w:r>
              <w:rPr>
                <w:rFonts w:hint="eastAsia" w:ascii="宋体" w:hAnsi="宋体" w:eastAsia="宋体" w:cs="宋体"/>
                <w:sz w:val="24"/>
                <w:szCs w:val="24"/>
              </w:rPr>
              <w:t>2分</w:t>
            </w:r>
          </w:p>
        </w:tc>
        <w:tc>
          <w:tcPr>
            <w:tcW w:w="7012" w:type="dxa"/>
            <w:tcBorders>
              <w:top w:val="single" w:color="auto" w:sz="4" w:space="0"/>
              <w:bottom w:val="single" w:color="auto" w:sz="4" w:space="0"/>
              <w:right w:val="single" w:color="auto" w:sz="4" w:space="0"/>
            </w:tcBorders>
            <w:vAlign w:val="center"/>
          </w:tcPr>
          <w:p w14:paraId="69CE17A2">
            <w:pPr>
              <w:jc w:val="left"/>
              <w:rPr>
                <w:rFonts w:hint="eastAsia" w:ascii="宋体" w:hAnsi="宋体" w:eastAsia="宋体" w:cs="宋体"/>
                <w:sz w:val="24"/>
                <w:szCs w:val="24"/>
              </w:rPr>
            </w:pPr>
            <w:r>
              <w:rPr>
                <w:rFonts w:hint="eastAsia" w:ascii="宋体" w:hAnsi="宋体" w:eastAsia="宋体" w:cs="宋体"/>
                <w:color w:val="000000"/>
                <w:kern w:val="0"/>
                <w:sz w:val="24"/>
                <w:szCs w:val="24"/>
              </w:rPr>
              <w:t>符合行业标准并略高与行业标准（设备接线合理，在线槽中规范连线。）</w:t>
            </w:r>
          </w:p>
        </w:tc>
      </w:tr>
      <w:tr w14:paraId="568527F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4" w:space="0"/>
              <w:left w:val="single" w:color="auto" w:sz="4" w:space="0"/>
              <w:bottom w:val="single" w:color="auto" w:sz="12" w:space="0"/>
            </w:tcBorders>
            <w:vAlign w:val="center"/>
          </w:tcPr>
          <w:p w14:paraId="33388C56">
            <w:pPr>
              <w:jc w:val="center"/>
              <w:rPr>
                <w:rFonts w:hint="eastAsia" w:ascii="宋体" w:hAnsi="宋体" w:eastAsia="宋体" w:cs="宋体"/>
                <w:sz w:val="24"/>
                <w:szCs w:val="24"/>
              </w:rPr>
            </w:pPr>
            <w:r>
              <w:rPr>
                <w:rFonts w:hint="eastAsia" w:ascii="宋体" w:hAnsi="宋体" w:eastAsia="宋体" w:cs="宋体"/>
                <w:sz w:val="24"/>
                <w:szCs w:val="24"/>
              </w:rPr>
              <w:t>3分</w:t>
            </w:r>
          </w:p>
        </w:tc>
        <w:tc>
          <w:tcPr>
            <w:tcW w:w="7012" w:type="dxa"/>
            <w:tcBorders>
              <w:top w:val="single" w:color="auto" w:sz="4" w:space="0"/>
              <w:bottom w:val="single" w:color="auto" w:sz="12" w:space="0"/>
              <w:right w:val="single" w:color="auto" w:sz="4" w:space="0"/>
            </w:tcBorders>
            <w:vAlign w:val="center"/>
          </w:tcPr>
          <w:p w14:paraId="10CBD1A8">
            <w:pPr>
              <w:jc w:val="left"/>
              <w:rPr>
                <w:rFonts w:hint="eastAsia" w:ascii="宋体" w:hAnsi="宋体" w:eastAsia="宋体" w:cs="宋体"/>
                <w:sz w:val="24"/>
                <w:szCs w:val="24"/>
              </w:rPr>
            </w:pPr>
            <w:r>
              <w:rPr>
                <w:rFonts w:hint="eastAsia" w:ascii="宋体" w:hAnsi="宋体" w:eastAsia="宋体" w:cs="宋体"/>
                <w:color w:val="000000"/>
                <w:kern w:val="0"/>
                <w:sz w:val="24"/>
                <w:szCs w:val="24"/>
              </w:rPr>
              <w:t>完美（设备接口之间接线规范、美观，方便维护）。</w:t>
            </w:r>
          </w:p>
        </w:tc>
      </w:tr>
    </w:tbl>
    <w:p w14:paraId="5A34331C">
      <w:pPr>
        <w:ind w:firstLine="480"/>
      </w:pPr>
    </w:p>
    <w:p w14:paraId="424CD000">
      <w:pPr>
        <w:ind w:firstLine="560" w:firstLineChars="200"/>
        <w:rPr>
          <w:rFonts w:hint="eastAsia" w:ascii="仿宋" w:hAnsi="仿宋" w:eastAsia="仿宋" w:cs="仿宋"/>
          <w:sz w:val="28"/>
          <w:szCs w:val="30"/>
        </w:rPr>
      </w:pPr>
      <w:r>
        <w:rPr>
          <w:rFonts w:hint="eastAsia" w:ascii="仿宋" w:hAnsi="仿宋" w:eastAsia="仿宋" w:cs="仿宋"/>
          <w:sz w:val="28"/>
          <w:szCs w:val="30"/>
        </w:rPr>
        <w:t>2、测量分（客观）</w:t>
      </w:r>
    </w:p>
    <w:p w14:paraId="1BF654AA">
      <w:pPr>
        <w:ind w:firstLine="560" w:firstLineChars="200"/>
        <w:rPr>
          <w:rFonts w:hint="eastAsia" w:ascii="仿宋" w:hAnsi="仿宋" w:eastAsia="仿宋" w:cs="仿宋"/>
          <w:sz w:val="28"/>
          <w:szCs w:val="30"/>
        </w:rPr>
      </w:pPr>
      <w:bookmarkStart w:id="3" w:name="OLE_LINK10"/>
      <w:bookmarkStart w:id="4" w:name="OLE_LINK9"/>
      <w:r>
        <w:rPr>
          <w:rFonts w:hint="eastAsia" w:ascii="仿宋" w:hAnsi="仿宋" w:eastAsia="仿宋" w:cs="仿宋"/>
          <w:sz w:val="28"/>
          <w:szCs w:val="30"/>
        </w:rPr>
        <w:t>测量分（Measurement）打分方式：按模块设置若干个评分组，每组由3名及以上裁判构成。每个组所有裁判一起商议，在对该选手在该项中的实际得分达成一致后最终只给出一个分值。若裁判数量较多，也可以另定分组模式。</w:t>
      </w:r>
    </w:p>
    <w:p w14:paraId="481F424F">
      <w:pPr>
        <w:ind w:firstLine="560" w:firstLineChars="200"/>
        <w:rPr>
          <w:rFonts w:hint="eastAsia" w:ascii="仿宋" w:hAnsi="仿宋" w:eastAsia="仿宋" w:cs="仿宋"/>
          <w:sz w:val="28"/>
          <w:szCs w:val="30"/>
        </w:rPr>
      </w:pPr>
      <w:r>
        <w:rPr>
          <w:rFonts w:hint="eastAsia" w:ascii="仿宋" w:hAnsi="仿宋" w:eastAsia="仿宋" w:cs="仿宋"/>
          <w:sz w:val="28"/>
          <w:szCs w:val="30"/>
        </w:rPr>
        <w:t>测量分评分准则样例表：</w:t>
      </w:r>
    </w:p>
    <w:bookmarkEnd w:id="3"/>
    <w:bookmarkEnd w:id="4"/>
    <w:tbl>
      <w:tblPr>
        <w:tblStyle w:val="10"/>
        <w:tblW w:w="5000"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1621"/>
        <w:gridCol w:w="2773"/>
        <w:gridCol w:w="1346"/>
        <w:gridCol w:w="1247"/>
        <w:gridCol w:w="1329"/>
      </w:tblGrid>
      <w:tr w14:paraId="021B9FDE">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12" w:space="0"/>
              <w:left w:val="single" w:color="auto" w:sz="4" w:space="0"/>
              <w:bottom w:val="single" w:color="000000" w:sz="4" w:space="0"/>
            </w:tcBorders>
            <w:vAlign w:val="center"/>
          </w:tcPr>
          <w:p w14:paraId="129CD7D1">
            <w:pPr>
              <w:jc w:val="center"/>
              <w:rPr>
                <w:rFonts w:hint="eastAsia" w:ascii="宋体" w:hAnsi="宋体" w:eastAsia="宋体" w:cs="宋体"/>
                <w:b/>
                <w:sz w:val="24"/>
                <w:szCs w:val="24"/>
              </w:rPr>
            </w:pPr>
            <w:r>
              <w:rPr>
                <w:rFonts w:hint="eastAsia" w:ascii="宋体" w:hAnsi="宋体" w:eastAsia="宋体" w:cs="宋体"/>
                <w:b/>
                <w:sz w:val="24"/>
                <w:szCs w:val="24"/>
              </w:rPr>
              <w:t>类型</w:t>
            </w:r>
          </w:p>
        </w:tc>
        <w:tc>
          <w:tcPr>
            <w:tcW w:w="1667" w:type="pct"/>
            <w:tcBorders>
              <w:top w:val="single" w:color="000000" w:sz="12" w:space="0"/>
            </w:tcBorders>
            <w:vAlign w:val="center"/>
          </w:tcPr>
          <w:p w14:paraId="380DEA8B">
            <w:pPr>
              <w:jc w:val="center"/>
              <w:rPr>
                <w:rFonts w:hint="eastAsia" w:ascii="宋体" w:hAnsi="宋体" w:eastAsia="宋体" w:cs="宋体"/>
                <w:b/>
                <w:sz w:val="24"/>
                <w:szCs w:val="24"/>
              </w:rPr>
            </w:pPr>
            <w:r>
              <w:rPr>
                <w:rFonts w:hint="eastAsia" w:ascii="宋体" w:hAnsi="宋体" w:eastAsia="宋体" w:cs="宋体"/>
                <w:b/>
                <w:sz w:val="24"/>
                <w:szCs w:val="24"/>
              </w:rPr>
              <w:t>示例</w:t>
            </w:r>
          </w:p>
        </w:tc>
        <w:tc>
          <w:tcPr>
            <w:tcW w:w="809" w:type="pct"/>
            <w:tcBorders>
              <w:top w:val="single" w:color="000000" w:sz="12" w:space="0"/>
            </w:tcBorders>
            <w:vAlign w:val="center"/>
          </w:tcPr>
          <w:p w14:paraId="2F5C0CED">
            <w:pPr>
              <w:jc w:val="center"/>
              <w:rPr>
                <w:rFonts w:hint="eastAsia" w:ascii="宋体" w:hAnsi="宋体" w:eastAsia="宋体" w:cs="宋体"/>
                <w:b/>
                <w:sz w:val="24"/>
                <w:szCs w:val="24"/>
              </w:rPr>
            </w:pPr>
            <w:r>
              <w:rPr>
                <w:rFonts w:hint="eastAsia" w:ascii="宋体" w:hAnsi="宋体" w:eastAsia="宋体" w:cs="宋体"/>
                <w:b/>
                <w:sz w:val="24"/>
                <w:szCs w:val="24"/>
              </w:rPr>
              <w:t>最高分值</w:t>
            </w:r>
          </w:p>
        </w:tc>
        <w:tc>
          <w:tcPr>
            <w:tcW w:w="750" w:type="pct"/>
            <w:tcBorders>
              <w:top w:val="single" w:color="000000" w:sz="12" w:space="0"/>
            </w:tcBorders>
            <w:vAlign w:val="center"/>
          </w:tcPr>
          <w:p w14:paraId="760B4058">
            <w:pPr>
              <w:jc w:val="center"/>
              <w:rPr>
                <w:rFonts w:hint="eastAsia" w:ascii="宋体" w:hAnsi="宋体" w:eastAsia="宋体" w:cs="宋体"/>
                <w:b/>
                <w:sz w:val="24"/>
                <w:szCs w:val="24"/>
              </w:rPr>
            </w:pPr>
            <w:r>
              <w:rPr>
                <w:rFonts w:hint="eastAsia" w:ascii="宋体" w:hAnsi="宋体" w:eastAsia="宋体" w:cs="宋体"/>
                <w:b/>
                <w:sz w:val="24"/>
                <w:szCs w:val="24"/>
              </w:rPr>
              <w:t>正确分值</w:t>
            </w:r>
          </w:p>
        </w:tc>
        <w:tc>
          <w:tcPr>
            <w:tcW w:w="799" w:type="pct"/>
            <w:tcBorders>
              <w:top w:val="single" w:color="000000" w:sz="12" w:space="0"/>
              <w:bottom w:val="single" w:color="000000" w:sz="4" w:space="0"/>
              <w:right w:val="single" w:color="auto" w:sz="4" w:space="0"/>
            </w:tcBorders>
            <w:vAlign w:val="center"/>
          </w:tcPr>
          <w:p w14:paraId="57300A29">
            <w:pPr>
              <w:jc w:val="center"/>
              <w:rPr>
                <w:rFonts w:hint="eastAsia" w:ascii="宋体" w:hAnsi="宋体" w:eastAsia="宋体" w:cs="宋体"/>
                <w:b/>
                <w:sz w:val="24"/>
                <w:szCs w:val="24"/>
              </w:rPr>
            </w:pPr>
            <w:r>
              <w:rPr>
                <w:rFonts w:hint="eastAsia" w:ascii="宋体" w:hAnsi="宋体" w:eastAsia="宋体" w:cs="宋体"/>
                <w:b/>
                <w:sz w:val="24"/>
                <w:szCs w:val="24"/>
              </w:rPr>
              <w:t>不正确分值</w:t>
            </w:r>
          </w:p>
        </w:tc>
      </w:tr>
      <w:tr w14:paraId="06E74EA3">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4" w:space="0"/>
              <w:left w:val="single" w:color="auto" w:sz="4" w:space="0"/>
              <w:bottom w:val="single" w:color="000000" w:sz="4" w:space="0"/>
            </w:tcBorders>
            <w:vAlign w:val="center"/>
          </w:tcPr>
          <w:p w14:paraId="2BFDD4B1">
            <w:pPr>
              <w:jc w:val="center"/>
              <w:rPr>
                <w:rFonts w:hint="eastAsia" w:ascii="宋体" w:hAnsi="宋体" w:eastAsia="宋体" w:cs="宋体"/>
                <w:sz w:val="24"/>
                <w:szCs w:val="24"/>
              </w:rPr>
            </w:pPr>
            <w:r>
              <w:rPr>
                <w:rFonts w:hint="eastAsia" w:ascii="宋体" w:hAnsi="宋体" w:eastAsia="宋体" w:cs="宋体"/>
                <w:sz w:val="24"/>
                <w:szCs w:val="24"/>
              </w:rPr>
              <w:t>满分或零分</w:t>
            </w:r>
          </w:p>
        </w:tc>
        <w:tc>
          <w:tcPr>
            <w:tcW w:w="1667" w:type="pct"/>
            <w:vAlign w:val="center"/>
          </w:tcPr>
          <w:p w14:paraId="3E0BD438">
            <w:pPr>
              <w:jc w:val="center"/>
              <w:rPr>
                <w:rFonts w:hint="eastAsia" w:ascii="宋体" w:hAnsi="宋体" w:eastAsia="宋体" w:cs="宋体"/>
                <w:sz w:val="24"/>
                <w:szCs w:val="24"/>
              </w:rPr>
            </w:pPr>
          </w:p>
        </w:tc>
        <w:tc>
          <w:tcPr>
            <w:tcW w:w="809" w:type="pct"/>
            <w:vAlign w:val="center"/>
          </w:tcPr>
          <w:p w14:paraId="70773037">
            <w:pPr>
              <w:jc w:val="center"/>
              <w:rPr>
                <w:rFonts w:hint="eastAsia" w:ascii="宋体" w:hAnsi="宋体" w:eastAsia="宋体" w:cs="宋体"/>
                <w:sz w:val="24"/>
                <w:szCs w:val="24"/>
              </w:rPr>
            </w:pPr>
          </w:p>
        </w:tc>
        <w:tc>
          <w:tcPr>
            <w:tcW w:w="750" w:type="pct"/>
            <w:vAlign w:val="center"/>
          </w:tcPr>
          <w:p w14:paraId="508A5573">
            <w:pPr>
              <w:jc w:val="center"/>
              <w:rPr>
                <w:rFonts w:hint="eastAsia" w:ascii="宋体" w:hAnsi="宋体" w:eastAsia="宋体" w:cs="宋体"/>
                <w:sz w:val="24"/>
                <w:szCs w:val="24"/>
              </w:rPr>
            </w:pPr>
          </w:p>
        </w:tc>
        <w:tc>
          <w:tcPr>
            <w:tcW w:w="799" w:type="pct"/>
            <w:tcBorders>
              <w:top w:val="single" w:color="000000" w:sz="4" w:space="0"/>
              <w:bottom w:val="single" w:color="000000" w:sz="4" w:space="0"/>
              <w:right w:val="single" w:color="auto" w:sz="4" w:space="0"/>
            </w:tcBorders>
            <w:vAlign w:val="center"/>
          </w:tcPr>
          <w:p w14:paraId="147D2BC0">
            <w:pPr>
              <w:jc w:val="center"/>
              <w:rPr>
                <w:rFonts w:hint="eastAsia" w:ascii="宋体" w:hAnsi="宋体" w:eastAsia="宋体" w:cs="宋体"/>
                <w:sz w:val="24"/>
                <w:szCs w:val="24"/>
              </w:rPr>
            </w:pPr>
          </w:p>
        </w:tc>
      </w:tr>
      <w:tr w14:paraId="56C385D8">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4" w:space="0"/>
              <w:left w:val="single" w:color="auto" w:sz="4" w:space="0"/>
              <w:bottom w:val="single" w:color="000000" w:sz="12" w:space="0"/>
            </w:tcBorders>
            <w:vAlign w:val="center"/>
          </w:tcPr>
          <w:p w14:paraId="3990BC4D">
            <w:pPr>
              <w:jc w:val="center"/>
              <w:rPr>
                <w:rFonts w:hint="eastAsia" w:ascii="宋体" w:hAnsi="宋体" w:eastAsia="宋体" w:cs="宋体"/>
                <w:sz w:val="24"/>
                <w:szCs w:val="24"/>
              </w:rPr>
            </w:pPr>
            <w:r>
              <w:rPr>
                <w:rFonts w:hint="eastAsia" w:ascii="宋体" w:hAnsi="宋体" w:eastAsia="宋体" w:cs="宋体"/>
                <w:sz w:val="24"/>
                <w:szCs w:val="24"/>
              </w:rPr>
              <w:t>从零分开始加</w:t>
            </w:r>
          </w:p>
        </w:tc>
        <w:tc>
          <w:tcPr>
            <w:tcW w:w="1667" w:type="pct"/>
            <w:tcBorders>
              <w:bottom w:val="single" w:color="000000" w:sz="12" w:space="0"/>
            </w:tcBorders>
            <w:vAlign w:val="center"/>
          </w:tcPr>
          <w:p w14:paraId="19F59795">
            <w:pPr>
              <w:jc w:val="center"/>
              <w:rPr>
                <w:rFonts w:hint="eastAsia" w:ascii="宋体" w:hAnsi="宋体" w:eastAsia="宋体" w:cs="宋体"/>
                <w:sz w:val="24"/>
                <w:szCs w:val="24"/>
              </w:rPr>
            </w:pPr>
          </w:p>
        </w:tc>
        <w:tc>
          <w:tcPr>
            <w:tcW w:w="809" w:type="pct"/>
            <w:tcBorders>
              <w:bottom w:val="single" w:color="000000" w:sz="12" w:space="0"/>
            </w:tcBorders>
            <w:vAlign w:val="center"/>
          </w:tcPr>
          <w:p w14:paraId="7B1AA831">
            <w:pPr>
              <w:jc w:val="center"/>
              <w:rPr>
                <w:rFonts w:hint="eastAsia" w:ascii="宋体" w:hAnsi="宋体" w:eastAsia="宋体" w:cs="宋体"/>
                <w:sz w:val="24"/>
                <w:szCs w:val="24"/>
              </w:rPr>
            </w:pPr>
          </w:p>
        </w:tc>
        <w:tc>
          <w:tcPr>
            <w:tcW w:w="750" w:type="pct"/>
            <w:tcBorders>
              <w:bottom w:val="single" w:color="000000" w:sz="12" w:space="0"/>
            </w:tcBorders>
            <w:vAlign w:val="center"/>
          </w:tcPr>
          <w:p w14:paraId="5BF2035C">
            <w:pPr>
              <w:jc w:val="center"/>
              <w:rPr>
                <w:rFonts w:hint="eastAsia" w:ascii="宋体" w:hAnsi="宋体" w:eastAsia="宋体" w:cs="宋体"/>
                <w:sz w:val="24"/>
                <w:szCs w:val="24"/>
              </w:rPr>
            </w:pPr>
          </w:p>
        </w:tc>
        <w:tc>
          <w:tcPr>
            <w:tcW w:w="799" w:type="pct"/>
            <w:tcBorders>
              <w:top w:val="single" w:color="000000" w:sz="4" w:space="0"/>
              <w:bottom w:val="single" w:color="000000" w:sz="12" w:space="0"/>
              <w:right w:val="single" w:color="auto" w:sz="4" w:space="0"/>
            </w:tcBorders>
            <w:vAlign w:val="center"/>
          </w:tcPr>
          <w:p w14:paraId="6A800CEC">
            <w:pPr>
              <w:jc w:val="center"/>
              <w:rPr>
                <w:rFonts w:hint="eastAsia" w:ascii="宋体" w:hAnsi="宋体" w:eastAsia="宋体" w:cs="宋体"/>
                <w:sz w:val="24"/>
                <w:szCs w:val="24"/>
              </w:rPr>
            </w:pPr>
          </w:p>
        </w:tc>
      </w:tr>
    </w:tbl>
    <w:p w14:paraId="1C95D4F0">
      <w:pPr>
        <w:ind w:firstLine="480"/>
      </w:pPr>
    </w:p>
    <w:p w14:paraId="5616A60D">
      <w:pPr>
        <w:ind w:firstLine="560" w:firstLineChars="200"/>
        <w:rPr>
          <w:rFonts w:hint="eastAsia" w:ascii="仿宋" w:hAnsi="仿宋" w:eastAsia="仿宋" w:cs="仿宋"/>
          <w:sz w:val="28"/>
          <w:szCs w:val="30"/>
        </w:rPr>
      </w:pPr>
      <w:r>
        <w:rPr>
          <w:rFonts w:hint="eastAsia" w:ascii="仿宋" w:hAnsi="仿宋" w:eastAsia="仿宋" w:cs="仿宋"/>
          <w:sz w:val="28"/>
          <w:szCs w:val="30"/>
        </w:rPr>
        <w:t>（样例：测量评分准则）</w:t>
      </w:r>
    </w:p>
    <w:tbl>
      <w:tblPr>
        <w:tblStyle w:val="10"/>
        <w:tblW w:w="5000"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1621"/>
        <w:gridCol w:w="2773"/>
        <w:gridCol w:w="1346"/>
        <w:gridCol w:w="1247"/>
        <w:gridCol w:w="1329"/>
      </w:tblGrid>
      <w:tr w14:paraId="6BD44F2D">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12" w:space="0"/>
              <w:left w:val="single" w:color="auto" w:sz="4" w:space="0"/>
              <w:bottom w:val="single" w:color="000000" w:sz="4" w:space="0"/>
            </w:tcBorders>
            <w:vAlign w:val="center"/>
          </w:tcPr>
          <w:p w14:paraId="1751FF7E">
            <w:pPr>
              <w:jc w:val="center"/>
              <w:rPr>
                <w:rFonts w:hint="eastAsia" w:ascii="宋体" w:hAnsi="宋体" w:eastAsia="宋体" w:cs="宋体"/>
                <w:b/>
                <w:sz w:val="24"/>
                <w:szCs w:val="24"/>
              </w:rPr>
            </w:pPr>
            <w:r>
              <w:rPr>
                <w:rFonts w:hint="eastAsia" w:ascii="宋体" w:hAnsi="宋体" w:eastAsia="宋体" w:cs="宋体"/>
                <w:b/>
                <w:sz w:val="24"/>
                <w:szCs w:val="24"/>
              </w:rPr>
              <w:t>类型</w:t>
            </w:r>
          </w:p>
        </w:tc>
        <w:tc>
          <w:tcPr>
            <w:tcW w:w="1667" w:type="pct"/>
            <w:tcBorders>
              <w:top w:val="single" w:color="000000" w:sz="12" w:space="0"/>
            </w:tcBorders>
            <w:vAlign w:val="center"/>
          </w:tcPr>
          <w:p w14:paraId="19EA9DAA">
            <w:pPr>
              <w:jc w:val="center"/>
              <w:rPr>
                <w:rFonts w:hint="eastAsia" w:ascii="宋体" w:hAnsi="宋体" w:eastAsia="宋体" w:cs="宋体"/>
                <w:b/>
                <w:sz w:val="24"/>
                <w:szCs w:val="24"/>
              </w:rPr>
            </w:pPr>
            <w:r>
              <w:rPr>
                <w:rFonts w:hint="eastAsia" w:ascii="宋体" w:hAnsi="宋体" w:eastAsia="宋体" w:cs="宋体"/>
                <w:b/>
                <w:sz w:val="24"/>
                <w:szCs w:val="24"/>
              </w:rPr>
              <w:t>示例</w:t>
            </w:r>
          </w:p>
        </w:tc>
        <w:tc>
          <w:tcPr>
            <w:tcW w:w="809" w:type="pct"/>
            <w:tcBorders>
              <w:top w:val="single" w:color="000000" w:sz="12" w:space="0"/>
            </w:tcBorders>
            <w:vAlign w:val="center"/>
          </w:tcPr>
          <w:p w14:paraId="257F86BB">
            <w:pPr>
              <w:jc w:val="center"/>
              <w:rPr>
                <w:rFonts w:hint="eastAsia" w:ascii="宋体" w:hAnsi="宋体" w:eastAsia="宋体" w:cs="宋体"/>
                <w:b/>
                <w:sz w:val="24"/>
                <w:szCs w:val="24"/>
              </w:rPr>
            </w:pPr>
            <w:r>
              <w:rPr>
                <w:rFonts w:hint="eastAsia" w:ascii="宋体" w:hAnsi="宋体" w:eastAsia="宋体" w:cs="宋体"/>
                <w:b/>
                <w:sz w:val="24"/>
                <w:szCs w:val="24"/>
              </w:rPr>
              <w:t>最高分值</w:t>
            </w:r>
          </w:p>
        </w:tc>
        <w:tc>
          <w:tcPr>
            <w:tcW w:w="750" w:type="pct"/>
            <w:tcBorders>
              <w:top w:val="single" w:color="000000" w:sz="12" w:space="0"/>
            </w:tcBorders>
            <w:vAlign w:val="center"/>
          </w:tcPr>
          <w:p w14:paraId="3A7B054D">
            <w:pPr>
              <w:jc w:val="center"/>
              <w:rPr>
                <w:rFonts w:hint="eastAsia" w:ascii="宋体" w:hAnsi="宋体" w:eastAsia="宋体" w:cs="宋体"/>
                <w:b/>
                <w:sz w:val="24"/>
                <w:szCs w:val="24"/>
              </w:rPr>
            </w:pPr>
            <w:r>
              <w:rPr>
                <w:rFonts w:hint="eastAsia" w:ascii="宋体" w:hAnsi="宋体" w:eastAsia="宋体" w:cs="宋体"/>
                <w:b/>
                <w:sz w:val="24"/>
                <w:szCs w:val="24"/>
              </w:rPr>
              <w:t>正确分值</w:t>
            </w:r>
          </w:p>
        </w:tc>
        <w:tc>
          <w:tcPr>
            <w:tcW w:w="799" w:type="pct"/>
            <w:tcBorders>
              <w:top w:val="single" w:color="000000" w:sz="12" w:space="0"/>
              <w:bottom w:val="single" w:color="000000" w:sz="4" w:space="0"/>
              <w:right w:val="single" w:color="auto" w:sz="4" w:space="0"/>
            </w:tcBorders>
            <w:vAlign w:val="center"/>
          </w:tcPr>
          <w:p w14:paraId="6283484E">
            <w:pPr>
              <w:jc w:val="center"/>
              <w:rPr>
                <w:rFonts w:hint="eastAsia" w:ascii="宋体" w:hAnsi="宋体" w:eastAsia="宋体" w:cs="宋体"/>
                <w:b/>
                <w:sz w:val="24"/>
                <w:szCs w:val="24"/>
              </w:rPr>
            </w:pPr>
            <w:r>
              <w:rPr>
                <w:rFonts w:hint="eastAsia" w:ascii="宋体" w:hAnsi="宋体" w:eastAsia="宋体" w:cs="宋体"/>
                <w:b/>
                <w:sz w:val="24"/>
                <w:szCs w:val="24"/>
              </w:rPr>
              <w:t>不正确分值</w:t>
            </w:r>
          </w:p>
        </w:tc>
      </w:tr>
      <w:tr w14:paraId="67578A80">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4" w:space="0"/>
              <w:left w:val="single" w:color="auto" w:sz="4" w:space="0"/>
              <w:bottom w:val="single" w:color="000000" w:sz="4" w:space="0"/>
            </w:tcBorders>
            <w:vAlign w:val="center"/>
          </w:tcPr>
          <w:p w14:paraId="4C3FE487">
            <w:pPr>
              <w:jc w:val="center"/>
              <w:rPr>
                <w:rFonts w:hint="eastAsia" w:ascii="宋体" w:hAnsi="宋体" w:eastAsia="宋体" w:cs="宋体"/>
                <w:sz w:val="24"/>
                <w:szCs w:val="24"/>
              </w:rPr>
            </w:pPr>
            <w:r>
              <w:rPr>
                <w:rFonts w:hint="eastAsia" w:ascii="宋体" w:hAnsi="宋体" w:eastAsia="宋体" w:cs="宋体"/>
                <w:sz w:val="24"/>
                <w:szCs w:val="24"/>
              </w:rPr>
              <w:t>满分或零分</w:t>
            </w:r>
          </w:p>
        </w:tc>
        <w:tc>
          <w:tcPr>
            <w:tcW w:w="1667" w:type="pct"/>
            <w:tcBorders>
              <w:bottom w:val="single" w:color="000000" w:sz="4" w:space="0"/>
            </w:tcBorders>
            <w:vAlign w:val="center"/>
          </w:tcPr>
          <w:p w14:paraId="73E0F420">
            <w:pPr>
              <w:jc w:val="center"/>
              <w:rPr>
                <w:rFonts w:hint="eastAsia" w:ascii="宋体" w:hAnsi="宋体" w:eastAsia="宋体" w:cs="宋体"/>
                <w:sz w:val="24"/>
                <w:szCs w:val="24"/>
              </w:rPr>
            </w:pPr>
            <w:r>
              <w:rPr>
                <w:rFonts w:hint="eastAsia" w:ascii="宋体" w:hAnsi="宋体" w:eastAsia="宋体" w:cs="宋体"/>
                <w:sz w:val="24"/>
                <w:szCs w:val="24"/>
              </w:rPr>
              <w:t>配置温湿度传感器地址</w:t>
            </w:r>
          </w:p>
        </w:tc>
        <w:tc>
          <w:tcPr>
            <w:tcW w:w="809" w:type="pct"/>
            <w:tcBorders>
              <w:bottom w:val="single" w:color="000000" w:sz="4" w:space="0"/>
            </w:tcBorders>
            <w:vAlign w:val="center"/>
          </w:tcPr>
          <w:p w14:paraId="3A363920">
            <w:pPr>
              <w:jc w:val="center"/>
              <w:rPr>
                <w:rFonts w:hint="eastAsia" w:ascii="宋体" w:hAnsi="宋体" w:eastAsia="宋体" w:cs="宋体"/>
                <w:sz w:val="24"/>
                <w:szCs w:val="24"/>
              </w:rPr>
            </w:pPr>
            <w:r>
              <w:rPr>
                <w:rFonts w:hint="eastAsia" w:ascii="宋体" w:hAnsi="宋体" w:eastAsia="宋体" w:cs="宋体"/>
                <w:sz w:val="24"/>
                <w:szCs w:val="24"/>
              </w:rPr>
              <w:t>0.50</w:t>
            </w:r>
          </w:p>
        </w:tc>
        <w:tc>
          <w:tcPr>
            <w:tcW w:w="750" w:type="pct"/>
            <w:tcBorders>
              <w:bottom w:val="single" w:color="000000" w:sz="4" w:space="0"/>
            </w:tcBorders>
            <w:vAlign w:val="center"/>
          </w:tcPr>
          <w:p w14:paraId="43F8E1AE">
            <w:pPr>
              <w:jc w:val="center"/>
              <w:rPr>
                <w:rFonts w:hint="eastAsia" w:ascii="宋体" w:hAnsi="宋体" w:eastAsia="宋体" w:cs="宋体"/>
                <w:sz w:val="24"/>
                <w:szCs w:val="24"/>
              </w:rPr>
            </w:pPr>
            <w:r>
              <w:rPr>
                <w:rFonts w:hint="eastAsia" w:ascii="宋体" w:hAnsi="宋体" w:eastAsia="宋体" w:cs="宋体"/>
                <w:sz w:val="24"/>
                <w:szCs w:val="24"/>
              </w:rPr>
              <w:t>0.50</w:t>
            </w:r>
          </w:p>
        </w:tc>
        <w:tc>
          <w:tcPr>
            <w:tcW w:w="799" w:type="pct"/>
            <w:tcBorders>
              <w:top w:val="single" w:color="000000" w:sz="4" w:space="0"/>
              <w:bottom w:val="single" w:color="000000" w:sz="4" w:space="0"/>
              <w:right w:val="single" w:color="auto" w:sz="4" w:space="0"/>
            </w:tcBorders>
            <w:vAlign w:val="center"/>
          </w:tcPr>
          <w:p w14:paraId="23ECA73C">
            <w:pPr>
              <w:jc w:val="center"/>
              <w:rPr>
                <w:rFonts w:hint="eastAsia" w:ascii="宋体" w:hAnsi="宋体" w:eastAsia="宋体" w:cs="宋体"/>
                <w:sz w:val="24"/>
                <w:szCs w:val="24"/>
              </w:rPr>
            </w:pPr>
            <w:r>
              <w:rPr>
                <w:rFonts w:hint="eastAsia" w:ascii="宋体" w:hAnsi="宋体" w:eastAsia="宋体" w:cs="宋体"/>
                <w:sz w:val="24"/>
                <w:szCs w:val="24"/>
              </w:rPr>
              <w:t>0</w:t>
            </w:r>
          </w:p>
        </w:tc>
      </w:tr>
      <w:tr w14:paraId="3977E32A">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4" w:space="0"/>
              <w:left w:val="single" w:color="auto" w:sz="4" w:space="0"/>
              <w:bottom w:val="single" w:color="000000" w:sz="12" w:space="0"/>
            </w:tcBorders>
            <w:vAlign w:val="center"/>
          </w:tcPr>
          <w:p w14:paraId="44B004AE">
            <w:pPr>
              <w:jc w:val="center"/>
              <w:rPr>
                <w:rFonts w:hint="eastAsia" w:ascii="宋体" w:hAnsi="宋体" w:eastAsia="宋体" w:cs="宋体"/>
                <w:sz w:val="24"/>
                <w:szCs w:val="24"/>
              </w:rPr>
            </w:pPr>
            <w:r>
              <w:rPr>
                <w:rFonts w:hint="eastAsia" w:ascii="宋体" w:hAnsi="宋体" w:eastAsia="宋体" w:cs="宋体"/>
                <w:sz w:val="24"/>
                <w:szCs w:val="24"/>
              </w:rPr>
              <w:t>从零分开始加</w:t>
            </w:r>
          </w:p>
        </w:tc>
        <w:tc>
          <w:tcPr>
            <w:tcW w:w="1667" w:type="pct"/>
            <w:tcBorders>
              <w:top w:val="single" w:color="000000" w:sz="4" w:space="0"/>
              <w:bottom w:val="single" w:color="000000" w:sz="12" w:space="0"/>
            </w:tcBorders>
            <w:vAlign w:val="center"/>
          </w:tcPr>
          <w:p w14:paraId="74CD2E54">
            <w:pPr>
              <w:jc w:val="center"/>
              <w:rPr>
                <w:rFonts w:hint="eastAsia" w:ascii="宋体" w:hAnsi="宋体" w:eastAsia="宋体" w:cs="宋体"/>
                <w:sz w:val="24"/>
                <w:szCs w:val="24"/>
              </w:rPr>
            </w:pPr>
            <w:r>
              <w:rPr>
                <w:rFonts w:hint="eastAsia" w:ascii="宋体" w:hAnsi="宋体" w:eastAsia="宋体" w:cs="宋体"/>
                <w:sz w:val="24"/>
                <w:szCs w:val="24"/>
              </w:rPr>
              <w:t>通过物联网云平台控制各执行器运作。</w:t>
            </w:r>
          </w:p>
        </w:tc>
        <w:tc>
          <w:tcPr>
            <w:tcW w:w="809" w:type="pct"/>
            <w:tcBorders>
              <w:top w:val="single" w:color="000000" w:sz="4" w:space="0"/>
              <w:bottom w:val="single" w:color="000000" w:sz="12" w:space="0"/>
            </w:tcBorders>
            <w:vAlign w:val="center"/>
          </w:tcPr>
          <w:p w14:paraId="5302FA84">
            <w:pPr>
              <w:jc w:val="center"/>
              <w:rPr>
                <w:rFonts w:hint="eastAsia" w:ascii="宋体" w:hAnsi="宋体" w:eastAsia="宋体" w:cs="宋体"/>
                <w:sz w:val="24"/>
                <w:szCs w:val="24"/>
              </w:rPr>
            </w:pPr>
            <w:r>
              <w:rPr>
                <w:rFonts w:hint="eastAsia" w:ascii="宋体" w:hAnsi="宋体" w:eastAsia="宋体" w:cs="宋体"/>
                <w:sz w:val="24"/>
                <w:szCs w:val="24"/>
              </w:rPr>
              <w:t>1.0</w:t>
            </w:r>
          </w:p>
        </w:tc>
        <w:tc>
          <w:tcPr>
            <w:tcW w:w="750" w:type="pct"/>
            <w:tcBorders>
              <w:top w:val="single" w:color="000000" w:sz="4" w:space="0"/>
              <w:bottom w:val="single" w:color="000000" w:sz="12" w:space="0"/>
            </w:tcBorders>
            <w:vAlign w:val="center"/>
          </w:tcPr>
          <w:p w14:paraId="0CB9F10E">
            <w:pPr>
              <w:jc w:val="center"/>
              <w:rPr>
                <w:rFonts w:hint="eastAsia" w:ascii="宋体" w:hAnsi="宋体" w:eastAsia="宋体" w:cs="宋体"/>
                <w:sz w:val="24"/>
                <w:szCs w:val="24"/>
              </w:rPr>
            </w:pPr>
            <w:r>
              <w:rPr>
                <w:rFonts w:hint="eastAsia" w:ascii="宋体" w:hAnsi="宋体" w:eastAsia="宋体" w:cs="宋体"/>
                <w:sz w:val="24"/>
                <w:szCs w:val="24"/>
              </w:rPr>
              <w:t>1.0</w:t>
            </w:r>
          </w:p>
        </w:tc>
        <w:tc>
          <w:tcPr>
            <w:tcW w:w="799" w:type="pct"/>
            <w:tcBorders>
              <w:top w:val="single" w:color="000000" w:sz="4" w:space="0"/>
              <w:bottom w:val="single" w:color="000000" w:sz="12" w:space="0"/>
              <w:right w:val="single" w:color="auto" w:sz="4" w:space="0"/>
            </w:tcBorders>
            <w:vAlign w:val="center"/>
          </w:tcPr>
          <w:p w14:paraId="19738275">
            <w:pPr>
              <w:jc w:val="center"/>
              <w:rPr>
                <w:rFonts w:hint="eastAsia" w:ascii="宋体" w:hAnsi="宋体" w:eastAsia="宋体" w:cs="宋体"/>
                <w:sz w:val="24"/>
                <w:szCs w:val="24"/>
              </w:rPr>
            </w:pPr>
            <w:r>
              <w:rPr>
                <w:rFonts w:hint="eastAsia" w:ascii="宋体" w:hAnsi="宋体" w:eastAsia="宋体" w:cs="宋体"/>
                <w:sz w:val="24"/>
                <w:szCs w:val="24"/>
              </w:rPr>
              <w:t>0 – 0.5</w:t>
            </w:r>
          </w:p>
        </w:tc>
      </w:tr>
    </w:tbl>
    <w:p w14:paraId="10E108C7">
      <w:pPr>
        <w:ind w:firstLine="480"/>
      </w:pPr>
    </w:p>
    <w:p w14:paraId="10C6E225">
      <w:pPr>
        <w:spacing w:line="360" w:lineRule="auto"/>
        <w:ind w:right="210" w:rightChars="100" w:firstLine="420"/>
        <w:jc w:val="left"/>
        <w:outlineLvl w:val="1"/>
        <w:rPr>
          <w:rFonts w:hint="eastAsia" w:eastAsia="楷体"/>
          <w:b/>
          <w:sz w:val="32"/>
          <w:szCs w:val="40"/>
        </w:rPr>
      </w:pPr>
      <w:r>
        <w:rPr>
          <w:rFonts w:hint="eastAsia" w:eastAsia="楷体"/>
          <w:b/>
          <w:sz w:val="32"/>
          <w:szCs w:val="40"/>
        </w:rPr>
        <w:t>（二）评判方式</w:t>
      </w:r>
    </w:p>
    <w:p w14:paraId="3E2488B0">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裁判组在竞赛规定的结束时间后，分组对参赛队伍进行考评，每组裁判3名及以上。裁判员每人有一份评分表，裁判员按照评分表中要求安装设备和提交结果按照评分表中标准进行打分评判。</w:t>
      </w:r>
    </w:p>
    <w:p w14:paraId="728328EC">
      <w:pPr>
        <w:spacing w:line="360" w:lineRule="auto"/>
        <w:ind w:right="210" w:rightChars="100" w:firstLine="420"/>
        <w:jc w:val="left"/>
        <w:outlineLvl w:val="1"/>
        <w:rPr>
          <w:rFonts w:hint="eastAsia" w:eastAsia="楷体"/>
          <w:b/>
          <w:sz w:val="32"/>
          <w:szCs w:val="40"/>
        </w:rPr>
      </w:pPr>
      <w:r>
        <w:rPr>
          <w:rFonts w:hint="eastAsia" w:eastAsia="楷体"/>
          <w:b/>
          <w:sz w:val="32"/>
          <w:szCs w:val="40"/>
        </w:rPr>
        <w:t>（三）评分方法</w:t>
      </w:r>
    </w:p>
    <w:p w14:paraId="0C8738A1">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1、组织与分工</w:t>
      </w:r>
    </w:p>
    <w:p w14:paraId="7034AA6F">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（1）参与大赛赛项成绩管理的组织机构包括裁判组、监督仲裁组，受赛项执委会领导。</w:t>
      </w:r>
    </w:p>
    <w:p w14:paraId="15C7B81E">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（2）</w:t>
      </w:r>
      <w:r>
        <w:rPr>
          <w:rFonts w:hint="eastAsia" w:ascii="仿宋" w:hAnsi="仿宋" w:eastAsia="仿宋" w:cs="仿宋"/>
          <w:sz w:val="28"/>
        </w:rPr>
        <w:t>裁判组实行“裁判长负责制”，设裁判长1名，全面负责赛项的裁判管理工作并处理比赛中出现的争议问题，并配裁判员若干名，负责协助裁判长工作</w:t>
      </w:r>
      <w:r>
        <w:rPr>
          <w:rFonts w:hint="eastAsia" w:ascii="仿宋" w:hAnsi="仿宋" w:eastAsia="仿宋" w:cs="仿宋"/>
          <w:sz w:val="28"/>
          <w:szCs w:val="30"/>
        </w:rPr>
        <w:t>。</w:t>
      </w:r>
    </w:p>
    <w:p w14:paraId="5F8C60C0">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（3）</w:t>
      </w:r>
      <w:r>
        <w:rPr>
          <w:rFonts w:hint="eastAsia" w:ascii="仿宋" w:hAnsi="仿宋" w:eastAsia="仿宋" w:cs="仿宋"/>
          <w:sz w:val="28"/>
        </w:rPr>
        <w:t>裁判员根据比赛需要分为检录裁判、加密裁判、现场裁判和评分裁判。</w:t>
      </w:r>
      <w:r>
        <w:rPr>
          <w:rFonts w:hint="eastAsia" w:ascii="仿宋" w:hAnsi="仿宋" w:eastAsia="仿宋" w:cs="仿宋"/>
          <w:sz w:val="28"/>
          <w:szCs w:val="30"/>
        </w:rPr>
        <w:t>检录工作人员负责对参赛队伍（选手）进行点名登记、身份核对等工作；加密裁判负责组织参赛队伍（选手）抽签，对参赛队信息、抽签代码等进行加密、解密工作；现场裁判按规定做好赛场记录，维护赛场纪律；评分裁判负责对参赛队伍（选手）的比赛作品、比赛表现按赛项评分标准进行评定。</w:t>
      </w:r>
    </w:p>
    <w:p w14:paraId="1F44AF48">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（4）</w:t>
      </w:r>
      <w:r>
        <w:rPr>
          <w:rFonts w:hint="eastAsia" w:ascii="仿宋" w:hAnsi="仿宋" w:eastAsia="仿宋" w:cs="仿宋"/>
          <w:sz w:val="28"/>
        </w:rPr>
        <w:t>监督仲裁</w:t>
      </w:r>
      <w:r>
        <w:rPr>
          <w:rFonts w:hint="eastAsia" w:ascii="仿宋" w:hAnsi="仿宋" w:eastAsia="仿宋" w:cs="仿宋"/>
          <w:sz w:val="28"/>
          <w:szCs w:val="30"/>
        </w:rPr>
        <w:t>组对裁判组的工作进行全程监督，并对竞赛成绩抽检复核。</w:t>
      </w:r>
    </w:p>
    <w:p w14:paraId="2F7C6E2F">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（5）</w:t>
      </w:r>
      <w:r>
        <w:rPr>
          <w:rFonts w:hint="eastAsia" w:ascii="仿宋" w:hAnsi="仿宋" w:eastAsia="仿宋" w:cs="仿宋"/>
          <w:sz w:val="28"/>
        </w:rPr>
        <w:t>监督仲裁</w:t>
      </w:r>
      <w:r>
        <w:rPr>
          <w:rFonts w:hint="eastAsia" w:ascii="仿宋" w:hAnsi="仿宋" w:eastAsia="仿宋" w:cs="仿宋"/>
          <w:sz w:val="28"/>
          <w:szCs w:val="30"/>
        </w:rPr>
        <w:t>组负责接受由参赛队领队提出的对竞赛过程的申诉，组织复议并及时反馈复议结果。</w:t>
      </w:r>
    </w:p>
    <w:p w14:paraId="2A8D9468">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2、成绩评定方法</w:t>
      </w:r>
    </w:p>
    <w:p w14:paraId="1D5FFDA1">
      <w:pPr>
        <w:spacing w:line="360" w:lineRule="auto"/>
        <w:ind w:firstLine="560" w:firstLineChars="200"/>
        <w:rPr>
          <w:rFonts w:hint="eastAsia" w:ascii="仿宋" w:hAnsi="仿宋" w:eastAsia="仿宋" w:cs="仿宋"/>
          <w:sz w:val="28"/>
        </w:rPr>
      </w:pPr>
      <w:r>
        <w:rPr>
          <w:rFonts w:hint="eastAsia" w:ascii="仿宋" w:hAnsi="仿宋" w:eastAsia="仿宋" w:cs="仿宋"/>
          <w:sz w:val="28"/>
        </w:rPr>
        <w:t>成绩评定是根据竞赛考核目标、内容对参赛队或选手在竞赛过程中的表现和最终成果做出评价，本赛项的评分方法分结果评分。结果评分是对参赛选手提交的竞赛成果和作答卷，依据赛项评价标准进行评价评分。所有的评分表、成绩汇总表备案以供核查，最终的成绩由裁判长进行审核确认并上报大赛组委会。</w:t>
      </w:r>
    </w:p>
    <w:p w14:paraId="0D061CAA">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3、成绩解密</w:t>
      </w:r>
    </w:p>
    <w:p w14:paraId="31F0D828">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裁判长正式提交赛位（竞赛作品）评分结果并复核无误后，加密裁判在</w:t>
      </w:r>
      <w:r>
        <w:rPr>
          <w:rFonts w:hint="eastAsia" w:ascii="仿宋" w:hAnsi="仿宋" w:eastAsia="仿宋" w:cs="仿宋"/>
          <w:sz w:val="28"/>
        </w:rPr>
        <w:t>监督仲裁</w:t>
      </w:r>
      <w:r>
        <w:rPr>
          <w:rFonts w:hint="eastAsia" w:ascii="仿宋" w:hAnsi="仿宋" w:eastAsia="仿宋" w:cs="仿宋"/>
          <w:sz w:val="28"/>
          <w:szCs w:val="30"/>
        </w:rPr>
        <w:t>组人员监督下对加密结果进行逐层解密。</w:t>
      </w:r>
    </w:p>
    <w:p w14:paraId="6374DCF2">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4、成绩公布</w:t>
      </w:r>
    </w:p>
    <w:p w14:paraId="23DA702C">
      <w:pPr>
        <w:spacing w:line="360" w:lineRule="auto"/>
        <w:ind w:firstLine="560" w:firstLineChars="200"/>
        <w:rPr>
          <w:rFonts w:hint="eastAsia" w:ascii="仿宋" w:hAnsi="仿宋" w:eastAsia="仿宋" w:cs="仿宋"/>
          <w:sz w:val="28"/>
        </w:rPr>
      </w:pPr>
      <w:r>
        <w:rPr>
          <w:rFonts w:hint="eastAsia" w:ascii="仿宋" w:hAnsi="仿宋" w:eastAsia="仿宋" w:cs="仿宋"/>
          <w:sz w:val="28"/>
        </w:rPr>
        <w:t>赛项成绩在赛项结束后由大赛组委会负责公布最终成绩。任何组织和个人，不得擅自对大赛成绩进行涂改、伪造或用于欺诈等违法犯罪活动、如需使用大赛成绩，应报赛项执委会审批。</w:t>
      </w:r>
    </w:p>
    <w:p w14:paraId="55597A28">
      <w:pPr>
        <w:pStyle w:val="2"/>
        <w:rPr>
          <w:rFonts w:hint="eastAsia" w:ascii="黑体" w:hAnsi="黑体" w:eastAsia="黑体" w:cs="黑体"/>
          <w:bCs w:val="0"/>
          <w:kern w:val="2"/>
          <w:sz w:val="30"/>
          <w:szCs w:val="30"/>
        </w:rPr>
      </w:pPr>
      <w:r>
        <w:rPr>
          <w:rFonts w:hint="eastAsia" w:ascii="黑体" w:hAnsi="黑体" w:eastAsia="黑体" w:cs="黑体"/>
          <w:bCs w:val="0"/>
          <w:kern w:val="2"/>
          <w:sz w:val="30"/>
          <w:szCs w:val="30"/>
        </w:rPr>
        <w:t>十二、奖项设定</w:t>
      </w:r>
    </w:p>
    <w:p w14:paraId="5F9F4D58">
      <w:pPr>
        <w:spacing w:line="360" w:lineRule="auto"/>
        <w:ind w:firstLine="560" w:firstLineChars="200"/>
        <w:rPr>
          <w:rFonts w:hint="eastAsia" w:ascii="仿宋" w:hAnsi="仿宋" w:eastAsia="仿宋" w:cs="仿宋"/>
          <w:sz w:val="28"/>
        </w:rPr>
      </w:pPr>
      <w:r>
        <w:rPr>
          <w:rFonts w:hint="eastAsia" w:ascii="仿宋" w:hAnsi="仿宋" w:eastAsia="仿宋" w:cs="仿宋"/>
          <w:sz w:val="28"/>
        </w:rPr>
        <w:t>竞赛设参赛选手团体奖。</w:t>
      </w:r>
    </w:p>
    <w:p w14:paraId="7252FBBA">
      <w:pPr>
        <w:spacing w:line="360" w:lineRule="auto"/>
        <w:ind w:firstLine="560" w:firstLineChars="200"/>
        <w:rPr>
          <w:rFonts w:hint="eastAsia" w:ascii="仿宋" w:hAnsi="仿宋" w:eastAsia="仿宋" w:cs="仿宋"/>
          <w:sz w:val="28"/>
        </w:rPr>
      </w:pPr>
      <w:r>
        <w:rPr>
          <w:rFonts w:hint="eastAsia" w:ascii="仿宋" w:hAnsi="仿宋" w:eastAsia="仿宋" w:cs="仿宋"/>
          <w:sz w:val="28"/>
        </w:rPr>
        <w:t>以赛项实际参赛队总数为基数，一等奖占比10%，二等奖占比20%，三等奖占比30%，小数点后四舍五入；</w:t>
      </w:r>
    </w:p>
    <w:p w14:paraId="042D5963">
      <w:pPr>
        <w:spacing w:line="360" w:lineRule="auto"/>
        <w:ind w:firstLine="560" w:firstLineChars="200"/>
        <w:rPr>
          <w:rFonts w:hint="eastAsia" w:ascii="仿宋" w:hAnsi="仿宋" w:eastAsia="仿宋" w:cs="仿宋"/>
          <w:sz w:val="28"/>
        </w:rPr>
      </w:pPr>
      <w:r>
        <w:rPr>
          <w:rFonts w:hint="eastAsia" w:ascii="仿宋" w:hAnsi="仿宋" w:eastAsia="仿宋" w:cs="仿宋"/>
          <w:sz w:val="28"/>
        </w:rPr>
        <w:t>大赛所有荣誉证书、奖杯由大赛组委会统一制作颁发。</w:t>
      </w:r>
    </w:p>
    <w:p w14:paraId="01D7F1DE">
      <w:pPr>
        <w:spacing w:line="360" w:lineRule="auto"/>
        <w:ind w:firstLine="560" w:firstLineChars="200"/>
        <w:rPr>
          <w:rFonts w:hint="eastAsia" w:ascii="仿宋" w:hAnsi="仿宋" w:eastAsia="仿宋" w:cs="仿宋"/>
          <w:sz w:val="28"/>
        </w:rPr>
      </w:pPr>
      <w:r>
        <w:rPr>
          <w:rFonts w:hint="eastAsia" w:ascii="仿宋" w:hAnsi="仿宋" w:eastAsia="仿宋" w:cs="仿宋"/>
          <w:sz w:val="28"/>
        </w:rPr>
        <w:t>如出现参赛队总分相同情况，按照 A、B模块顺序的得分高低排序，即总成绩相同的情况下比较 A 模块的成绩，A 模块成绩高的排名优先，如果 A 模块成绩也相同，则按 B 模块的成绩进行排名。如果 A、B各模块分值均相同，则查看职业素养的分值进行排序。</w:t>
      </w:r>
    </w:p>
    <w:p w14:paraId="2D032334">
      <w:pPr>
        <w:pStyle w:val="2"/>
        <w:rPr>
          <w:rFonts w:hint="eastAsia" w:ascii="黑体" w:hAnsi="黑体" w:eastAsia="黑体" w:cs="黑体"/>
          <w:bCs w:val="0"/>
          <w:kern w:val="2"/>
          <w:sz w:val="30"/>
          <w:szCs w:val="30"/>
        </w:rPr>
      </w:pPr>
      <w:r>
        <w:rPr>
          <w:rFonts w:hint="eastAsia" w:ascii="黑体" w:hAnsi="黑体" w:eastAsia="黑体" w:cs="黑体"/>
          <w:bCs w:val="0"/>
          <w:kern w:val="2"/>
          <w:sz w:val="30"/>
          <w:szCs w:val="30"/>
        </w:rPr>
        <w:t>十三、赛场预案</w:t>
      </w:r>
    </w:p>
    <w:p w14:paraId="74D8719B">
      <w:pPr>
        <w:widowControl/>
        <w:spacing w:line="560" w:lineRule="exact"/>
        <w:ind w:firstLine="560" w:firstLineChars="200"/>
        <w:jc w:val="left"/>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按照</w:t>
      </w:r>
      <w:r>
        <w:rPr>
          <w:rFonts w:hint="eastAsia" w:ascii="仿宋" w:hAnsi="仿宋" w:eastAsia="仿宋" w:cs="仿宋"/>
          <w:bCs/>
          <w:color w:val="000000"/>
          <w:kern w:val="28"/>
          <w:sz w:val="28"/>
          <w:szCs w:val="28"/>
          <w:lang w:val="en-US" w:eastAsia="zh-CN"/>
        </w:rPr>
        <w:t>本身</w:t>
      </w:r>
      <w:r>
        <w:rPr>
          <w:rFonts w:hint="eastAsia" w:ascii="仿宋" w:hAnsi="仿宋" w:eastAsia="仿宋" w:cs="仿宋"/>
          <w:bCs/>
          <w:color w:val="000000"/>
          <w:kern w:val="28"/>
          <w:sz w:val="28"/>
          <w:szCs w:val="28"/>
        </w:rPr>
        <w:t>职业院校技能大赛相关制度执行。</w:t>
      </w:r>
    </w:p>
    <w:p w14:paraId="57B43E05">
      <w:pPr>
        <w:spacing w:line="560" w:lineRule="exact"/>
        <w:ind w:firstLine="560" w:firstLineChars="200"/>
        <w:rPr>
          <w:rFonts w:hint="eastAsia" w:ascii="仿宋" w:hAnsi="仿宋" w:eastAsia="仿宋" w:cs="仿宋"/>
          <w:bCs/>
          <w:color w:val="000000"/>
          <w:kern w:val="28"/>
          <w:sz w:val="28"/>
          <w:szCs w:val="28"/>
        </w:rPr>
      </w:pPr>
      <w:r>
        <w:rPr>
          <w:rFonts w:hint="eastAsia" w:ascii="仿宋" w:hAnsi="仿宋" w:eastAsia="仿宋" w:cs="仿宋"/>
          <w:color w:val="000000"/>
          <w:sz w:val="28"/>
          <w:szCs w:val="32"/>
        </w:rPr>
        <w:t>1</w:t>
      </w:r>
      <w:r>
        <w:rPr>
          <w:rFonts w:hint="eastAsia" w:ascii="仿宋" w:hAnsi="仿宋" w:eastAsia="仿宋" w:cs="仿宋"/>
          <w:bCs/>
          <w:color w:val="000000"/>
          <w:kern w:val="28"/>
          <w:sz w:val="28"/>
          <w:szCs w:val="28"/>
        </w:rPr>
        <w:t>.竞赛软硬件环境和电脑在比赛前进行压力测试，验证功能正常。竞赛现场准备有1-2套完整的竞赛环境和充足的备用设备，保证在出现非选手原因的损坏时，经现场裁判认定，裁判长确认后，由赛场技术支持人员予以及时更换。</w:t>
      </w:r>
    </w:p>
    <w:p w14:paraId="780093EB">
      <w:pPr>
        <w:spacing w:line="560" w:lineRule="exact"/>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2.竞赛过程中出现设备掉电、故障等意外时，现场裁判需及时确认情况，安排赛场技术支持人员进行处理，现场裁判登记详细情况，填写补时登记表，报裁判长批准后，可安排延长补足相应选手的比赛时间。</w:t>
      </w:r>
    </w:p>
    <w:p w14:paraId="7064E4AF">
      <w:pPr>
        <w:spacing w:line="560" w:lineRule="exact"/>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3.本赛项竞赛过程中各个竞赛工位为独立供电且各个参赛队均采用独立网络进行竞赛，如在竞赛时某赛位参赛队出现意外境况不会影响其它赛位正常比赛，不会由此对成绩产生影响。</w:t>
      </w:r>
    </w:p>
    <w:p w14:paraId="20E7B720">
      <w:pPr>
        <w:ind w:firstLine="560" w:firstLineChars="200"/>
        <w:rPr>
          <w:rFonts w:hint="eastAsia" w:ascii="仿宋" w:hAnsi="仿宋" w:eastAsia="仿宋" w:cs="仿宋"/>
        </w:rPr>
      </w:pPr>
      <w:r>
        <w:rPr>
          <w:rFonts w:hint="eastAsia" w:ascii="仿宋" w:hAnsi="仿宋" w:eastAsia="仿宋" w:cs="仿宋"/>
          <w:bCs/>
          <w:color w:val="000000"/>
          <w:kern w:val="28"/>
          <w:sz w:val="28"/>
          <w:szCs w:val="28"/>
        </w:rPr>
        <w:t>4.比赛期间发生大规模意外事故和安全问题，发现者应第一时间报告赛项执委会，赛项执委会应采取中止比赛、快速疏散人群等措施避免事态扩大，并第一时间报告赛项执委会。赛项出现重大安全问题可以停赛，是否停赛由赛项执委会决定。事后，赛项执委会应向上级领导部门报告详细情况。</w:t>
      </w:r>
    </w:p>
    <w:p w14:paraId="16A5794E">
      <w:pPr>
        <w:pStyle w:val="2"/>
        <w:rPr>
          <w:rFonts w:hint="eastAsia" w:ascii="黑体" w:hAnsi="黑体" w:eastAsia="黑体" w:cs="黑体"/>
          <w:bCs w:val="0"/>
          <w:kern w:val="2"/>
          <w:sz w:val="30"/>
          <w:szCs w:val="30"/>
        </w:rPr>
      </w:pPr>
      <w:r>
        <w:rPr>
          <w:rFonts w:hint="eastAsia" w:ascii="黑体" w:hAnsi="黑体" w:eastAsia="黑体" w:cs="黑体"/>
          <w:bCs w:val="0"/>
          <w:kern w:val="2"/>
          <w:sz w:val="30"/>
          <w:szCs w:val="30"/>
        </w:rPr>
        <w:t>十四、赛项安全</w:t>
      </w:r>
    </w:p>
    <w:p w14:paraId="39B95B3B">
      <w:pPr>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赛事安全是技能竞赛一切工作顺利开展的先决条件，是赛事筹备和运行工作必须考虑的核心问题。赛项执委会采取切实有效措施保证大赛期间参赛选手、指导教师、裁判员、工作人员及观众的人身安全。</w:t>
      </w:r>
    </w:p>
    <w:p w14:paraId="63A61C0D">
      <w:pPr>
        <w:spacing w:line="360" w:lineRule="auto"/>
        <w:ind w:right="210" w:rightChars="100" w:firstLine="420"/>
        <w:jc w:val="left"/>
        <w:outlineLvl w:val="1"/>
        <w:rPr>
          <w:rFonts w:hint="eastAsia" w:eastAsia="楷体"/>
          <w:b/>
          <w:sz w:val="32"/>
          <w:szCs w:val="40"/>
        </w:rPr>
      </w:pPr>
      <w:r>
        <w:rPr>
          <w:rFonts w:hint="eastAsia" w:eastAsia="楷体"/>
          <w:b/>
          <w:sz w:val="32"/>
          <w:szCs w:val="40"/>
        </w:rPr>
        <w:t>（一）比赛环境</w:t>
      </w:r>
    </w:p>
    <w:p w14:paraId="1F79352C">
      <w:pPr>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1.赛项执委会须在赛前组织专人对比赛现场、住宿场所和交通保障进行考察，并对安全工作提出明确要求。赛场的布置，赛场内的器材、设备，应符合国家有关安全规定。如有必要，也可进行赛场仿真模拟测试，以发现可能出现的问题。承办院校赛前须按照赛项执委会要求排除安全隐患。</w:t>
      </w:r>
    </w:p>
    <w:p w14:paraId="5A7E5501">
      <w:pPr>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2.赛场周围要设立警戒线，要求所有参赛人员必须凭赛项执委会印发的有效证件进入场地，防止无关人员进入发生意外事件。比赛现场内应参照相关职业岗位的要求为选手提供必要的劳动保护。在具有危险性的操作环节，裁判员要严防选手出现错误操作。</w:t>
      </w:r>
    </w:p>
    <w:p w14:paraId="246AB3FA">
      <w:pPr>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3.承办院校应提供保证应急预案实施的条件。对于比赛内容涉及高空作业、可能有坠物、大用电量、易发生火灾等情况的赛项，必须明确制度和预案，并配备急救人员与设施。</w:t>
      </w:r>
    </w:p>
    <w:p w14:paraId="353CBFED">
      <w:pPr>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4.严格控制与参赛无关的易燃易爆以及各类危险品进入比赛场地，不许随便携带书包进入赛场。</w:t>
      </w:r>
    </w:p>
    <w:p w14:paraId="2C94A5D8">
      <w:pPr>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5.配备先进的仪器，防止有人利用电磁波干扰比赛秩序。大赛现场需对赛场进行网络安全控制，以免场内外信息交互，充分体现大赛的严肃、公平和公正性。</w:t>
      </w:r>
    </w:p>
    <w:p w14:paraId="21ECA634">
      <w:pPr>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6.赛项执委会须会同承办院校制定开放赛场和体验区的人员疏导方案。赛场环境中存在人员密集、车流人流交错的区域，除了设置齐全的指示标志外，须增加引导人员，并开辟备用通道。</w:t>
      </w:r>
    </w:p>
    <w:p w14:paraId="1BB8068B">
      <w:pPr>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7.大赛期间，承办院校须在赛场管理的关键岗位，增加力量，建立安全管理日志。</w:t>
      </w:r>
    </w:p>
    <w:p w14:paraId="60DA7B58">
      <w:pPr>
        <w:spacing w:line="360" w:lineRule="auto"/>
        <w:ind w:right="210" w:rightChars="100" w:firstLine="420"/>
        <w:jc w:val="left"/>
        <w:outlineLvl w:val="1"/>
        <w:rPr>
          <w:rFonts w:hint="eastAsia" w:eastAsia="楷体"/>
          <w:b/>
          <w:sz w:val="32"/>
          <w:szCs w:val="40"/>
        </w:rPr>
      </w:pPr>
      <w:r>
        <w:rPr>
          <w:rFonts w:hint="eastAsia" w:eastAsia="楷体"/>
          <w:b/>
          <w:sz w:val="32"/>
          <w:szCs w:val="40"/>
        </w:rPr>
        <w:t>（二）生活条件</w:t>
      </w:r>
    </w:p>
    <w:p w14:paraId="1EC068A4">
      <w:pPr>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1.比赛期间，原则上由赛项承办院校统一安排参赛选手和指导教师食宿。承办院校须尊重少数民族的信仰及文化，根据国家相关的民族政策，安排好少数民族选手和教师的饮食起居。</w:t>
      </w:r>
    </w:p>
    <w:p w14:paraId="299F69E8">
      <w:pPr>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2.比赛期间安排的住宿地应具有宾馆/住宿经营许可资质。以学校宿舍作为住宿地的，大赛期间的住宿、卫生、饮食安全等由执委会和提供宿舍的学校共同负责。</w:t>
      </w:r>
    </w:p>
    <w:p w14:paraId="45E0B7E9">
      <w:pPr>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3.大赛期间有组织的参观和观摩活动的交通安全由赛项组委会负责。赛项执委会和承办院校须保证比赛期间选手、指导教师和裁判员、工作人员的交通安全。</w:t>
      </w:r>
    </w:p>
    <w:p w14:paraId="6B4853A2">
      <w:pPr>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4.各赛项的安全管理，除了可以采取必要的安全隔离措施外，应严格遵守国家相关法律法规，保护个人隐私和人身自由。</w:t>
      </w:r>
    </w:p>
    <w:p w14:paraId="35E6EDC0">
      <w:pPr>
        <w:spacing w:line="360" w:lineRule="auto"/>
        <w:ind w:right="210" w:rightChars="100" w:firstLine="420"/>
        <w:jc w:val="left"/>
        <w:outlineLvl w:val="1"/>
        <w:rPr>
          <w:rFonts w:hint="eastAsia" w:eastAsia="楷体"/>
          <w:b/>
          <w:sz w:val="32"/>
          <w:szCs w:val="40"/>
        </w:rPr>
      </w:pPr>
      <w:r>
        <w:rPr>
          <w:rFonts w:hint="eastAsia" w:eastAsia="楷体"/>
          <w:b/>
          <w:sz w:val="32"/>
          <w:szCs w:val="40"/>
        </w:rPr>
        <w:t>（三）应急处理</w:t>
      </w:r>
    </w:p>
    <w:p w14:paraId="23F29DEA">
      <w:pPr>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比赛期间发生意外事故时，发现者应在第一时间报告赛项执委会，同时采取措施，避免事态扩大。赛项执委会应立即启动预案予以解决。出现重大安全问题的赛项可以停赛，是否停赛由赛项组委会决定。事后，赛项执委会应向赛项组委会报告详细情况。</w:t>
      </w:r>
    </w:p>
    <w:p w14:paraId="3EBF0BE4">
      <w:pPr>
        <w:spacing w:line="360" w:lineRule="auto"/>
        <w:ind w:right="210" w:rightChars="100" w:firstLine="420"/>
        <w:jc w:val="left"/>
        <w:outlineLvl w:val="1"/>
        <w:rPr>
          <w:rFonts w:hint="eastAsia" w:eastAsia="楷体"/>
          <w:b/>
          <w:sz w:val="32"/>
          <w:szCs w:val="40"/>
        </w:rPr>
      </w:pPr>
      <w:r>
        <w:rPr>
          <w:rFonts w:hint="eastAsia" w:eastAsia="楷体"/>
          <w:b/>
          <w:sz w:val="32"/>
          <w:szCs w:val="40"/>
        </w:rPr>
        <w:t>（四）处罚措施</w:t>
      </w:r>
    </w:p>
    <w:p w14:paraId="0B3C2C16">
      <w:pPr>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1.因参赛队伍原因造成重大安全事故的，取消其获奖资格。</w:t>
      </w:r>
    </w:p>
    <w:p w14:paraId="626EB143">
      <w:pPr>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2.参赛队伍有发生重大安全事故隐患，经赛场工作人员提示、警告无效的，可取消其继续比赛的资格。</w:t>
      </w:r>
    </w:p>
    <w:p w14:paraId="0D4B0A78">
      <w:pPr>
        <w:ind w:firstLine="560" w:firstLineChars="200"/>
        <w:rPr>
          <w:rFonts w:hint="eastAsia" w:ascii="仿宋" w:hAnsi="仿宋" w:eastAsia="仿宋" w:cs="仿宋"/>
          <w:bCs/>
          <w:color w:val="000000"/>
          <w:kern w:val="28"/>
          <w:sz w:val="28"/>
          <w:szCs w:val="28"/>
        </w:rPr>
      </w:pPr>
      <w:r>
        <w:rPr>
          <w:rFonts w:hint="eastAsia" w:ascii="仿宋" w:hAnsi="仿宋" w:eastAsia="仿宋" w:cs="仿宋"/>
          <w:bCs/>
          <w:color w:val="000000"/>
          <w:kern w:val="28"/>
          <w:sz w:val="28"/>
          <w:szCs w:val="28"/>
        </w:rPr>
        <w:t>3.赛事工作人员违规的，按照相应的制度追究责任。情节恶劣并造成重大安全事故的，由司法机关追究相应法律责任。</w:t>
      </w:r>
    </w:p>
    <w:p w14:paraId="06CE4524">
      <w:pPr>
        <w:pStyle w:val="2"/>
        <w:rPr>
          <w:rFonts w:hint="eastAsia" w:ascii="黑体" w:hAnsi="黑体" w:eastAsia="黑体" w:cs="黑体"/>
          <w:bCs w:val="0"/>
          <w:kern w:val="2"/>
          <w:sz w:val="30"/>
          <w:szCs w:val="30"/>
        </w:rPr>
      </w:pPr>
      <w:r>
        <w:rPr>
          <w:rFonts w:hint="eastAsia" w:ascii="黑体" w:hAnsi="黑体" w:eastAsia="黑体" w:cs="黑体"/>
          <w:bCs w:val="0"/>
          <w:kern w:val="2"/>
          <w:sz w:val="30"/>
          <w:szCs w:val="30"/>
        </w:rPr>
        <w:t>十五、竞赛须知</w:t>
      </w:r>
    </w:p>
    <w:p w14:paraId="195104E5">
      <w:pPr>
        <w:spacing w:line="360" w:lineRule="auto"/>
        <w:ind w:right="210" w:rightChars="100" w:firstLine="420"/>
        <w:jc w:val="left"/>
        <w:outlineLvl w:val="1"/>
        <w:rPr>
          <w:rFonts w:hint="eastAsia" w:eastAsia="楷体"/>
          <w:b/>
          <w:sz w:val="32"/>
          <w:szCs w:val="40"/>
        </w:rPr>
      </w:pPr>
      <w:r>
        <w:rPr>
          <w:rFonts w:hint="eastAsia" w:eastAsia="楷体"/>
          <w:b/>
          <w:sz w:val="32"/>
          <w:szCs w:val="40"/>
        </w:rPr>
        <w:t>（一）参赛队须知</w:t>
      </w:r>
    </w:p>
    <w:p w14:paraId="2C4E658C">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1.参赛队应该参加赛项承办单位组织的闭赛式等各项赛事活动。</w:t>
      </w:r>
    </w:p>
    <w:p w14:paraId="14658F06">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2.在赛事期间，领队及参赛队其他成员不得私自接触裁判，凡发现有弄虚作假者，取消其参赛资格，成绩无效。</w:t>
      </w:r>
    </w:p>
    <w:p w14:paraId="5B9B50B8">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3.所有参赛人员须按照赛项规程要求按照完成赛项评价工作。</w:t>
      </w:r>
    </w:p>
    <w:p w14:paraId="4DBC73D7">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4.对于有碍比赛公正和比赛正常进行的参赛队，视其情节轻重，按照</w:t>
      </w:r>
      <w:r>
        <w:rPr>
          <w:rFonts w:hint="eastAsia" w:ascii="仿宋" w:hAnsi="仿宋" w:eastAsia="仿宋" w:cs="仿宋"/>
          <w:sz w:val="28"/>
          <w:szCs w:val="28"/>
          <w:highlight w:val="yellow"/>
          <w:lang w:val="en-US" w:eastAsia="zh-CN"/>
        </w:rPr>
        <w:t>河北省</w:t>
      </w:r>
      <w:r>
        <w:rPr>
          <w:rFonts w:hint="eastAsia" w:ascii="仿宋" w:hAnsi="仿宋" w:eastAsia="仿宋" w:cs="仿宋"/>
          <w:sz w:val="28"/>
          <w:szCs w:val="30"/>
        </w:rPr>
        <w:t>职业院校技能大赛奖惩办法给予警告、取消比赛成绩、通报批评等处理。其中，对于比赛过程及有关活动造成重大影响的，以适当方式通告参赛院校或其所属地区的教育行政主管部门依据有关规定给予行政或纪律处分，同时停止该院校参加</w:t>
      </w:r>
      <w:r>
        <w:rPr>
          <w:rFonts w:hint="eastAsia" w:ascii="仿宋" w:hAnsi="仿宋" w:eastAsia="仿宋" w:cs="仿宋"/>
          <w:sz w:val="28"/>
          <w:szCs w:val="28"/>
          <w:highlight w:val="yellow"/>
          <w:lang w:val="en-US" w:eastAsia="zh-CN"/>
        </w:rPr>
        <w:t>河北省</w:t>
      </w:r>
      <w:r>
        <w:rPr>
          <w:rFonts w:hint="eastAsia" w:ascii="仿宋" w:hAnsi="仿宋" w:eastAsia="仿宋" w:cs="仿宋"/>
          <w:sz w:val="28"/>
          <w:szCs w:val="30"/>
        </w:rPr>
        <w:t>职业院校技能大赛1年。涉及刑事犯罪的移交司法机关处理。</w:t>
      </w:r>
    </w:p>
    <w:p w14:paraId="4379060C">
      <w:pPr>
        <w:spacing w:line="360" w:lineRule="auto"/>
        <w:ind w:right="210" w:rightChars="100" w:firstLine="420"/>
        <w:jc w:val="left"/>
        <w:outlineLvl w:val="1"/>
        <w:rPr>
          <w:rFonts w:hint="eastAsia" w:eastAsia="楷体"/>
          <w:b/>
          <w:sz w:val="32"/>
          <w:szCs w:val="40"/>
        </w:rPr>
      </w:pPr>
      <w:r>
        <w:rPr>
          <w:rFonts w:hint="eastAsia" w:eastAsia="楷体"/>
          <w:b/>
          <w:sz w:val="32"/>
          <w:szCs w:val="40"/>
        </w:rPr>
        <w:t>（二）指导教师须知</w:t>
      </w:r>
    </w:p>
    <w:p w14:paraId="69B54D34">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1.指导教师应该根据专业教学计划和赛项规程合理制定训练方案，认真指导选手训练，培养选手的综合职业能力和良好的职业素养，克服功利化思想，避免为赛而学、以赛代学。</w:t>
      </w:r>
    </w:p>
    <w:p w14:paraId="74532215">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2.指导教师应该根据赛项规程要求做好参赛选手安全工作，并积极做好选手的安全教育。</w:t>
      </w:r>
    </w:p>
    <w:p w14:paraId="4E95A7C0">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3.指导教师参加赛项观摩等活动，不得违反赛项规定进入赛场，干扰比赛正常进行。</w:t>
      </w:r>
    </w:p>
    <w:p w14:paraId="565CF61D">
      <w:pPr>
        <w:spacing w:line="360" w:lineRule="auto"/>
        <w:ind w:right="210" w:rightChars="100" w:firstLine="420"/>
        <w:jc w:val="left"/>
        <w:outlineLvl w:val="1"/>
        <w:rPr>
          <w:rFonts w:hint="eastAsia" w:eastAsia="楷体"/>
          <w:b/>
          <w:sz w:val="32"/>
          <w:szCs w:val="40"/>
        </w:rPr>
      </w:pPr>
      <w:r>
        <w:rPr>
          <w:rFonts w:hint="eastAsia" w:eastAsia="楷体"/>
          <w:b/>
          <w:sz w:val="32"/>
          <w:szCs w:val="40"/>
        </w:rPr>
        <w:t>（三）参赛选手须知</w:t>
      </w:r>
    </w:p>
    <w:p w14:paraId="0A42B949">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1.参赛选手凭赛项执委会颁发的参赛凭证和有效身份证件（身份证、学生证）参加竞赛及相关活动，在赛场内操作期间应当始终佩带参赛凭证以备检查。</w:t>
      </w:r>
    </w:p>
    <w:p w14:paraId="1FC35F4E">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2.参赛选手须严格按规定时间进入比赛场地，对现场条件进行确认并签字，按统一指令开始竞赛，在收到开赛信号前不得启动操作。各参赛队自行决定分工、工作程序和时间安排，在指定工位上完成竞赛项目。</w:t>
      </w:r>
    </w:p>
    <w:p w14:paraId="48DF1E60">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3.参赛选手不允许携带任何竞赛规程禁止使用的电子产品及通讯工具，以及其它与竞赛有关的资料和书籍，不得以任何方式泄露参赛院校、选手姓名等涉及竞赛场上应该保密的信息。</w:t>
      </w:r>
    </w:p>
    <w:p w14:paraId="12FBEE9B">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4.参赛选手比赛时间内连续工作，食品、饮水等由赛场统一提供。选手休息、饮食及如厕时间均计算在比赛时间内。</w:t>
      </w:r>
    </w:p>
    <w:p w14:paraId="27A39A2E">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5.竞赛期间，参赛选手不得提前离开赛场。如特殊原因（如身体不适等）无法继续参赛的，需举手请示裁判，经裁判同意后方可离开赛场。选手离开赛场后不得在场外逗留，也不得再返回赛场。</w:t>
      </w:r>
    </w:p>
    <w:p w14:paraId="6F7E9C3F">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6.竞赛结束时间到后，选手不得再进行任何与竞赛有关的操作。参赛队若提前结束比赛，应向裁判员举手示意，裁判员记录比赛完成时间。</w:t>
      </w:r>
    </w:p>
    <w:p w14:paraId="14E21E57">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7.参赛选手须按照竞赛要求及规定提交竞赛结果及相关文件，禁止在竞赛成果上做任何与竞赛无关的标记，如单位名称、参赛者姓名等，否则视为作弊。</w:t>
      </w:r>
    </w:p>
    <w:p w14:paraId="40F33464">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8.参赛选手须严格遵守操作规程，确保人身及设备安全。竞赛期间，若因选手个人原因出现安全事件或设备故障不能进行竞赛的，由裁判组裁定其竞赛结束，保留竞赛资格，累计其有效竞赛成绩；非选手个人原因出现的设备故障，由裁判组做出裁决，可视具体情况给选手补足排除故障耗费时间。</w:t>
      </w:r>
    </w:p>
    <w:p w14:paraId="4D8CBF68">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9.参赛选手须严格遵守赛场规章制度、服从裁判，文明竞赛。有作弊行为的，参赛队该项成绩为0分；如有不服从裁判、扰乱赛场秩序等不文明行为，按照相关规定扣减分数，情节严重的取消比赛资格和成绩。</w:t>
      </w:r>
    </w:p>
    <w:p w14:paraId="648047B0">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10.为培养技能型人才的工作风格，在参赛期间，参赛选手应当注意保持工作环境及设备摆放，符合企业生产“5S”（即整理、整顿、清扫、清洁和素养）的原则，如果过于脏乱，裁判员有权酌情扣分。</w:t>
      </w:r>
    </w:p>
    <w:p w14:paraId="62BFDD86">
      <w:pPr>
        <w:spacing w:line="360" w:lineRule="auto"/>
        <w:ind w:right="210" w:rightChars="100" w:firstLine="420"/>
        <w:jc w:val="left"/>
        <w:outlineLvl w:val="1"/>
        <w:rPr>
          <w:rFonts w:hint="eastAsia" w:eastAsia="楷体"/>
          <w:b/>
          <w:sz w:val="32"/>
          <w:szCs w:val="40"/>
        </w:rPr>
      </w:pPr>
      <w:r>
        <w:rPr>
          <w:rFonts w:hint="eastAsia" w:eastAsia="楷体"/>
          <w:b/>
          <w:sz w:val="32"/>
          <w:szCs w:val="40"/>
        </w:rPr>
        <w:t>（四）工作人员须知</w:t>
      </w:r>
    </w:p>
    <w:p w14:paraId="466A5445">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1.服从赛项执委会的领导，遵守职业道德、坚持原则、按章办事，以高度负责的精神、严肃认真的态度和严谨细致的作风做好工作，为赛场提供有序的服务。</w:t>
      </w:r>
    </w:p>
    <w:p w14:paraId="5653D407">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2.佩带工作人员证件，仪表整洁，忠于职守，语言举止文明礼貌。</w:t>
      </w:r>
    </w:p>
    <w:p w14:paraId="1FCD0A6D">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3.熟悉《竞赛规程》，认真执行竞赛规则，严格按照工作程序和有关规定办事，遇突发事件，按照应急预案，组织指挥人员疏散，确保人员安全。</w:t>
      </w:r>
    </w:p>
    <w:p w14:paraId="054238FD">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4.坚守岗位，不迟到，不早退，不擅离职守。</w:t>
      </w:r>
    </w:p>
    <w:p w14:paraId="53E723CE">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5.赛场工作人员要积极维护好赛场秩序，以利于参赛选手正常发挥水平。</w:t>
      </w:r>
    </w:p>
    <w:p w14:paraId="55C67B2B">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6.赛场工作人员在比赛中不回答选手提出的任何有关比赛技术问题，如遇争议问题，需上报执委会。</w:t>
      </w:r>
    </w:p>
    <w:p w14:paraId="32B67548">
      <w:pPr>
        <w:pStyle w:val="2"/>
        <w:rPr>
          <w:rFonts w:hint="eastAsia" w:ascii="黑体" w:hAnsi="黑体" w:eastAsia="黑体" w:cs="黑体"/>
          <w:bCs w:val="0"/>
          <w:kern w:val="2"/>
          <w:sz w:val="30"/>
          <w:szCs w:val="30"/>
        </w:rPr>
      </w:pPr>
      <w:r>
        <w:rPr>
          <w:rFonts w:hint="eastAsia" w:ascii="黑体" w:hAnsi="黑体" w:eastAsia="黑体" w:cs="黑体"/>
          <w:bCs w:val="0"/>
          <w:kern w:val="2"/>
          <w:sz w:val="30"/>
          <w:szCs w:val="30"/>
        </w:rPr>
        <w:t>十六、申诉与仲裁</w:t>
      </w:r>
    </w:p>
    <w:p w14:paraId="72DF12B6">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1.各参赛队对不符合大赛和赛项规程规定的仪器、设备、工装、材料、物件、计算机软硬件、竞赛使用工具、用品，竞赛执裁、赛场管理，以及工作人员的不规范行为等，可向赛项监督仲裁组提出申诉。申诉主体为参赛队领队。参赛队领队可在比赛结束后1小时之内向监督仲裁组提出书面申诉。</w:t>
      </w:r>
    </w:p>
    <w:p w14:paraId="4E440944">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2.书面申诉应对申诉事件的现象、发生时间、涉及人员、申诉依据等进行充分、实事求是的叙述，并由领队亲笔签名。非书面申诉不予受理。</w:t>
      </w:r>
    </w:p>
    <w:p w14:paraId="5A928829">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3.赛项监督仲裁组</w:t>
      </w:r>
      <w:r>
        <w:rPr>
          <w:rFonts w:hint="eastAsia" w:ascii="仿宋" w:hAnsi="仿宋" w:eastAsia="仿宋" w:cs="仿宋"/>
          <w:sz w:val="28"/>
        </w:rPr>
        <w:t>收到申诉报告后，应根据申诉事由进行审查，2小时内通知申诉方，告知申诉处理结果</w:t>
      </w:r>
      <w:r>
        <w:rPr>
          <w:rFonts w:hint="eastAsia" w:ascii="仿宋" w:hAnsi="仿宋" w:eastAsia="仿宋" w:cs="仿宋"/>
          <w:sz w:val="28"/>
          <w:szCs w:val="30"/>
        </w:rPr>
        <w:t>。</w:t>
      </w:r>
    </w:p>
    <w:p w14:paraId="513F7346">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rPr>
        <w:t>4.申诉人不得无故拒不接受处理结果，不允许采取过激行为刁难、攻击工作人员，否则视为放弃申诉。申诉人不满意赛项仲裁工作组的处理结果的，可向大赛仲裁委员会提出复议申请。大赛仲裁委员会在接到复议申请后的1天内组织复议，并及时反馈复议结果。大赛仲裁委员会的仲裁结果为最终结果。</w:t>
      </w:r>
    </w:p>
    <w:p w14:paraId="3D441968">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5.仲裁结果由申诉人签收，不能代收，如在约定时间和地点申诉人离开，视为自行放弃申诉。</w:t>
      </w:r>
    </w:p>
    <w:p w14:paraId="5728355D">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6.申诉方可随时提出放弃申诉。</w:t>
      </w:r>
    </w:p>
    <w:p w14:paraId="31617DDA">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7.申诉方不得以任何理由采取过激行为扰乱赛场秩序。</w:t>
      </w:r>
    </w:p>
    <w:p w14:paraId="32C28C3B">
      <w:pPr>
        <w:pStyle w:val="2"/>
        <w:rPr>
          <w:rFonts w:hint="eastAsia" w:ascii="黑体" w:hAnsi="黑体" w:eastAsia="黑体" w:cs="黑体"/>
          <w:bCs w:val="0"/>
          <w:kern w:val="2"/>
          <w:sz w:val="30"/>
          <w:szCs w:val="30"/>
        </w:rPr>
      </w:pPr>
      <w:r>
        <w:rPr>
          <w:rFonts w:hint="eastAsia" w:ascii="黑体" w:hAnsi="黑体" w:eastAsia="黑体" w:cs="黑体"/>
          <w:bCs w:val="0"/>
          <w:kern w:val="2"/>
          <w:sz w:val="30"/>
          <w:szCs w:val="30"/>
        </w:rPr>
        <w:t>十七、竞赛观摩</w:t>
      </w:r>
    </w:p>
    <w:p w14:paraId="124F95DE">
      <w:pPr>
        <w:spacing w:line="360" w:lineRule="auto"/>
        <w:ind w:right="210" w:rightChars="100" w:firstLine="420"/>
        <w:jc w:val="left"/>
        <w:outlineLvl w:val="1"/>
        <w:rPr>
          <w:rFonts w:hint="eastAsia" w:eastAsia="楷体"/>
          <w:b/>
          <w:sz w:val="32"/>
          <w:szCs w:val="40"/>
        </w:rPr>
      </w:pPr>
      <w:r>
        <w:rPr>
          <w:rFonts w:hint="eastAsia" w:eastAsia="楷体"/>
          <w:b/>
          <w:sz w:val="32"/>
          <w:szCs w:val="40"/>
        </w:rPr>
        <w:t>（一）竞赛观摩</w:t>
      </w:r>
    </w:p>
    <w:p w14:paraId="65848D0F">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媒体观众可以在不打扰选手竞赛的要求下，沿现场指定观摩通道有组织地参观竞赛现场，了解物联网技术及职业教育教学成果。</w:t>
      </w:r>
    </w:p>
    <w:p w14:paraId="615C8FD8">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在赛场外布置开放式展区，对物联网技术应用进行科普宣传，将物联网技术应用在人们生活中的应用或者未来生活的应用对公众进行展现。</w:t>
      </w:r>
    </w:p>
    <w:p w14:paraId="14B62636">
      <w:pPr>
        <w:spacing w:line="360" w:lineRule="auto"/>
        <w:ind w:right="210" w:rightChars="100" w:firstLine="420"/>
        <w:jc w:val="left"/>
        <w:outlineLvl w:val="1"/>
        <w:rPr>
          <w:rFonts w:hint="eastAsia" w:eastAsia="楷体"/>
          <w:b/>
          <w:sz w:val="32"/>
          <w:szCs w:val="40"/>
        </w:rPr>
      </w:pPr>
      <w:r>
        <w:rPr>
          <w:rFonts w:hint="eastAsia" w:eastAsia="楷体"/>
          <w:b/>
          <w:sz w:val="32"/>
          <w:szCs w:val="40"/>
        </w:rPr>
        <w:t>（二）组织安排</w:t>
      </w:r>
      <w:bookmarkStart w:id="5" w:name="_GoBack"/>
      <w:bookmarkEnd w:id="5"/>
    </w:p>
    <w:p w14:paraId="7C55F1B3">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观摩团在竞赛工作人员带领下，分批次到赛场观摩比赛。</w:t>
      </w:r>
    </w:p>
    <w:p w14:paraId="5BADA9FD">
      <w:pPr>
        <w:spacing w:line="360" w:lineRule="auto"/>
        <w:ind w:right="210" w:rightChars="100" w:firstLine="420"/>
        <w:jc w:val="left"/>
        <w:outlineLvl w:val="1"/>
        <w:rPr>
          <w:rFonts w:hint="eastAsia" w:eastAsia="楷体"/>
          <w:b/>
          <w:sz w:val="32"/>
          <w:szCs w:val="40"/>
        </w:rPr>
      </w:pPr>
      <w:r>
        <w:rPr>
          <w:rFonts w:hint="eastAsia" w:eastAsia="楷体"/>
          <w:b/>
          <w:sz w:val="32"/>
          <w:szCs w:val="40"/>
        </w:rPr>
        <w:t>（三）纪律要求</w:t>
      </w:r>
    </w:p>
    <w:p w14:paraId="5BF78D24">
      <w:pPr>
        <w:snapToGrid w:val="0"/>
        <w:spacing w:line="560" w:lineRule="exact"/>
        <w:ind w:firstLine="560" w:firstLineChars="200"/>
        <w:rPr>
          <w:rFonts w:hint="eastAsia" w:ascii="仿宋" w:hAnsi="仿宋" w:eastAsia="仿宋" w:cs="仿宋"/>
          <w:sz w:val="28"/>
          <w:szCs w:val="30"/>
        </w:rPr>
      </w:pPr>
      <w:r>
        <w:rPr>
          <w:rFonts w:hint="eastAsia" w:ascii="仿宋" w:hAnsi="仿宋" w:eastAsia="仿宋" w:cs="仿宋"/>
          <w:sz w:val="28"/>
          <w:szCs w:val="30"/>
        </w:rPr>
        <w:t xml:space="preserve">观摩团成员在赛场需保持安静，沿现场指定观摩通道有组织地参观竞赛现场，不可进入比赛区域，不可接触设备，影响选手比赛。 </w:t>
      </w:r>
    </w:p>
    <w:p w14:paraId="38823A23">
      <w:pPr>
        <w:rPr>
          <w:rFonts w:hint="eastAsia" w:ascii="仿宋" w:hAnsi="仿宋" w:eastAsia="仿宋" w:cs="仿宋"/>
        </w:rPr>
      </w:pPr>
      <w:r>
        <w:rPr>
          <w:rFonts w:hint="eastAsia" w:ascii="仿宋" w:hAnsi="仿宋" w:eastAsia="仿宋" w:cs="仿宋"/>
          <w:sz w:val="28"/>
          <w:szCs w:val="30"/>
        </w:rPr>
        <w:t>观摩者不可携带手机、IPAD等通讯工具进入赛场，不可与选手讲话、传递信息等，需遵守赛场纪律。</w:t>
      </w:r>
    </w:p>
    <w:p w14:paraId="4066BCC8">
      <w:pPr>
        <w:pStyle w:val="2"/>
        <w:rPr>
          <w:rFonts w:hint="eastAsia" w:ascii="黑体" w:hAnsi="黑体" w:eastAsia="黑体" w:cs="黑体"/>
          <w:bCs w:val="0"/>
          <w:kern w:val="2"/>
          <w:sz w:val="30"/>
          <w:szCs w:val="30"/>
        </w:rPr>
      </w:pPr>
      <w:r>
        <w:rPr>
          <w:rFonts w:hint="eastAsia" w:ascii="黑体" w:hAnsi="黑体" w:eastAsia="黑体" w:cs="黑体"/>
          <w:bCs w:val="0"/>
          <w:kern w:val="2"/>
          <w:sz w:val="30"/>
          <w:szCs w:val="30"/>
        </w:rPr>
        <w:t>十八、其他</w:t>
      </w:r>
    </w:p>
    <w:p w14:paraId="45A25333">
      <w:pPr>
        <w:ind w:firstLine="560" w:firstLineChars="200"/>
        <w:rPr>
          <w:rFonts w:hint="eastAsia" w:ascii="仿宋" w:hAnsi="仿宋" w:eastAsia="仿宋" w:cs="仿宋"/>
          <w:sz w:val="28"/>
          <w:szCs w:val="30"/>
        </w:rPr>
      </w:pPr>
      <w:r>
        <w:rPr>
          <w:rFonts w:hint="eastAsia" w:ascii="仿宋" w:hAnsi="仿宋" w:eastAsia="仿宋" w:cs="仿宋"/>
          <w:sz w:val="28"/>
          <w:szCs w:val="30"/>
        </w:rPr>
        <w:t>1、大赛任何工作都不应该破坏赛场周边环境。</w:t>
      </w:r>
    </w:p>
    <w:p w14:paraId="4D905CC5">
      <w:pPr>
        <w:ind w:firstLine="560" w:firstLineChars="200"/>
        <w:rPr>
          <w:rFonts w:hint="eastAsia" w:ascii="仿宋" w:hAnsi="仿宋" w:eastAsia="仿宋" w:cs="仿宋"/>
          <w:sz w:val="28"/>
          <w:szCs w:val="30"/>
        </w:rPr>
      </w:pPr>
      <w:r>
        <w:rPr>
          <w:rFonts w:hint="eastAsia" w:ascii="仿宋" w:hAnsi="仿宋" w:eastAsia="仿宋" w:cs="仿宋"/>
          <w:sz w:val="28"/>
          <w:szCs w:val="30"/>
        </w:rPr>
        <w:t>2、提倡绿色环保的理念，所有可循环利用的材料都应分类处理和收集。</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F0F52">
    <w:pPr>
      <w:pStyle w:val="6"/>
    </w:pPr>
    <w:r>
      <w:rPr>
        <w:sz w:val="18"/>
      </w:rPr>
      <mc:AlternateContent>
        <mc:Choice Requires="wps">
          <w:drawing>
            <wp:anchor distT="0" distB="0" distL="114300" distR="114300" simplePos="0" relativeHeight="251659264" behindDoc="0" locked="0" layoutInCell="1" allowOverlap="1">
              <wp:simplePos x="0" y="0"/>
              <wp:positionH relativeFrom="margin">
                <wp:posOffset>2186305</wp:posOffset>
              </wp:positionH>
              <wp:positionV relativeFrom="paragraph">
                <wp:posOffset>114300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22AB19">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72.15pt;margin-top:9pt;height:144pt;width:144pt;mso-position-horizontal-relative:margin;mso-wrap-style:none;z-index:251659264;mso-width-relative:page;mso-height-relative:page;" filled="f" stroked="f" coordsize="21600,21600" o:gfxdata="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CMPg7HWAAAACgEAAA8AAAAAAAAAAQAgAAAAIgAAAGRycy9kb3ducmV2LnhtbFBL&#10;AQIUABQAAAAIAIdO4kAkgka0MQIAAGEEAAAOAAAAAAAAAAEAIAAAACUBAABkcnMvZTJvRG9jLnht&#10;bFBLBQYAAAAABgAGAFkBAADIBQAAAAA=&#10;">
              <v:fill on="f" focussize="0,0"/>
              <v:stroke on="f" weight="0.5pt"/>
              <v:imagedata o:title=""/>
              <o:lock v:ext="edit" aspectratio="f"/>
              <v:textbox inset="0mm,0mm,0mm,0mm" style="mso-fit-shape-to-text:t;">
                <w:txbxContent>
                  <w:p w14:paraId="4622AB19">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v:textbox>
            </v:shape>
          </w:pict>
        </mc:Fallback>
      </mc:AlternateContent>
    </w:r>
  </w:p>
  <w:p w14:paraId="294CFF11"/>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5D240C"/>
    <w:multiLevelType w:val="multilevel"/>
    <w:tmpl w:val="345D240C"/>
    <w:lvl w:ilvl="0" w:tentative="0">
      <w:start w:val="1"/>
      <w:numFmt w:val="bullet"/>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Q3NzA1MGMzNTZhZWEzNDgwMTc2ZGIyN2MwMWZjMDAifQ=="/>
  </w:docVars>
  <w:rsids>
    <w:rsidRoot w:val="001E53BD"/>
    <w:rsid w:val="00005BCD"/>
    <w:rsid w:val="0001073B"/>
    <w:rsid w:val="000151EF"/>
    <w:rsid w:val="000235CA"/>
    <w:rsid w:val="00024369"/>
    <w:rsid w:val="00027AA4"/>
    <w:rsid w:val="00033DFF"/>
    <w:rsid w:val="00035117"/>
    <w:rsid w:val="00042597"/>
    <w:rsid w:val="000472FF"/>
    <w:rsid w:val="00057AA2"/>
    <w:rsid w:val="0006442E"/>
    <w:rsid w:val="00065E37"/>
    <w:rsid w:val="00066ECC"/>
    <w:rsid w:val="000716D0"/>
    <w:rsid w:val="00073166"/>
    <w:rsid w:val="000770D9"/>
    <w:rsid w:val="0007765B"/>
    <w:rsid w:val="00080768"/>
    <w:rsid w:val="00080C4D"/>
    <w:rsid w:val="00083AF1"/>
    <w:rsid w:val="00085369"/>
    <w:rsid w:val="00085B97"/>
    <w:rsid w:val="000865EE"/>
    <w:rsid w:val="00090A57"/>
    <w:rsid w:val="00094585"/>
    <w:rsid w:val="0009710B"/>
    <w:rsid w:val="000A1ADE"/>
    <w:rsid w:val="000B4E1D"/>
    <w:rsid w:val="000B5FD7"/>
    <w:rsid w:val="000C4CA8"/>
    <w:rsid w:val="000C5A9A"/>
    <w:rsid w:val="000C5E1E"/>
    <w:rsid w:val="000D16D6"/>
    <w:rsid w:val="000D6697"/>
    <w:rsid w:val="000D67EB"/>
    <w:rsid w:val="000D74AF"/>
    <w:rsid w:val="000D7B8F"/>
    <w:rsid w:val="000E4F36"/>
    <w:rsid w:val="000F37BD"/>
    <w:rsid w:val="000F5573"/>
    <w:rsid w:val="000F67EB"/>
    <w:rsid w:val="00100985"/>
    <w:rsid w:val="00101DAF"/>
    <w:rsid w:val="00105D75"/>
    <w:rsid w:val="00111C6D"/>
    <w:rsid w:val="00117265"/>
    <w:rsid w:val="00120F96"/>
    <w:rsid w:val="00123A1F"/>
    <w:rsid w:val="0012454A"/>
    <w:rsid w:val="00130419"/>
    <w:rsid w:val="0013658C"/>
    <w:rsid w:val="00137090"/>
    <w:rsid w:val="00162C32"/>
    <w:rsid w:val="00167ED5"/>
    <w:rsid w:val="00174017"/>
    <w:rsid w:val="00176832"/>
    <w:rsid w:val="00177063"/>
    <w:rsid w:val="00191FC5"/>
    <w:rsid w:val="00192A5E"/>
    <w:rsid w:val="001930F4"/>
    <w:rsid w:val="00193165"/>
    <w:rsid w:val="00194EBE"/>
    <w:rsid w:val="001A16F1"/>
    <w:rsid w:val="001A6430"/>
    <w:rsid w:val="001A7A64"/>
    <w:rsid w:val="001B2EE1"/>
    <w:rsid w:val="001B383E"/>
    <w:rsid w:val="001C32C5"/>
    <w:rsid w:val="001C4DCC"/>
    <w:rsid w:val="001D0D70"/>
    <w:rsid w:val="001D0E6D"/>
    <w:rsid w:val="001D4A41"/>
    <w:rsid w:val="001D4BD2"/>
    <w:rsid w:val="001E53BD"/>
    <w:rsid w:val="001E653A"/>
    <w:rsid w:val="001F52E3"/>
    <w:rsid w:val="001F5BAD"/>
    <w:rsid w:val="001F71E6"/>
    <w:rsid w:val="002034F5"/>
    <w:rsid w:val="00211BD8"/>
    <w:rsid w:val="00223368"/>
    <w:rsid w:val="00226D54"/>
    <w:rsid w:val="00233D27"/>
    <w:rsid w:val="00240BDA"/>
    <w:rsid w:val="00242104"/>
    <w:rsid w:val="0024220A"/>
    <w:rsid w:val="00254E64"/>
    <w:rsid w:val="00257EB3"/>
    <w:rsid w:val="00262F3C"/>
    <w:rsid w:val="002743BE"/>
    <w:rsid w:val="00275B6E"/>
    <w:rsid w:val="002852CC"/>
    <w:rsid w:val="002877EF"/>
    <w:rsid w:val="00290B4B"/>
    <w:rsid w:val="0029581E"/>
    <w:rsid w:val="00295ED3"/>
    <w:rsid w:val="002964F9"/>
    <w:rsid w:val="002A1315"/>
    <w:rsid w:val="002A6583"/>
    <w:rsid w:val="002A6594"/>
    <w:rsid w:val="002A7745"/>
    <w:rsid w:val="002B0F43"/>
    <w:rsid w:val="002B1794"/>
    <w:rsid w:val="002B6B9D"/>
    <w:rsid w:val="002C4808"/>
    <w:rsid w:val="002D5192"/>
    <w:rsid w:val="002E46DC"/>
    <w:rsid w:val="002E4F94"/>
    <w:rsid w:val="00304544"/>
    <w:rsid w:val="00306F24"/>
    <w:rsid w:val="00313D20"/>
    <w:rsid w:val="003165C7"/>
    <w:rsid w:val="0031790E"/>
    <w:rsid w:val="00317C66"/>
    <w:rsid w:val="00323BDF"/>
    <w:rsid w:val="00330DD9"/>
    <w:rsid w:val="00332724"/>
    <w:rsid w:val="0033374D"/>
    <w:rsid w:val="00337BC7"/>
    <w:rsid w:val="00337CE0"/>
    <w:rsid w:val="00347E75"/>
    <w:rsid w:val="00352BFF"/>
    <w:rsid w:val="003604C2"/>
    <w:rsid w:val="00372EAE"/>
    <w:rsid w:val="00372F2B"/>
    <w:rsid w:val="0037427A"/>
    <w:rsid w:val="00374D5C"/>
    <w:rsid w:val="00380C96"/>
    <w:rsid w:val="00383056"/>
    <w:rsid w:val="00391375"/>
    <w:rsid w:val="003C509C"/>
    <w:rsid w:val="003C707F"/>
    <w:rsid w:val="003D1054"/>
    <w:rsid w:val="003D1F80"/>
    <w:rsid w:val="003D2282"/>
    <w:rsid w:val="003D62F0"/>
    <w:rsid w:val="003E64E3"/>
    <w:rsid w:val="003F0866"/>
    <w:rsid w:val="003F586D"/>
    <w:rsid w:val="00413037"/>
    <w:rsid w:val="00420204"/>
    <w:rsid w:val="004249BD"/>
    <w:rsid w:val="0043129C"/>
    <w:rsid w:val="00433F0F"/>
    <w:rsid w:val="00441EB2"/>
    <w:rsid w:val="00442FB5"/>
    <w:rsid w:val="00456ADD"/>
    <w:rsid w:val="00461F3E"/>
    <w:rsid w:val="0046661F"/>
    <w:rsid w:val="00467196"/>
    <w:rsid w:val="00467915"/>
    <w:rsid w:val="00472DD4"/>
    <w:rsid w:val="00484691"/>
    <w:rsid w:val="0049127D"/>
    <w:rsid w:val="00491E12"/>
    <w:rsid w:val="00495D86"/>
    <w:rsid w:val="004B0BAC"/>
    <w:rsid w:val="004B3039"/>
    <w:rsid w:val="004B735F"/>
    <w:rsid w:val="004C1815"/>
    <w:rsid w:val="004C5DB5"/>
    <w:rsid w:val="004D1A7B"/>
    <w:rsid w:val="004D4460"/>
    <w:rsid w:val="004D670F"/>
    <w:rsid w:val="004D6F81"/>
    <w:rsid w:val="004E468F"/>
    <w:rsid w:val="004E512C"/>
    <w:rsid w:val="004F1892"/>
    <w:rsid w:val="00512156"/>
    <w:rsid w:val="005166FF"/>
    <w:rsid w:val="005223ED"/>
    <w:rsid w:val="005249AF"/>
    <w:rsid w:val="00524AAE"/>
    <w:rsid w:val="0053021C"/>
    <w:rsid w:val="00541790"/>
    <w:rsid w:val="00545663"/>
    <w:rsid w:val="00554320"/>
    <w:rsid w:val="00560CCB"/>
    <w:rsid w:val="005630D1"/>
    <w:rsid w:val="005653F0"/>
    <w:rsid w:val="00567F57"/>
    <w:rsid w:val="00573004"/>
    <w:rsid w:val="005737D5"/>
    <w:rsid w:val="005754E6"/>
    <w:rsid w:val="00577838"/>
    <w:rsid w:val="005859A4"/>
    <w:rsid w:val="0059468D"/>
    <w:rsid w:val="005A0B91"/>
    <w:rsid w:val="005A5764"/>
    <w:rsid w:val="005B594A"/>
    <w:rsid w:val="005B5DD5"/>
    <w:rsid w:val="005B7EB8"/>
    <w:rsid w:val="005C0768"/>
    <w:rsid w:val="005C67A3"/>
    <w:rsid w:val="005D18DC"/>
    <w:rsid w:val="005D294E"/>
    <w:rsid w:val="005D4278"/>
    <w:rsid w:val="005E571E"/>
    <w:rsid w:val="005E75A2"/>
    <w:rsid w:val="005F1338"/>
    <w:rsid w:val="005F4EDA"/>
    <w:rsid w:val="0060280C"/>
    <w:rsid w:val="006116A7"/>
    <w:rsid w:val="00614B3A"/>
    <w:rsid w:val="00620303"/>
    <w:rsid w:val="00635CBA"/>
    <w:rsid w:val="00636266"/>
    <w:rsid w:val="00642EA4"/>
    <w:rsid w:val="006434F3"/>
    <w:rsid w:val="006479F1"/>
    <w:rsid w:val="0066605D"/>
    <w:rsid w:val="00667AB4"/>
    <w:rsid w:val="006700CA"/>
    <w:rsid w:val="00671C04"/>
    <w:rsid w:val="00672465"/>
    <w:rsid w:val="006729F7"/>
    <w:rsid w:val="00682673"/>
    <w:rsid w:val="0068415E"/>
    <w:rsid w:val="00693D18"/>
    <w:rsid w:val="00694485"/>
    <w:rsid w:val="006A1381"/>
    <w:rsid w:val="006A1F17"/>
    <w:rsid w:val="006A2696"/>
    <w:rsid w:val="006A34BF"/>
    <w:rsid w:val="006A67E3"/>
    <w:rsid w:val="006C1661"/>
    <w:rsid w:val="006C3F4E"/>
    <w:rsid w:val="006C43B3"/>
    <w:rsid w:val="006C5096"/>
    <w:rsid w:val="006E38D3"/>
    <w:rsid w:val="006F159F"/>
    <w:rsid w:val="006F15B3"/>
    <w:rsid w:val="006F6086"/>
    <w:rsid w:val="006F6088"/>
    <w:rsid w:val="007003DD"/>
    <w:rsid w:val="0070156E"/>
    <w:rsid w:val="00710854"/>
    <w:rsid w:val="00711A78"/>
    <w:rsid w:val="007233F2"/>
    <w:rsid w:val="00731DF3"/>
    <w:rsid w:val="0073650C"/>
    <w:rsid w:val="007416EC"/>
    <w:rsid w:val="00743C06"/>
    <w:rsid w:val="00743F8A"/>
    <w:rsid w:val="00757C81"/>
    <w:rsid w:val="007610B0"/>
    <w:rsid w:val="00762134"/>
    <w:rsid w:val="0076346F"/>
    <w:rsid w:val="00763E43"/>
    <w:rsid w:val="0076575F"/>
    <w:rsid w:val="00776E1F"/>
    <w:rsid w:val="00780332"/>
    <w:rsid w:val="0078487C"/>
    <w:rsid w:val="007908F9"/>
    <w:rsid w:val="0079149C"/>
    <w:rsid w:val="00794812"/>
    <w:rsid w:val="00797748"/>
    <w:rsid w:val="007B4F55"/>
    <w:rsid w:val="007B6E69"/>
    <w:rsid w:val="007C19D9"/>
    <w:rsid w:val="007C62BD"/>
    <w:rsid w:val="007C7B38"/>
    <w:rsid w:val="007D02F3"/>
    <w:rsid w:val="007D0CF8"/>
    <w:rsid w:val="007D7F44"/>
    <w:rsid w:val="007E0552"/>
    <w:rsid w:val="007E1AEF"/>
    <w:rsid w:val="007E1AF3"/>
    <w:rsid w:val="007F0A7D"/>
    <w:rsid w:val="007F1264"/>
    <w:rsid w:val="007F71AC"/>
    <w:rsid w:val="007F740B"/>
    <w:rsid w:val="00800C79"/>
    <w:rsid w:val="0080105F"/>
    <w:rsid w:val="008133F6"/>
    <w:rsid w:val="00813EDB"/>
    <w:rsid w:val="00816EB1"/>
    <w:rsid w:val="008235A0"/>
    <w:rsid w:val="00823DDC"/>
    <w:rsid w:val="008240B5"/>
    <w:rsid w:val="00824291"/>
    <w:rsid w:val="00827D4B"/>
    <w:rsid w:val="00832E50"/>
    <w:rsid w:val="00834741"/>
    <w:rsid w:val="00837FE2"/>
    <w:rsid w:val="00845DF6"/>
    <w:rsid w:val="00851733"/>
    <w:rsid w:val="008641FA"/>
    <w:rsid w:val="00866493"/>
    <w:rsid w:val="0087309F"/>
    <w:rsid w:val="008775A0"/>
    <w:rsid w:val="00887795"/>
    <w:rsid w:val="00895537"/>
    <w:rsid w:val="008A10A1"/>
    <w:rsid w:val="008A15E8"/>
    <w:rsid w:val="008A34D2"/>
    <w:rsid w:val="008A6C8B"/>
    <w:rsid w:val="008A7CA0"/>
    <w:rsid w:val="008B3019"/>
    <w:rsid w:val="008B5B52"/>
    <w:rsid w:val="008B5E9F"/>
    <w:rsid w:val="008C13A0"/>
    <w:rsid w:val="008C6643"/>
    <w:rsid w:val="008C73DD"/>
    <w:rsid w:val="008D07E3"/>
    <w:rsid w:val="008D0DC7"/>
    <w:rsid w:val="008D351D"/>
    <w:rsid w:val="008D4C98"/>
    <w:rsid w:val="008D617D"/>
    <w:rsid w:val="008E573C"/>
    <w:rsid w:val="008F7FED"/>
    <w:rsid w:val="00901624"/>
    <w:rsid w:val="009035BC"/>
    <w:rsid w:val="00905CB4"/>
    <w:rsid w:val="00911234"/>
    <w:rsid w:val="00911FF6"/>
    <w:rsid w:val="00921212"/>
    <w:rsid w:val="009263A2"/>
    <w:rsid w:val="00927069"/>
    <w:rsid w:val="00927DF5"/>
    <w:rsid w:val="00935227"/>
    <w:rsid w:val="00943512"/>
    <w:rsid w:val="00946B96"/>
    <w:rsid w:val="0094716E"/>
    <w:rsid w:val="00961E15"/>
    <w:rsid w:val="00974C8C"/>
    <w:rsid w:val="00975E6F"/>
    <w:rsid w:val="00977087"/>
    <w:rsid w:val="0098043A"/>
    <w:rsid w:val="009835A1"/>
    <w:rsid w:val="00997E66"/>
    <w:rsid w:val="009A09F4"/>
    <w:rsid w:val="009A4D42"/>
    <w:rsid w:val="009B747F"/>
    <w:rsid w:val="009C4DC9"/>
    <w:rsid w:val="009C4DF1"/>
    <w:rsid w:val="009C7DDE"/>
    <w:rsid w:val="009D6506"/>
    <w:rsid w:val="009D6E85"/>
    <w:rsid w:val="00A0244F"/>
    <w:rsid w:val="00A06218"/>
    <w:rsid w:val="00A153A1"/>
    <w:rsid w:val="00A20221"/>
    <w:rsid w:val="00A34357"/>
    <w:rsid w:val="00A43B3D"/>
    <w:rsid w:val="00A454FA"/>
    <w:rsid w:val="00A512FD"/>
    <w:rsid w:val="00A53A3E"/>
    <w:rsid w:val="00A568F2"/>
    <w:rsid w:val="00A630D8"/>
    <w:rsid w:val="00A8475D"/>
    <w:rsid w:val="00A8574F"/>
    <w:rsid w:val="00A90295"/>
    <w:rsid w:val="00A9415E"/>
    <w:rsid w:val="00A9457E"/>
    <w:rsid w:val="00A95AA7"/>
    <w:rsid w:val="00A962F6"/>
    <w:rsid w:val="00AA1323"/>
    <w:rsid w:val="00AA2E0E"/>
    <w:rsid w:val="00AA4061"/>
    <w:rsid w:val="00AA7315"/>
    <w:rsid w:val="00AB7697"/>
    <w:rsid w:val="00AC6F6E"/>
    <w:rsid w:val="00AD066D"/>
    <w:rsid w:val="00AD3167"/>
    <w:rsid w:val="00AD46CE"/>
    <w:rsid w:val="00AD7E4A"/>
    <w:rsid w:val="00AF0D26"/>
    <w:rsid w:val="00AF14A6"/>
    <w:rsid w:val="00AF5411"/>
    <w:rsid w:val="00B0089D"/>
    <w:rsid w:val="00B02BEB"/>
    <w:rsid w:val="00B039EC"/>
    <w:rsid w:val="00B07AD4"/>
    <w:rsid w:val="00B15C63"/>
    <w:rsid w:val="00B23078"/>
    <w:rsid w:val="00B24ECE"/>
    <w:rsid w:val="00B3232F"/>
    <w:rsid w:val="00B44DAF"/>
    <w:rsid w:val="00B50825"/>
    <w:rsid w:val="00B54B59"/>
    <w:rsid w:val="00B562E4"/>
    <w:rsid w:val="00B712BF"/>
    <w:rsid w:val="00B7179A"/>
    <w:rsid w:val="00B84B09"/>
    <w:rsid w:val="00B96A3F"/>
    <w:rsid w:val="00BA30C5"/>
    <w:rsid w:val="00BA393B"/>
    <w:rsid w:val="00BA6243"/>
    <w:rsid w:val="00BB625F"/>
    <w:rsid w:val="00BC3D1F"/>
    <w:rsid w:val="00BD1A02"/>
    <w:rsid w:val="00BD7CFB"/>
    <w:rsid w:val="00BE199E"/>
    <w:rsid w:val="00BE2F79"/>
    <w:rsid w:val="00BE34BA"/>
    <w:rsid w:val="00BF3BDB"/>
    <w:rsid w:val="00BF5AB3"/>
    <w:rsid w:val="00BF5E57"/>
    <w:rsid w:val="00C010A0"/>
    <w:rsid w:val="00C10050"/>
    <w:rsid w:val="00C123AB"/>
    <w:rsid w:val="00C13363"/>
    <w:rsid w:val="00C15388"/>
    <w:rsid w:val="00C23A9E"/>
    <w:rsid w:val="00C3291E"/>
    <w:rsid w:val="00C34834"/>
    <w:rsid w:val="00C351F5"/>
    <w:rsid w:val="00C40153"/>
    <w:rsid w:val="00C50A4F"/>
    <w:rsid w:val="00C52B58"/>
    <w:rsid w:val="00C53A7B"/>
    <w:rsid w:val="00C54103"/>
    <w:rsid w:val="00C66FA1"/>
    <w:rsid w:val="00C70807"/>
    <w:rsid w:val="00C726B6"/>
    <w:rsid w:val="00C73C78"/>
    <w:rsid w:val="00C8228E"/>
    <w:rsid w:val="00C82603"/>
    <w:rsid w:val="00C8550C"/>
    <w:rsid w:val="00C8702A"/>
    <w:rsid w:val="00CA477D"/>
    <w:rsid w:val="00CB14A5"/>
    <w:rsid w:val="00CB1BCC"/>
    <w:rsid w:val="00CB6B53"/>
    <w:rsid w:val="00CC1380"/>
    <w:rsid w:val="00CC1926"/>
    <w:rsid w:val="00CC231B"/>
    <w:rsid w:val="00CC2735"/>
    <w:rsid w:val="00CC3645"/>
    <w:rsid w:val="00CD0819"/>
    <w:rsid w:val="00CD171F"/>
    <w:rsid w:val="00CD2972"/>
    <w:rsid w:val="00CD297C"/>
    <w:rsid w:val="00CD2FE5"/>
    <w:rsid w:val="00CD5001"/>
    <w:rsid w:val="00CE408B"/>
    <w:rsid w:val="00CF56A2"/>
    <w:rsid w:val="00CF576B"/>
    <w:rsid w:val="00CF670A"/>
    <w:rsid w:val="00CF7D0F"/>
    <w:rsid w:val="00D02700"/>
    <w:rsid w:val="00D02F4A"/>
    <w:rsid w:val="00D04117"/>
    <w:rsid w:val="00D11987"/>
    <w:rsid w:val="00D14CD1"/>
    <w:rsid w:val="00D30A1C"/>
    <w:rsid w:val="00D32B7F"/>
    <w:rsid w:val="00D42D43"/>
    <w:rsid w:val="00D46473"/>
    <w:rsid w:val="00D4662A"/>
    <w:rsid w:val="00D47710"/>
    <w:rsid w:val="00D51DB3"/>
    <w:rsid w:val="00D542CC"/>
    <w:rsid w:val="00D54DC2"/>
    <w:rsid w:val="00D55A98"/>
    <w:rsid w:val="00D72A05"/>
    <w:rsid w:val="00D7334A"/>
    <w:rsid w:val="00D74AFE"/>
    <w:rsid w:val="00D74DAE"/>
    <w:rsid w:val="00D75B52"/>
    <w:rsid w:val="00D7673A"/>
    <w:rsid w:val="00D77FD8"/>
    <w:rsid w:val="00D80CE2"/>
    <w:rsid w:val="00D90819"/>
    <w:rsid w:val="00D929F2"/>
    <w:rsid w:val="00DA3DE9"/>
    <w:rsid w:val="00DA4862"/>
    <w:rsid w:val="00DB3A67"/>
    <w:rsid w:val="00DB67C6"/>
    <w:rsid w:val="00DB7319"/>
    <w:rsid w:val="00DC4C1D"/>
    <w:rsid w:val="00DC4DAE"/>
    <w:rsid w:val="00DC612D"/>
    <w:rsid w:val="00DD42C6"/>
    <w:rsid w:val="00DD754E"/>
    <w:rsid w:val="00DE0888"/>
    <w:rsid w:val="00DE109C"/>
    <w:rsid w:val="00DE473B"/>
    <w:rsid w:val="00E0157B"/>
    <w:rsid w:val="00E015CF"/>
    <w:rsid w:val="00E02251"/>
    <w:rsid w:val="00E05368"/>
    <w:rsid w:val="00E07127"/>
    <w:rsid w:val="00E11558"/>
    <w:rsid w:val="00E27EEC"/>
    <w:rsid w:val="00E31B57"/>
    <w:rsid w:val="00E32BA1"/>
    <w:rsid w:val="00E433FA"/>
    <w:rsid w:val="00E43DE9"/>
    <w:rsid w:val="00E51265"/>
    <w:rsid w:val="00E5422C"/>
    <w:rsid w:val="00E57373"/>
    <w:rsid w:val="00E57C69"/>
    <w:rsid w:val="00E710AF"/>
    <w:rsid w:val="00E74CF6"/>
    <w:rsid w:val="00E768AD"/>
    <w:rsid w:val="00E8667B"/>
    <w:rsid w:val="00E95E18"/>
    <w:rsid w:val="00EB3624"/>
    <w:rsid w:val="00EB4FA1"/>
    <w:rsid w:val="00EC079C"/>
    <w:rsid w:val="00ED19F7"/>
    <w:rsid w:val="00EE0CAE"/>
    <w:rsid w:val="00EE11D9"/>
    <w:rsid w:val="00EE13FC"/>
    <w:rsid w:val="00EE1D85"/>
    <w:rsid w:val="00EF4607"/>
    <w:rsid w:val="00EF4FCC"/>
    <w:rsid w:val="00F01BCF"/>
    <w:rsid w:val="00F0535F"/>
    <w:rsid w:val="00F20609"/>
    <w:rsid w:val="00F2187D"/>
    <w:rsid w:val="00F258F7"/>
    <w:rsid w:val="00F40899"/>
    <w:rsid w:val="00F43FBD"/>
    <w:rsid w:val="00F4454A"/>
    <w:rsid w:val="00F47633"/>
    <w:rsid w:val="00F51B59"/>
    <w:rsid w:val="00F52B64"/>
    <w:rsid w:val="00F640A4"/>
    <w:rsid w:val="00F71EA7"/>
    <w:rsid w:val="00F7727B"/>
    <w:rsid w:val="00F9327C"/>
    <w:rsid w:val="00FA26D1"/>
    <w:rsid w:val="00FB1322"/>
    <w:rsid w:val="00FB19CA"/>
    <w:rsid w:val="00FB45D7"/>
    <w:rsid w:val="00FB6BA1"/>
    <w:rsid w:val="00FB79FC"/>
    <w:rsid w:val="00FC299F"/>
    <w:rsid w:val="00FC34F0"/>
    <w:rsid w:val="00FC4328"/>
    <w:rsid w:val="00FC59AF"/>
    <w:rsid w:val="00FD67C1"/>
    <w:rsid w:val="00FE32C2"/>
    <w:rsid w:val="00FE38BF"/>
    <w:rsid w:val="00FE4233"/>
    <w:rsid w:val="00FE51D2"/>
    <w:rsid w:val="00FE6E38"/>
    <w:rsid w:val="00FF229C"/>
    <w:rsid w:val="00FF534C"/>
    <w:rsid w:val="02914586"/>
    <w:rsid w:val="0A137F70"/>
    <w:rsid w:val="0EE126C5"/>
    <w:rsid w:val="0EF90284"/>
    <w:rsid w:val="1E3B68D3"/>
    <w:rsid w:val="3153347B"/>
    <w:rsid w:val="39360C7D"/>
    <w:rsid w:val="442B50C6"/>
    <w:rsid w:val="443E0AF9"/>
    <w:rsid w:val="483A00B0"/>
    <w:rsid w:val="57A92D8C"/>
    <w:rsid w:val="5D8E6B7F"/>
    <w:rsid w:val="626A1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5"/>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9"/>
    <w:autoRedefine/>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16"/>
    <w:autoRedefine/>
    <w:qFormat/>
    <w:uiPriority w:val="0"/>
    <w:pPr>
      <w:jc w:val="left"/>
    </w:pPr>
  </w:style>
  <w:style w:type="paragraph" w:styleId="5">
    <w:name w:val="Balloon Text"/>
    <w:basedOn w:val="1"/>
    <w:link w:val="18"/>
    <w:autoRedefine/>
    <w:qFormat/>
    <w:uiPriority w:val="0"/>
    <w:rPr>
      <w:sz w:val="18"/>
      <w:szCs w:val="18"/>
    </w:rPr>
  </w:style>
  <w:style w:type="paragraph" w:styleId="6">
    <w:name w:val="footer"/>
    <w:basedOn w:val="1"/>
    <w:link w:val="14"/>
    <w:autoRedefine/>
    <w:qFormat/>
    <w:uiPriority w:val="99"/>
    <w:pPr>
      <w:tabs>
        <w:tab w:val="center" w:pos="4153"/>
        <w:tab w:val="right" w:pos="8306"/>
      </w:tabs>
      <w:snapToGrid w:val="0"/>
      <w:jc w:val="left"/>
    </w:pPr>
    <w:rPr>
      <w:sz w:val="18"/>
      <w:szCs w:val="18"/>
    </w:rPr>
  </w:style>
  <w:style w:type="paragraph" w:styleId="7">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autoRedefine/>
    <w:qFormat/>
    <w:uiPriority w:val="0"/>
    <w:pPr>
      <w:snapToGrid w:val="0"/>
      <w:spacing w:line="540" w:lineRule="exact"/>
      <w:jc w:val="center"/>
    </w:pPr>
    <w:rPr>
      <w:rFonts w:ascii="黑体" w:hAnsi="黑体" w:eastAsia="黑体"/>
      <w:b/>
      <w:kern w:val="0"/>
      <w:sz w:val="36"/>
      <w:szCs w:val="36"/>
    </w:rPr>
  </w:style>
  <w:style w:type="paragraph" w:styleId="9">
    <w:name w:val="annotation subject"/>
    <w:basedOn w:val="4"/>
    <w:next w:val="4"/>
    <w:link w:val="17"/>
    <w:autoRedefine/>
    <w:qFormat/>
    <w:uiPriority w:val="0"/>
    <w:rPr>
      <w:b/>
      <w:bCs/>
    </w:rPr>
  </w:style>
  <w:style w:type="character" w:styleId="12">
    <w:name w:val="annotation reference"/>
    <w:autoRedefine/>
    <w:qFormat/>
    <w:uiPriority w:val="0"/>
    <w:rPr>
      <w:sz w:val="21"/>
      <w:szCs w:val="21"/>
    </w:rPr>
  </w:style>
  <w:style w:type="character" w:customStyle="1" w:styleId="13">
    <w:name w:val="页眉 Char"/>
    <w:link w:val="7"/>
    <w:autoRedefine/>
    <w:qFormat/>
    <w:uiPriority w:val="0"/>
    <w:rPr>
      <w:rFonts w:ascii="Times New Roman" w:hAnsi="Times New Roman"/>
      <w:kern w:val="2"/>
      <w:sz w:val="18"/>
      <w:szCs w:val="18"/>
    </w:rPr>
  </w:style>
  <w:style w:type="character" w:customStyle="1" w:styleId="14">
    <w:name w:val="页脚 Char"/>
    <w:link w:val="6"/>
    <w:autoRedefine/>
    <w:qFormat/>
    <w:uiPriority w:val="99"/>
    <w:rPr>
      <w:rFonts w:ascii="Times New Roman" w:hAnsi="Times New Roman"/>
      <w:kern w:val="2"/>
      <w:sz w:val="18"/>
      <w:szCs w:val="18"/>
    </w:rPr>
  </w:style>
  <w:style w:type="character" w:customStyle="1" w:styleId="15">
    <w:name w:val="标题 1 Char"/>
    <w:link w:val="2"/>
    <w:autoRedefine/>
    <w:qFormat/>
    <w:uiPriority w:val="0"/>
    <w:rPr>
      <w:rFonts w:ascii="Times New Roman" w:hAnsi="Times New Roman"/>
      <w:b/>
      <w:bCs/>
      <w:kern w:val="44"/>
      <w:sz w:val="44"/>
      <w:szCs w:val="44"/>
    </w:rPr>
  </w:style>
  <w:style w:type="character" w:customStyle="1" w:styleId="16">
    <w:name w:val="批注文字 Char"/>
    <w:link w:val="4"/>
    <w:autoRedefine/>
    <w:qFormat/>
    <w:uiPriority w:val="0"/>
    <w:rPr>
      <w:rFonts w:ascii="Times New Roman" w:hAnsi="Times New Roman"/>
      <w:kern w:val="2"/>
      <w:sz w:val="21"/>
      <w:szCs w:val="22"/>
    </w:rPr>
  </w:style>
  <w:style w:type="character" w:customStyle="1" w:styleId="17">
    <w:name w:val="批注主题 Char"/>
    <w:link w:val="9"/>
    <w:autoRedefine/>
    <w:qFormat/>
    <w:uiPriority w:val="0"/>
    <w:rPr>
      <w:rFonts w:ascii="Times New Roman" w:hAnsi="Times New Roman"/>
      <w:b/>
      <w:bCs/>
      <w:kern w:val="2"/>
      <w:sz w:val="21"/>
      <w:szCs w:val="22"/>
    </w:rPr>
  </w:style>
  <w:style w:type="character" w:customStyle="1" w:styleId="18">
    <w:name w:val="批注框文本 Char"/>
    <w:link w:val="5"/>
    <w:autoRedefine/>
    <w:qFormat/>
    <w:uiPriority w:val="0"/>
    <w:rPr>
      <w:rFonts w:ascii="Times New Roman" w:hAnsi="Times New Roman"/>
      <w:kern w:val="2"/>
      <w:sz w:val="18"/>
      <w:szCs w:val="18"/>
    </w:rPr>
  </w:style>
  <w:style w:type="character" w:customStyle="1" w:styleId="19">
    <w:name w:val="标题 2 Char"/>
    <w:link w:val="3"/>
    <w:autoRedefine/>
    <w:qFormat/>
    <w:uiPriority w:val="0"/>
    <w:rPr>
      <w:rFonts w:ascii="Calibri Light" w:hAnsi="Calibri Light" w:eastAsia="宋体" w:cs="Times New Roman"/>
      <w:b/>
      <w:bCs/>
      <w:kern w:val="2"/>
      <w:sz w:val="32"/>
      <w:szCs w:val="32"/>
    </w:rPr>
  </w:style>
  <w:style w:type="character" w:customStyle="1" w:styleId="20">
    <w:name w:val="批注文字 字符"/>
    <w:autoRedefine/>
    <w:qFormat/>
    <w:uiPriority w:val="0"/>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9812</Words>
  <Characters>10279</Characters>
  <Lines>76</Lines>
  <Paragraphs>21</Paragraphs>
  <TotalTime>1</TotalTime>
  <ScaleCrop>false</ScaleCrop>
  <LinksUpToDate>false</LinksUpToDate>
  <CharactersWithSpaces>10341</CharactersWithSpaces>
  <Application>WPS Office_12.1.0.18334_F1E327BC-269C-435d-A152-05C5408002CA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2021-08-13T03:35:00Z</dcterms:created>
  <dc:creator>许超</dc:creator>
  <cp:lastModifiedBy>Liuyi</cp:lastModifiedBy>
  <dcterms:modified xsi:type="dcterms:W3CDTF">2024-11-07T06:16:29Z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2052-12.1.0.18334</vt:lpwstr>
  </property>
  <property fmtid="{D5CDD505-2E9C-101B-9397-08002B2CF9AE}" pid="3" name="ICV">
    <vt:lpwstr>517F5E5B743D41FFBE08DD729528FF77_12</vt:lpwstr>
  </property>
</Properties>
</file>