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76FC">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3BF3D9B7">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5334475A">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2B89BB3C">
      <w:pPr>
        <w:keepNext w:val="0"/>
        <w:keepLines w:val="0"/>
        <w:widowControl/>
        <w:suppressLineNumbers w:val="0"/>
        <w:jc w:val="center"/>
      </w:pPr>
      <w:r>
        <w:rPr>
          <w:rFonts w:ascii="微软雅黑" w:hAnsi="微软雅黑" w:eastAsia="微软雅黑" w:cs="微软雅黑"/>
          <w:color w:val="000000"/>
          <w:kern w:val="0"/>
          <w:sz w:val="55"/>
          <w:szCs w:val="55"/>
          <w:lang w:val="en-US" w:eastAsia="zh-CN" w:bidi="ar"/>
        </w:rPr>
        <w:t>202</w:t>
      </w:r>
      <w:r>
        <w:rPr>
          <w:rFonts w:hint="eastAsia" w:ascii="微软雅黑" w:hAnsi="微软雅黑" w:eastAsia="微软雅黑" w:cs="微软雅黑"/>
          <w:color w:val="000000"/>
          <w:kern w:val="0"/>
          <w:sz w:val="55"/>
          <w:szCs w:val="55"/>
          <w:lang w:val="en-US" w:eastAsia="zh-CN" w:bidi="ar"/>
        </w:rPr>
        <w:t>5</w:t>
      </w:r>
      <w:r>
        <w:rPr>
          <w:rFonts w:ascii="微软雅黑" w:hAnsi="微软雅黑" w:eastAsia="微软雅黑" w:cs="微软雅黑"/>
          <w:color w:val="000000"/>
          <w:kern w:val="0"/>
          <w:sz w:val="55"/>
          <w:szCs w:val="55"/>
          <w:lang w:val="en-US" w:eastAsia="zh-CN" w:bidi="ar"/>
        </w:rPr>
        <w:t>年河北省职业院校技能大赛</w:t>
      </w:r>
    </w:p>
    <w:p w14:paraId="77804370">
      <w:pPr>
        <w:keepNext w:val="0"/>
        <w:keepLines w:val="0"/>
        <w:widowControl/>
        <w:suppressLineNumbers w:val="0"/>
        <w:jc w:val="center"/>
      </w:pPr>
      <w:r>
        <w:rPr>
          <w:rFonts w:hint="eastAsia" w:ascii="微软雅黑" w:hAnsi="微软雅黑" w:eastAsia="微软雅黑" w:cs="微软雅黑"/>
          <w:color w:val="000000"/>
          <w:kern w:val="0"/>
          <w:sz w:val="55"/>
          <w:szCs w:val="55"/>
          <w:lang w:val="en-US" w:eastAsia="zh-CN" w:bidi="ar"/>
        </w:rPr>
        <w:t>赛项规程</w:t>
      </w:r>
    </w:p>
    <w:p w14:paraId="5B616634">
      <w:pPr>
        <w:keepNext w:val="0"/>
        <w:keepLines w:val="0"/>
        <w:widowControl/>
        <w:suppressLineNumbers w:val="0"/>
        <w:jc w:val="left"/>
        <w:rPr>
          <w:rFonts w:ascii="黑体" w:hAnsi="宋体" w:eastAsia="黑体" w:cs="黑体"/>
          <w:color w:val="000000"/>
          <w:kern w:val="0"/>
          <w:sz w:val="31"/>
          <w:szCs w:val="31"/>
          <w:lang w:val="en-US" w:eastAsia="zh-CN" w:bidi="ar"/>
        </w:rPr>
      </w:pPr>
    </w:p>
    <w:p w14:paraId="64B860AB">
      <w:pPr>
        <w:keepNext w:val="0"/>
        <w:keepLines w:val="0"/>
        <w:widowControl/>
        <w:suppressLineNumbers w:val="0"/>
        <w:jc w:val="left"/>
        <w:rPr>
          <w:rFonts w:ascii="黑体" w:hAnsi="宋体" w:eastAsia="黑体" w:cs="黑体"/>
          <w:color w:val="000000"/>
          <w:kern w:val="0"/>
          <w:sz w:val="31"/>
          <w:szCs w:val="31"/>
          <w:lang w:val="en-US" w:eastAsia="zh-CN" w:bidi="ar"/>
        </w:rPr>
      </w:pPr>
    </w:p>
    <w:p w14:paraId="54525950">
      <w:pPr>
        <w:keepNext w:val="0"/>
        <w:keepLines w:val="0"/>
        <w:widowControl/>
        <w:suppressLineNumbers w:val="0"/>
        <w:jc w:val="left"/>
        <w:rPr>
          <w:rFonts w:ascii="黑体" w:hAnsi="宋体" w:eastAsia="黑体" w:cs="黑体"/>
          <w:color w:val="000000"/>
          <w:kern w:val="0"/>
          <w:sz w:val="31"/>
          <w:szCs w:val="31"/>
          <w:lang w:val="en-US" w:eastAsia="zh-CN" w:bidi="ar"/>
        </w:rPr>
      </w:pPr>
    </w:p>
    <w:p w14:paraId="5D5AD4A4">
      <w:pPr>
        <w:keepNext w:val="0"/>
        <w:keepLines w:val="0"/>
        <w:widowControl/>
        <w:suppressLineNumbers w:val="0"/>
        <w:jc w:val="left"/>
        <w:rPr>
          <w:rFonts w:ascii="黑体" w:hAnsi="宋体" w:eastAsia="黑体" w:cs="黑体"/>
          <w:color w:val="000000"/>
          <w:kern w:val="0"/>
          <w:sz w:val="31"/>
          <w:szCs w:val="31"/>
          <w:lang w:val="en-US" w:eastAsia="zh-CN" w:bidi="ar"/>
        </w:rPr>
      </w:pPr>
    </w:p>
    <w:p w14:paraId="722ADFF0">
      <w:pPr>
        <w:keepNext w:val="0"/>
        <w:keepLines w:val="0"/>
        <w:widowControl/>
        <w:suppressLineNumbers w:val="0"/>
        <w:jc w:val="left"/>
        <w:rPr>
          <w:rFonts w:ascii="黑体" w:hAnsi="宋体" w:eastAsia="黑体" w:cs="黑体"/>
          <w:color w:val="000000"/>
          <w:kern w:val="0"/>
          <w:sz w:val="31"/>
          <w:szCs w:val="31"/>
          <w:lang w:val="en-US" w:eastAsia="zh-CN" w:bidi="ar"/>
        </w:rPr>
      </w:pPr>
    </w:p>
    <w:p w14:paraId="3B7CF624">
      <w:pPr>
        <w:keepNext w:val="0"/>
        <w:keepLines w:val="0"/>
        <w:widowControl/>
        <w:suppressLineNumbers w:val="0"/>
        <w:jc w:val="left"/>
        <w:rPr>
          <w:rFonts w:ascii="黑体" w:hAnsi="宋体" w:eastAsia="黑体" w:cs="黑体"/>
          <w:color w:val="000000"/>
          <w:kern w:val="0"/>
          <w:sz w:val="31"/>
          <w:szCs w:val="31"/>
          <w:lang w:val="en-US" w:eastAsia="zh-CN" w:bidi="ar"/>
        </w:rPr>
      </w:pPr>
    </w:p>
    <w:p w14:paraId="06EB9226">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赛项名称：</w:t>
      </w:r>
      <w:r>
        <w:rPr>
          <w:rFonts w:hint="eastAsia" w:ascii="黑体" w:hAnsi="宋体" w:eastAsia="黑体" w:cs="黑体"/>
          <w:color w:val="000000"/>
          <w:kern w:val="0"/>
          <w:sz w:val="31"/>
          <w:szCs w:val="31"/>
          <w:u w:val="thick"/>
          <w:lang w:val="en-US" w:eastAsia="zh-CN" w:bidi="ar"/>
        </w:rPr>
        <w:t xml:space="preserve">         现代企业云数字服务          </w:t>
      </w:r>
      <w:r>
        <w:rPr>
          <w:rFonts w:hint="default" w:ascii="Times New Roman" w:hAnsi="Times New Roman" w:eastAsia="宋体" w:cs="Times New Roman"/>
          <w:color w:val="000000"/>
          <w:kern w:val="0"/>
          <w:sz w:val="31"/>
          <w:szCs w:val="31"/>
          <w:u w:val="thick"/>
          <w:lang w:val="en-US" w:eastAsia="zh-CN" w:bidi="ar"/>
        </w:rPr>
        <w:t xml:space="preserve"> </w:t>
      </w:r>
    </w:p>
    <w:p w14:paraId="253DADB6">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英文名称：</w:t>
      </w:r>
      <w:r>
        <w:rPr>
          <w:rFonts w:hint="default" w:ascii="Times New Roman" w:hAnsi="Times New Roman" w:eastAsia="宋体" w:cs="Times New Roman"/>
          <w:color w:val="000000"/>
          <w:kern w:val="0"/>
          <w:sz w:val="31"/>
          <w:szCs w:val="31"/>
          <w:u w:val="thick"/>
          <w:lang w:val="en-US" w:eastAsia="zh-CN" w:bidi="ar"/>
        </w:rPr>
        <w:t xml:space="preserve"> Cloud digital services for modern enterprises</w:t>
      </w:r>
      <w:r>
        <w:rPr>
          <w:rFonts w:hint="eastAsia" w:ascii="Times New Roman" w:hAnsi="Times New Roman" w:eastAsia="宋体" w:cs="Times New Roman"/>
          <w:color w:val="000000"/>
          <w:kern w:val="0"/>
          <w:sz w:val="31"/>
          <w:szCs w:val="31"/>
          <w:u w:val="thick"/>
          <w:lang w:val="en-US" w:eastAsia="zh-CN" w:bidi="ar"/>
        </w:rPr>
        <w:t xml:space="preserve"> </w:t>
      </w:r>
      <w:r>
        <w:rPr>
          <w:rFonts w:hint="eastAsia" w:ascii="黑体" w:hAnsi="宋体" w:eastAsia="黑体" w:cs="黑体"/>
          <w:color w:val="000000"/>
          <w:kern w:val="0"/>
          <w:sz w:val="31"/>
          <w:szCs w:val="31"/>
          <w:lang w:val="en-US" w:eastAsia="zh-CN" w:bidi="ar"/>
        </w:rPr>
        <w:t xml:space="preserve"> </w:t>
      </w:r>
    </w:p>
    <w:p w14:paraId="4071E8FA">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r>
        <w:rPr>
          <w:rFonts w:hint="eastAsia" w:ascii="黑体" w:hAnsi="宋体" w:eastAsia="黑体" w:cs="黑体"/>
          <w:color w:val="000000"/>
          <w:kern w:val="0"/>
          <w:sz w:val="31"/>
          <w:szCs w:val="31"/>
          <w:lang w:val="en-US" w:eastAsia="zh-CN" w:bidi="ar"/>
        </w:rPr>
        <w:t>赛项组别：</w:t>
      </w:r>
      <w:r>
        <w:rPr>
          <w:rFonts w:hint="eastAsia" w:ascii="黑体" w:hAnsi="宋体" w:eastAsia="黑体" w:cs="黑体"/>
          <w:color w:val="000000"/>
          <w:kern w:val="0"/>
          <w:sz w:val="31"/>
          <w:szCs w:val="31"/>
          <w:u w:val="thick"/>
          <w:lang w:val="en-US" w:eastAsia="zh-CN" w:bidi="ar"/>
        </w:rPr>
        <w:t xml:space="preserve">            中等职业教育              </w:t>
      </w:r>
    </w:p>
    <w:p w14:paraId="198BB53B">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p>
    <w:p w14:paraId="55FAEF8B">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p>
    <w:p w14:paraId="13572924">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p>
    <w:p w14:paraId="56405BCF">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一</w:t>
      </w:r>
      <w:r>
        <w:rPr>
          <w:rFonts w:hint="eastAsia" w:ascii="黑体" w:hAnsi="黑体" w:eastAsia="黑体" w:cs="黑体"/>
          <w:color w:val="000000"/>
          <w:sz w:val="24"/>
          <w:szCs w:val="24"/>
        </w:rPr>
        <w:t>、竞赛目的</w:t>
      </w:r>
    </w:p>
    <w:p w14:paraId="10D234D9">
      <w:pPr>
        <w:adjustRightInd w:val="0"/>
        <w:snapToGrid w:val="0"/>
        <w:spacing w:line="360" w:lineRule="auto"/>
        <w:ind w:firstLine="480" w:firstLineChars="200"/>
        <w:rPr>
          <w:rFonts w:ascii="仿宋_GB2312" w:eastAsia="仿宋_GB2312" w:cs="仿宋_GB2312"/>
          <w:color w:val="000000"/>
          <w:sz w:val="24"/>
          <w:szCs w:val="24"/>
        </w:rPr>
      </w:pPr>
      <w:r>
        <w:rPr>
          <w:rFonts w:hint="eastAsia" w:ascii="仿宋_GB2312" w:hAnsi="Times New Roman" w:eastAsia="仿宋_GB2312" w:cs="仿宋_GB2312"/>
          <w:color w:val="000000"/>
          <w:kern w:val="2"/>
          <w:sz w:val="24"/>
          <w:szCs w:val="24"/>
          <w:lang w:eastAsia="zh-CN"/>
        </w:rPr>
        <w:t>为充分发挥技能大赛引领专业建设及课程改革的提升作用，促进中职学校会计专业的建设及人才的培养进程，以满足社会对会计技能人才的需求。通过竞赛，检验和展示全省中等职业学校学生会计信息化操作技能，引领和促进全省中职学校财经类专业教育教学改革，激发和调动行业企业关注和参与财经类专业教育教学改革的主动性和积极性，推动提升全省中职学校财经职业人才培养水平，深化校企合作、引导教学改革和专业方向调整，探索培养企业需要的高素质技能型人才的新途径、新方法。</w:t>
      </w:r>
    </w:p>
    <w:p w14:paraId="31ACE96B">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二</w:t>
      </w:r>
      <w:r>
        <w:rPr>
          <w:rFonts w:hint="eastAsia" w:ascii="黑体" w:hAnsi="黑体" w:eastAsia="黑体" w:cs="黑体"/>
          <w:color w:val="000000"/>
          <w:sz w:val="24"/>
          <w:szCs w:val="24"/>
        </w:rPr>
        <w:t>、竞赛内容</w:t>
      </w:r>
    </w:p>
    <w:p w14:paraId="3DB01F43">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（一）赛项内容</w:t>
      </w:r>
    </w:p>
    <w:p w14:paraId="6C6D4640">
      <w:pPr>
        <w:autoSpaceDE w:val="0"/>
        <w:autoSpaceDN w:val="0"/>
        <w:adjustRightInd w:val="0"/>
        <w:snapToGrid w:val="0"/>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资料模拟制造业企业一个月的</w:t>
      </w:r>
      <w:r>
        <w:rPr>
          <w:rFonts w:ascii="仿宋_GB2312" w:eastAsia="仿宋_GB2312" w:cs="仿宋_GB2312"/>
          <w:color w:val="000000"/>
          <w:sz w:val="24"/>
          <w:szCs w:val="24"/>
        </w:rPr>
        <w:t>40-50</w:t>
      </w:r>
      <w:r>
        <w:rPr>
          <w:rFonts w:hint="eastAsia" w:ascii="仿宋_GB2312" w:eastAsia="仿宋_GB2312" w:cs="仿宋_GB2312"/>
          <w:color w:val="000000"/>
          <w:sz w:val="24"/>
          <w:szCs w:val="24"/>
        </w:rPr>
        <w:t>笔经济业务，执行《小企业会计准则》《会计基础工作规范》《企业会计信息化工作规范》和现行税法（相关财税法规截止</w:t>
      </w:r>
      <w:r>
        <w:rPr>
          <w:rFonts w:ascii="仿宋_GB2312" w:eastAsia="仿宋_GB2312" w:cs="仿宋_GB2312"/>
          <w:color w:val="000000"/>
          <w:sz w:val="24"/>
          <w:szCs w:val="24"/>
        </w:rPr>
        <w:t>202</w:t>
      </w:r>
      <w:r>
        <w:rPr>
          <w:rFonts w:hint="eastAsia" w:ascii="仿宋_GB2312" w:eastAsia="仿宋_GB2312" w:cs="仿宋_GB2312"/>
          <w:color w:val="000000"/>
          <w:sz w:val="24"/>
          <w:szCs w:val="24"/>
        </w:rPr>
        <w:t>2年</w:t>
      </w:r>
      <w:r>
        <w:rPr>
          <w:rFonts w:ascii="仿宋_GB2312" w:eastAsia="仿宋_GB2312" w:cs="仿宋_GB2312"/>
          <w:color w:val="000000"/>
          <w:sz w:val="24"/>
          <w:szCs w:val="24"/>
        </w:rPr>
        <w:t>7</w:t>
      </w:r>
      <w:r>
        <w:rPr>
          <w:rFonts w:hint="eastAsia" w:ascii="仿宋_GB2312" w:eastAsia="仿宋_GB2312" w:cs="仿宋_GB2312"/>
          <w:color w:val="000000"/>
          <w:sz w:val="24"/>
          <w:szCs w:val="24"/>
        </w:rPr>
        <w:t>月</w:t>
      </w:r>
      <w:r>
        <w:rPr>
          <w:rFonts w:ascii="仿宋_GB2312" w:eastAsia="仿宋_GB2312" w:cs="仿宋_GB2312"/>
          <w:color w:val="000000"/>
          <w:sz w:val="24"/>
          <w:szCs w:val="24"/>
        </w:rPr>
        <w:t>1</w:t>
      </w:r>
      <w:r>
        <w:rPr>
          <w:rFonts w:hint="eastAsia" w:ascii="仿宋_GB2312" w:eastAsia="仿宋_GB2312" w:cs="仿宋_GB2312"/>
          <w:color w:val="000000"/>
          <w:sz w:val="24"/>
          <w:szCs w:val="24"/>
        </w:rPr>
        <w:t>日前），运用记账凭证核算形式，通过竞赛平台完成相关业务处理。</w:t>
      </w:r>
    </w:p>
    <w:p w14:paraId="566DB49A">
      <w:pPr>
        <w:autoSpaceDE w:val="0"/>
        <w:autoSpaceDN w:val="0"/>
        <w:adjustRightInd w:val="0"/>
        <w:snapToGrid w:val="0"/>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业务处理按要求在总账、工资管理、固定资产、购销存管理、核算、财务报表、纳税申报等模块中完成，操作过程包括初始设置、填制和审核原始凭证、编制或生成记账凭证、审核记账凭证、记账、对账并结账、编制资产负债表和利润表、纳税申报</w:t>
      </w:r>
      <w:r>
        <w:rPr>
          <w:rFonts w:hint="eastAsia" w:ascii="仿宋_GB2312" w:eastAsia="仿宋_GB2312" w:cs="仿宋_GB2312"/>
          <w:color w:val="000000"/>
          <w:sz w:val="24"/>
          <w:szCs w:val="24"/>
          <w:lang w:val="en-US" w:eastAsia="zh-CN"/>
        </w:rPr>
        <w:t>与电子发票</w:t>
      </w:r>
      <w:r>
        <w:rPr>
          <w:rFonts w:hint="eastAsia" w:ascii="仿宋_GB2312" w:eastAsia="仿宋_GB2312" w:cs="仿宋_GB2312"/>
          <w:color w:val="000000"/>
          <w:sz w:val="24"/>
          <w:szCs w:val="24"/>
        </w:rPr>
        <w:t>等。要求参赛选手结合竞赛平台操作，由竞赛平台自动评分。比赛总分</w:t>
      </w:r>
      <w:r>
        <w:rPr>
          <w:rFonts w:ascii="仿宋_GB2312" w:eastAsia="仿宋_GB2312" w:cs="仿宋_GB2312"/>
          <w:color w:val="000000"/>
          <w:sz w:val="24"/>
          <w:szCs w:val="24"/>
        </w:rPr>
        <w:t>100</w:t>
      </w:r>
      <w:r>
        <w:rPr>
          <w:rFonts w:hint="eastAsia" w:ascii="仿宋_GB2312" w:eastAsia="仿宋_GB2312" w:cs="仿宋_GB2312"/>
          <w:color w:val="000000"/>
          <w:sz w:val="24"/>
          <w:szCs w:val="24"/>
        </w:rPr>
        <w:t>分，限时</w:t>
      </w:r>
      <w:r>
        <w:rPr>
          <w:rFonts w:ascii="仿宋_GB2312" w:eastAsia="仿宋_GB2312" w:cs="仿宋_GB2312"/>
          <w:color w:val="000000"/>
          <w:sz w:val="24"/>
          <w:szCs w:val="24"/>
        </w:rPr>
        <w:t>180</w:t>
      </w:r>
      <w:r>
        <w:rPr>
          <w:rFonts w:hint="eastAsia" w:ascii="仿宋_GB2312" w:eastAsia="仿宋_GB2312" w:cs="仿宋_GB2312"/>
          <w:color w:val="000000"/>
          <w:sz w:val="24"/>
          <w:szCs w:val="24"/>
        </w:rPr>
        <w:t>分钟。</w:t>
      </w:r>
    </w:p>
    <w:p w14:paraId="483EDFA4">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（二）业务范围</w:t>
      </w:r>
    </w:p>
    <w:p w14:paraId="2C31ED9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货币资金：库存现金、银行存款、其他货币资金。</w:t>
      </w:r>
    </w:p>
    <w:p w14:paraId="12BA1E66">
      <w:pPr>
        <w:adjustRightInd w:val="0"/>
        <w:snapToGrid w:val="0"/>
        <w:spacing w:line="360" w:lineRule="auto"/>
        <w:ind w:firstLine="480" w:firstLineChars="200"/>
        <w:rPr>
          <w:rFonts w:ascii="仿宋_GB2312" w:eastAsia="仿宋_GB2312" w:cs="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应收款项：应收票据、应收账款、预付账款、其他应收款、坏账核算。</w:t>
      </w:r>
    </w:p>
    <w:p w14:paraId="3407ECA3">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3.短期投资：短期投资取得、短期投资收益、短期投资出售。</w:t>
      </w:r>
    </w:p>
    <w:p w14:paraId="5BCEFFF3">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4</w:t>
      </w:r>
      <w:r>
        <w:rPr>
          <w:rFonts w:ascii="仿宋_GB2312" w:eastAsia="仿宋_GB2312" w:cs="仿宋_GB2312"/>
          <w:color w:val="000000"/>
          <w:sz w:val="24"/>
          <w:szCs w:val="24"/>
        </w:rPr>
        <w:t>.</w:t>
      </w:r>
      <w:r>
        <w:rPr>
          <w:rFonts w:hint="eastAsia" w:ascii="仿宋_GB2312" w:eastAsia="仿宋_GB2312" w:cs="仿宋_GB2312"/>
          <w:color w:val="000000"/>
          <w:sz w:val="24"/>
          <w:szCs w:val="24"/>
        </w:rPr>
        <w:t>存货：原材料、在途物资、周转材料、库存商品、委托加工物资、存货清查。</w:t>
      </w:r>
    </w:p>
    <w:p w14:paraId="4DA6D6DC">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5</w:t>
      </w:r>
      <w:r>
        <w:rPr>
          <w:rFonts w:ascii="仿宋_GB2312" w:eastAsia="仿宋_GB2312" w:cs="仿宋_GB2312"/>
          <w:color w:val="000000"/>
          <w:sz w:val="24"/>
          <w:szCs w:val="24"/>
        </w:rPr>
        <w:t>.</w:t>
      </w:r>
      <w:r>
        <w:rPr>
          <w:rFonts w:hint="eastAsia" w:ascii="仿宋_GB2312" w:eastAsia="仿宋_GB2312" w:cs="仿宋_GB2312"/>
          <w:color w:val="000000"/>
          <w:sz w:val="24"/>
          <w:szCs w:val="24"/>
        </w:rPr>
        <w:t>固定资产：固定资产取得、固定资产折旧、固定资产后续支出、固定资产处置、固定资产清查。</w:t>
      </w:r>
    </w:p>
    <w:p w14:paraId="2964F168">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6</w:t>
      </w:r>
      <w:r>
        <w:rPr>
          <w:rFonts w:ascii="仿宋_GB2312" w:eastAsia="仿宋_GB2312" w:cs="仿宋_GB2312"/>
          <w:color w:val="000000"/>
          <w:sz w:val="24"/>
          <w:szCs w:val="24"/>
        </w:rPr>
        <w:t>.</w:t>
      </w:r>
      <w:r>
        <w:rPr>
          <w:rFonts w:hint="eastAsia" w:ascii="仿宋_GB2312" w:eastAsia="仿宋_GB2312" w:cs="仿宋_GB2312"/>
          <w:color w:val="000000"/>
          <w:sz w:val="24"/>
          <w:szCs w:val="24"/>
        </w:rPr>
        <w:t>无形资产：无形资产取得、无形资产摊销、无形资产处置。</w:t>
      </w:r>
    </w:p>
    <w:p w14:paraId="6D04117D">
      <w:pPr>
        <w:adjustRightInd w:val="0"/>
        <w:snapToGrid w:val="0"/>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7.长期投资：长期债券投资、长期股权投资。</w:t>
      </w:r>
    </w:p>
    <w:p w14:paraId="3AAADF69">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8</w:t>
      </w:r>
      <w:r>
        <w:rPr>
          <w:rFonts w:ascii="仿宋_GB2312" w:eastAsia="仿宋_GB2312" w:cs="仿宋_GB2312"/>
          <w:color w:val="000000"/>
          <w:sz w:val="24"/>
          <w:szCs w:val="24"/>
        </w:rPr>
        <w:t>.</w:t>
      </w:r>
      <w:r>
        <w:rPr>
          <w:rFonts w:hint="eastAsia" w:ascii="仿宋_GB2312" w:eastAsia="仿宋_GB2312" w:cs="仿宋_GB2312"/>
          <w:color w:val="000000"/>
          <w:sz w:val="24"/>
          <w:szCs w:val="24"/>
        </w:rPr>
        <w:t>流动负债：短期借款、应付票据、应付账款、预收账款、应付职工薪酬、应交税费、其他应付款、应付利息、应付利润。</w:t>
      </w:r>
    </w:p>
    <w:p w14:paraId="73935573">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9</w:t>
      </w:r>
      <w:r>
        <w:rPr>
          <w:rFonts w:ascii="仿宋_GB2312" w:eastAsia="仿宋_GB2312" w:cs="仿宋_GB2312"/>
          <w:color w:val="000000"/>
          <w:sz w:val="24"/>
          <w:szCs w:val="24"/>
        </w:rPr>
        <w:t>.</w:t>
      </w:r>
      <w:r>
        <w:rPr>
          <w:rFonts w:hint="eastAsia" w:ascii="仿宋_GB2312" w:eastAsia="仿宋_GB2312" w:cs="仿宋_GB2312"/>
          <w:color w:val="000000"/>
          <w:sz w:val="24"/>
          <w:szCs w:val="24"/>
        </w:rPr>
        <w:t>非流动负债：长期借款、长期应付款。</w:t>
      </w:r>
    </w:p>
    <w:p w14:paraId="6F601E53">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10</w:t>
      </w:r>
      <w:r>
        <w:rPr>
          <w:rFonts w:ascii="仿宋_GB2312" w:eastAsia="仿宋_GB2312" w:cs="仿宋_GB2312"/>
          <w:color w:val="000000"/>
          <w:sz w:val="24"/>
          <w:szCs w:val="24"/>
        </w:rPr>
        <w:t>.</w:t>
      </w:r>
      <w:r>
        <w:rPr>
          <w:rFonts w:hint="eastAsia" w:ascii="仿宋_GB2312" w:eastAsia="仿宋_GB2312" w:cs="仿宋_GB2312"/>
          <w:color w:val="000000"/>
          <w:sz w:val="24"/>
          <w:szCs w:val="24"/>
        </w:rPr>
        <w:t>所有者权益：实收资本、资本公积、盈余公积、利润分配、未分配利润。</w:t>
      </w:r>
    </w:p>
    <w:p w14:paraId="36B59656">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11</w:t>
      </w:r>
      <w:r>
        <w:rPr>
          <w:rFonts w:ascii="仿宋_GB2312" w:eastAsia="仿宋_GB2312" w:cs="仿宋_GB2312"/>
          <w:color w:val="000000"/>
          <w:sz w:val="24"/>
          <w:szCs w:val="24"/>
        </w:rPr>
        <w:t>.</w:t>
      </w:r>
      <w:r>
        <w:rPr>
          <w:rFonts w:hint="eastAsia" w:ascii="仿宋_GB2312" w:eastAsia="仿宋_GB2312" w:cs="仿宋_GB2312"/>
          <w:color w:val="000000"/>
          <w:sz w:val="24"/>
          <w:szCs w:val="24"/>
        </w:rPr>
        <w:t>收入：销售商品收入、提供劳务收入。</w:t>
      </w:r>
    </w:p>
    <w:p w14:paraId="2ACE3B40">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2</w:t>
      </w:r>
      <w:r>
        <w:rPr>
          <w:rFonts w:ascii="仿宋_GB2312" w:eastAsia="仿宋_GB2312" w:cs="仿宋_GB2312"/>
          <w:color w:val="000000"/>
          <w:sz w:val="24"/>
          <w:szCs w:val="24"/>
        </w:rPr>
        <w:t>.</w:t>
      </w:r>
      <w:r>
        <w:rPr>
          <w:rFonts w:hint="eastAsia" w:ascii="仿宋_GB2312" w:eastAsia="仿宋_GB2312" w:cs="仿宋_GB2312"/>
          <w:color w:val="000000"/>
          <w:sz w:val="24"/>
          <w:szCs w:val="24"/>
        </w:rPr>
        <w:t>费用：主营业务成本、其他业务成本、税金及附加、期间费用。</w:t>
      </w:r>
    </w:p>
    <w:p w14:paraId="737442B5">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3</w:t>
      </w:r>
      <w:r>
        <w:rPr>
          <w:rFonts w:ascii="仿宋_GB2312" w:eastAsia="仿宋_GB2312" w:cs="仿宋_GB2312"/>
          <w:color w:val="000000"/>
          <w:sz w:val="24"/>
          <w:szCs w:val="24"/>
        </w:rPr>
        <w:t>.</w:t>
      </w:r>
      <w:r>
        <w:rPr>
          <w:rFonts w:hint="eastAsia" w:ascii="仿宋_GB2312" w:eastAsia="仿宋_GB2312" w:cs="仿宋_GB2312"/>
          <w:color w:val="000000"/>
          <w:sz w:val="24"/>
          <w:szCs w:val="24"/>
        </w:rPr>
        <w:t>利润：营业外收入、营业外支出、所得税费用、本年利润。</w:t>
      </w:r>
    </w:p>
    <w:p w14:paraId="18DD773F">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4</w:t>
      </w:r>
      <w:r>
        <w:rPr>
          <w:rFonts w:ascii="仿宋_GB2312" w:eastAsia="仿宋_GB2312" w:cs="仿宋_GB2312"/>
          <w:color w:val="000000"/>
          <w:sz w:val="24"/>
          <w:szCs w:val="24"/>
        </w:rPr>
        <w:t>.</w:t>
      </w:r>
      <w:r>
        <w:rPr>
          <w:rFonts w:hint="eastAsia" w:ascii="仿宋_GB2312" w:eastAsia="仿宋_GB2312" w:cs="仿宋_GB2312"/>
          <w:color w:val="000000"/>
          <w:sz w:val="24"/>
          <w:szCs w:val="24"/>
        </w:rPr>
        <w:t>财务报表：资产负债表的编制、利润表的编制。</w:t>
      </w:r>
    </w:p>
    <w:p w14:paraId="102FD63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5</w:t>
      </w:r>
      <w:r>
        <w:rPr>
          <w:rFonts w:ascii="仿宋_GB2312" w:eastAsia="仿宋_GB2312" w:cs="仿宋_GB2312"/>
          <w:color w:val="000000"/>
          <w:sz w:val="24"/>
          <w:szCs w:val="24"/>
        </w:rPr>
        <w:t>.</w:t>
      </w:r>
      <w:r>
        <w:rPr>
          <w:rFonts w:hint="eastAsia" w:ascii="仿宋_GB2312" w:eastAsia="仿宋_GB2312" w:cs="仿宋_GB2312"/>
          <w:color w:val="000000"/>
          <w:sz w:val="24"/>
          <w:szCs w:val="24"/>
        </w:rPr>
        <w:t>成本：要素费用的归集与分配、生产费用在完工产品与在产品之间的归集和分配、产品成本核算品种法。</w:t>
      </w:r>
    </w:p>
    <w:p w14:paraId="2003E279">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6</w:t>
      </w:r>
      <w:r>
        <w:rPr>
          <w:rFonts w:ascii="仿宋_GB2312" w:eastAsia="仿宋_GB2312" w:cs="仿宋_GB2312"/>
          <w:color w:val="000000"/>
          <w:sz w:val="24"/>
          <w:szCs w:val="24"/>
        </w:rPr>
        <w:t>.</w:t>
      </w:r>
      <w:r>
        <w:rPr>
          <w:rFonts w:hint="eastAsia" w:ascii="仿宋_GB2312" w:eastAsia="仿宋_GB2312" w:cs="仿宋_GB2312"/>
          <w:color w:val="000000"/>
          <w:sz w:val="24"/>
          <w:szCs w:val="24"/>
        </w:rPr>
        <w:t>纳税申报</w:t>
      </w:r>
      <w:r>
        <w:rPr>
          <w:rFonts w:hint="eastAsia" w:ascii="仿宋_GB2312" w:eastAsia="仿宋_GB2312" w:cs="仿宋_GB2312"/>
          <w:color w:val="000000"/>
          <w:sz w:val="24"/>
          <w:szCs w:val="24"/>
          <w:lang w:val="en-US" w:eastAsia="zh-CN"/>
        </w:rPr>
        <w:t>与电子发票</w:t>
      </w:r>
      <w:r>
        <w:rPr>
          <w:rFonts w:ascii="仿宋_GB2312" w:eastAsia="仿宋_GB2312" w:cs="仿宋_GB2312"/>
          <w:color w:val="000000"/>
          <w:sz w:val="24"/>
          <w:szCs w:val="24"/>
        </w:rPr>
        <w:t>:</w:t>
      </w:r>
      <w:r>
        <w:rPr>
          <w:rFonts w:hint="eastAsia" w:ascii="仿宋_GB2312" w:eastAsia="仿宋_GB2312" w:cs="仿宋_GB2312"/>
          <w:color w:val="000000"/>
          <w:sz w:val="24"/>
          <w:szCs w:val="24"/>
        </w:rPr>
        <w:t>防伪税控开票、增值税及附加税费纳税申报、企业所得税纳税申报。</w:t>
      </w:r>
    </w:p>
    <w:p w14:paraId="781917A6">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三</w:t>
      </w:r>
      <w:r>
        <w:rPr>
          <w:rFonts w:hint="eastAsia" w:ascii="黑体" w:hAnsi="黑体" w:eastAsia="黑体" w:cs="黑体"/>
          <w:color w:val="000000"/>
          <w:sz w:val="24"/>
          <w:szCs w:val="24"/>
        </w:rPr>
        <w:t>、竞赛方式</w:t>
      </w:r>
    </w:p>
    <w:p w14:paraId="61482955">
      <w:pPr>
        <w:adjustRightInd w:val="0"/>
        <w:snapToGrid w:val="0"/>
        <w:spacing w:line="360" w:lineRule="auto"/>
        <w:ind w:firstLine="480" w:firstLineChars="200"/>
        <w:rPr>
          <w:rFonts w:hint="eastAsia" w:ascii="仿宋_GB2312" w:hAnsi="Times New Roman" w:eastAsia="仿宋_GB2312" w:cs="仿宋_GB2312"/>
          <w:color w:val="000000"/>
          <w:kern w:val="2"/>
          <w:sz w:val="24"/>
          <w:szCs w:val="24"/>
          <w:lang w:eastAsia="zh-CN"/>
        </w:rPr>
      </w:pPr>
      <w:r>
        <w:rPr>
          <w:rFonts w:hint="eastAsia" w:ascii="仿宋_GB2312" w:hAnsi="Times New Roman" w:eastAsia="仿宋_GB2312" w:cs="仿宋_GB2312"/>
          <w:color w:val="000000"/>
          <w:kern w:val="2"/>
          <w:sz w:val="24"/>
          <w:szCs w:val="24"/>
          <w:lang w:eastAsia="zh-CN"/>
        </w:rPr>
        <w:t>本赛项为团队赛。</w:t>
      </w:r>
    </w:p>
    <w:p w14:paraId="2D396492">
      <w:pPr>
        <w:numPr>
          <w:ilvl w:val="0"/>
          <w:numId w:val="1"/>
        </w:numPr>
        <w:adjustRightInd w:val="0"/>
        <w:snapToGrid w:val="0"/>
        <w:spacing w:line="360" w:lineRule="auto"/>
        <w:ind w:firstLine="480" w:firstLineChars="200"/>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竞赛时间</w:t>
      </w:r>
    </w:p>
    <w:p w14:paraId="0BFB17A2">
      <w:pPr>
        <w:numPr>
          <w:ilvl w:val="0"/>
          <w:numId w:val="0"/>
        </w:numPr>
        <w:adjustRightInd w:val="0"/>
        <w:snapToGrid w:val="0"/>
        <w:spacing w:line="360" w:lineRule="auto"/>
        <w:ind w:firstLine="480" w:firstLineChars="200"/>
        <w:rPr>
          <w:rFonts w:hint="eastAsia" w:ascii="仿宋_GB2312" w:hAnsi="Times New Roman" w:eastAsia="仿宋_GB2312" w:cs="仿宋_GB2312"/>
          <w:color w:val="000000"/>
          <w:kern w:val="2"/>
          <w:sz w:val="24"/>
          <w:szCs w:val="24"/>
          <w:lang w:val="en-US" w:eastAsia="zh-CN"/>
        </w:rPr>
      </w:pPr>
      <w:r>
        <w:rPr>
          <w:rFonts w:hint="eastAsia" w:ascii="仿宋_GB2312" w:hAnsi="Times New Roman" w:eastAsia="仿宋_GB2312" w:cs="仿宋_GB2312"/>
          <w:color w:val="000000"/>
          <w:kern w:val="2"/>
          <w:sz w:val="24"/>
          <w:szCs w:val="24"/>
          <w:lang w:eastAsia="zh-CN"/>
        </w:rPr>
        <w:t>本赛项</w:t>
      </w:r>
      <w:r>
        <w:rPr>
          <w:rFonts w:hint="eastAsia" w:ascii="仿宋_GB2312" w:hAnsi="Times New Roman" w:eastAsia="仿宋_GB2312" w:cs="仿宋_GB2312"/>
          <w:color w:val="000000"/>
          <w:kern w:val="2"/>
          <w:sz w:val="24"/>
          <w:szCs w:val="24"/>
          <w:lang w:val="en-US" w:eastAsia="zh-CN"/>
        </w:rPr>
        <w:t>比赛时间为180分钟。详见表1。</w:t>
      </w:r>
    </w:p>
    <w:p w14:paraId="181167CD">
      <w:pPr>
        <w:numPr>
          <w:ilvl w:val="0"/>
          <w:numId w:val="0"/>
        </w:numPr>
        <w:adjustRightInd w:val="0"/>
        <w:snapToGrid w:val="0"/>
        <w:spacing w:line="360" w:lineRule="auto"/>
        <w:ind w:firstLine="480" w:firstLineChars="200"/>
        <w:jc w:val="center"/>
        <w:rPr>
          <w:rFonts w:hint="default" w:ascii="仿宋_GB2312" w:hAnsi="Times New Roman" w:eastAsia="仿宋_GB2312" w:cs="仿宋_GB2312"/>
          <w:color w:val="000000"/>
          <w:kern w:val="2"/>
          <w:sz w:val="24"/>
          <w:szCs w:val="24"/>
          <w:lang w:val="en-US" w:eastAsia="zh-CN"/>
        </w:rPr>
      </w:pPr>
      <w:r>
        <w:rPr>
          <w:rFonts w:hint="eastAsia" w:ascii="仿宋_GB2312" w:hAnsi="Times New Roman" w:eastAsia="仿宋_GB2312" w:cs="仿宋_GB2312"/>
          <w:color w:val="000000"/>
          <w:kern w:val="2"/>
          <w:sz w:val="24"/>
          <w:szCs w:val="24"/>
          <w:lang w:val="en-US" w:eastAsia="zh-CN"/>
        </w:rPr>
        <w:t>表1 竞赛时间安排表（以正式公布的赛项指南为准）</w:t>
      </w:r>
    </w:p>
    <w:tbl>
      <w:tblPr>
        <w:tblStyle w:val="6"/>
        <w:tblpPr w:leftFromText="180" w:rightFromText="180" w:vertAnchor="text" w:tblpXSpec="center" w:tblpY="1"/>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40"/>
        <w:gridCol w:w="2402"/>
        <w:gridCol w:w="3100"/>
        <w:gridCol w:w="1271"/>
      </w:tblGrid>
      <w:tr w14:paraId="152B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24C94A5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tc>
        <w:tc>
          <w:tcPr>
            <w:tcW w:w="1540" w:type="dxa"/>
            <w:vAlign w:val="center"/>
          </w:tcPr>
          <w:p w14:paraId="4F12E3AF">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时间</w:t>
            </w:r>
          </w:p>
        </w:tc>
        <w:tc>
          <w:tcPr>
            <w:tcW w:w="2402" w:type="dxa"/>
            <w:vAlign w:val="center"/>
          </w:tcPr>
          <w:p w14:paraId="28142130">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事项</w:t>
            </w:r>
          </w:p>
        </w:tc>
        <w:tc>
          <w:tcPr>
            <w:tcW w:w="3100" w:type="dxa"/>
            <w:vAlign w:val="center"/>
          </w:tcPr>
          <w:p w14:paraId="21D5180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参加人员</w:t>
            </w:r>
          </w:p>
        </w:tc>
        <w:tc>
          <w:tcPr>
            <w:tcW w:w="1271" w:type="dxa"/>
            <w:vAlign w:val="center"/>
          </w:tcPr>
          <w:p w14:paraId="6C7FEB9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地点</w:t>
            </w:r>
          </w:p>
        </w:tc>
      </w:tr>
      <w:tr w14:paraId="2DB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4E787EBF">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报道日</w:t>
            </w:r>
          </w:p>
        </w:tc>
        <w:tc>
          <w:tcPr>
            <w:tcW w:w="1540" w:type="dxa"/>
            <w:vAlign w:val="center"/>
          </w:tcPr>
          <w:p w14:paraId="122F2A60">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13:00-14:30</w:t>
            </w:r>
          </w:p>
        </w:tc>
        <w:tc>
          <w:tcPr>
            <w:tcW w:w="2402" w:type="dxa"/>
            <w:vAlign w:val="center"/>
          </w:tcPr>
          <w:p w14:paraId="6FA434D8">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参赛队报到</w:t>
            </w:r>
          </w:p>
        </w:tc>
        <w:tc>
          <w:tcPr>
            <w:tcW w:w="3100" w:type="dxa"/>
            <w:vAlign w:val="center"/>
          </w:tcPr>
          <w:p w14:paraId="6C36699D">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工作人员、参赛队</w:t>
            </w:r>
          </w:p>
        </w:tc>
        <w:tc>
          <w:tcPr>
            <w:tcW w:w="1271" w:type="dxa"/>
            <w:vMerge w:val="restart"/>
            <w:vAlign w:val="center"/>
          </w:tcPr>
          <w:p w14:paraId="5FEF8005">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报告厅</w:t>
            </w:r>
          </w:p>
        </w:tc>
      </w:tr>
      <w:tr w14:paraId="716F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7" w:type="dxa"/>
            <w:vMerge w:val="continue"/>
            <w:vAlign w:val="center"/>
          </w:tcPr>
          <w:p w14:paraId="1C33082F">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0268F74F">
            <w:pPr>
              <w:keepNext w:val="0"/>
              <w:keepLines w:val="0"/>
              <w:widowControl/>
              <w:suppressLineNumbers w:val="0"/>
              <w:jc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15:00-15:30</w:t>
            </w:r>
          </w:p>
        </w:tc>
        <w:tc>
          <w:tcPr>
            <w:tcW w:w="2402" w:type="dxa"/>
            <w:vAlign w:val="center"/>
          </w:tcPr>
          <w:p w14:paraId="02F02D73">
            <w:pPr>
              <w:keepNext w:val="0"/>
              <w:keepLines w:val="0"/>
              <w:widowControl/>
              <w:suppressLineNumbers w:val="0"/>
              <w:jc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开幕式</w:t>
            </w:r>
          </w:p>
        </w:tc>
        <w:tc>
          <w:tcPr>
            <w:tcW w:w="3100" w:type="dxa"/>
            <w:vAlign w:val="center"/>
          </w:tcPr>
          <w:p w14:paraId="545DCD61">
            <w:pPr>
              <w:keepNext w:val="0"/>
              <w:keepLines w:val="0"/>
              <w:widowControl/>
              <w:suppressLineNumbers w:val="0"/>
              <w:jc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领导、裁判、参赛队领队等</w:t>
            </w:r>
          </w:p>
        </w:tc>
        <w:tc>
          <w:tcPr>
            <w:tcW w:w="1271" w:type="dxa"/>
            <w:vMerge w:val="continue"/>
            <w:vAlign w:val="center"/>
          </w:tcPr>
          <w:p w14:paraId="24A18975">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r>
      <w:tr w14:paraId="344D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7" w:type="dxa"/>
            <w:vMerge w:val="continue"/>
            <w:vAlign w:val="center"/>
          </w:tcPr>
          <w:p w14:paraId="1C67719B">
            <w:pPr>
              <w:keepNext w:val="0"/>
              <w:keepLines w:val="0"/>
              <w:widowControl/>
              <w:suppressLineNumbers w:val="0"/>
              <w:jc w:val="center"/>
            </w:pPr>
          </w:p>
        </w:tc>
        <w:tc>
          <w:tcPr>
            <w:tcW w:w="1540" w:type="dxa"/>
            <w:shd w:val="clear" w:color="auto" w:fill="auto"/>
            <w:vAlign w:val="center"/>
          </w:tcPr>
          <w:p w14:paraId="0EB9B629">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15:30-16:30</w:t>
            </w:r>
          </w:p>
        </w:tc>
        <w:tc>
          <w:tcPr>
            <w:tcW w:w="2402" w:type="dxa"/>
            <w:shd w:val="clear" w:color="auto" w:fill="auto"/>
            <w:vAlign w:val="center"/>
          </w:tcPr>
          <w:p w14:paraId="092BBC6B">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领队会说明、抽签</w:t>
            </w:r>
          </w:p>
        </w:tc>
        <w:tc>
          <w:tcPr>
            <w:tcW w:w="3100" w:type="dxa"/>
            <w:shd w:val="clear" w:color="auto" w:fill="auto"/>
            <w:vAlign w:val="center"/>
          </w:tcPr>
          <w:p w14:paraId="426590ED">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领导、裁判、各参赛队领队</w:t>
            </w:r>
          </w:p>
        </w:tc>
        <w:tc>
          <w:tcPr>
            <w:tcW w:w="1271" w:type="dxa"/>
            <w:vMerge w:val="continue"/>
            <w:vAlign w:val="center"/>
          </w:tcPr>
          <w:p w14:paraId="6FCA00E0">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14:paraId="125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1C080FD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竞赛日</w:t>
            </w:r>
          </w:p>
        </w:tc>
        <w:tc>
          <w:tcPr>
            <w:tcW w:w="1540" w:type="dxa"/>
            <w:vAlign w:val="center"/>
          </w:tcPr>
          <w:p w14:paraId="1819FE4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08:00-08:30</w:t>
            </w:r>
          </w:p>
        </w:tc>
        <w:tc>
          <w:tcPr>
            <w:tcW w:w="2402" w:type="dxa"/>
            <w:vAlign w:val="center"/>
          </w:tcPr>
          <w:p w14:paraId="0038CC3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选手检录</w:t>
            </w:r>
          </w:p>
        </w:tc>
        <w:tc>
          <w:tcPr>
            <w:tcW w:w="3100" w:type="dxa"/>
            <w:vAlign w:val="center"/>
          </w:tcPr>
          <w:p w14:paraId="3DF273F9">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工作人员、参赛选手</w:t>
            </w:r>
          </w:p>
        </w:tc>
        <w:tc>
          <w:tcPr>
            <w:tcW w:w="1271" w:type="dxa"/>
            <w:vAlign w:val="center"/>
          </w:tcPr>
          <w:p w14:paraId="4E6FFCE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35EF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311C705C">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1A16084D">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08:30-09:00</w:t>
            </w:r>
          </w:p>
        </w:tc>
        <w:tc>
          <w:tcPr>
            <w:tcW w:w="2402" w:type="dxa"/>
            <w:vAlign w:val="center"/>
          </w:tcPr>
          <w:p w14:paraId="4A70E40A">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选手入场、赛前准备</w:t>
            </w:r>
          </w:p>
        </w:tc>
        <w:tc>
          <w:tcPr>
            <w:tcW w:w="3100" w:type="dxa"/>
            <w:vAlign w:val="center"/>
          </w:tcPr>
          <w:p w14:paraId="1C9A7CB7">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w:t>
            </w:r>
          </w:p>
        </w:tc>
        <w:tc>
          <w:tcPr>
            <w:tcW w:w="1271" w:type="dxa"/>
            <w:vAlign w:val="center"/>
          </w:tcPr>
          <w:p w14:paraId="4E9498F9">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6070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D610CBE">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79A13B4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09:00-12:00</w:t>
            </w:r>
          </w:p>
        </w:tc>
        <w:tc>
          <w:tcPr>
            <w:tcW w:w="2402" w:type="dxa"/>
            <w:vAlign w:val="center"/>
          </w:tcPr>
          <w:p w14:paraId="05C52552">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企业云数字服务比赛</w:t>
            </w:r>
          </w:p>
        </w:tc>
        <w:tc>
          <w:tcPr>
            <w:tcW w:w="3100" w:type="dxa"/>
            <w:vAlign w:val="center"/>
          </w:tcPr>
          <w:p w14:paraId="74072E7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参赛选手、裁判</w:t>
            </w:r>
          </w:p>
        </w:tc>
        <w:tc>
          <w:tcPr>
            <w:tcW w:w="1271" w:type="dxa"/>
            <w:vAlign w:val="center"/>
          </w:tcPr>
          <w:p w14:paraId="633CDF8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竞赛场地</w:t>
            </w:r>
          </w:p>
        </w:tc>
      </w:tr>
      <w:tr w14:paraId="70DA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65D7B2A0">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12FAC9E5">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14:00</w:t>
            </w:r>
          </w:p>
        </w:tc>
        <w:tc>
          <w:tcPr>
            <w:tcW w:w="5502" w:type="dxa"/>
            <w:gridSpan w:val="2"/>
            <w:vAlign w:val="center"/>
          </w:tcPr>
          <w:p w14:paraId="0899B74E">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成绩公示</w:t>
            </w:r>
          </w:p>
        </w:tc>
        <w:tc>
          <w:tcPr>
            <w:tcW w:w="1271" w:type="dxa"/>
            <w:vAlign w:val="center"/>
          </w:tcPr>
          <w:p w14:paraId="38798247">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报告厅</w:t>
            </w:r>
          </w:p>
        </w:tc>
      </w:tr>
      <w:tr w14:paraId="127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67D4B3D5">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6F2AB68B">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5502" w:type="dxa"/>
            <w:gridSpan w:val="2"/>
            <w:vAlign w:val="center"/>
          </w:tcPr>
          <w:p w14:paraId="0D25517A">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271" w:type="dxa"/>
            <w:vAlign w:val="center"/>
          </w:tcPr>
          <w:p w14:paraId="57A74F36">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bl>
    <w:p w14:paraId="6CD321BC">
      <w:pPr>
        <w:numPr>
          <w:ilvl w:val="0"/>
          <w:numId w:val="0"/>
        </w:numPr>
        <w:adjustRightInd w:val="0"/>
        <w:snapToGrid w:val="0"/>
        <w:spacing w:line="360" w:lineRule="auto"/>
        <w:rPr>
          <w:rFonts w:hint="default" w:ascii="黑体" w:hAnsi="黑体" w:eastAsia="黑体" w:cs="黑体"/>
          <w:color w:val="000000"/>
          <w:sz w:val="24"/>
          <w:szCs w:val="24"/>
          <w:lang w:val="en-US" w:eastAsia="zh-CN"/>
        </w:rPr>
      </w:pPr>
    </w:p>
    <w:p w14:paraId="328A3694">
      <w:pPr>
        <w:numPr>
          <w:ilvl w:val="0"/>
          <w:numId w:val="1"/>
        </w:numPr>
        <w:adjustRightInd w:val="0"/>
        <w:snapToGrid w:val="0"/>
        <w:spacing w:line="360" w:lineRule="auto"/>
        <w:ind w:firstLine="480" w:firstLineChars="200"/>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竞赛规则</w:t>
      </w:r>
    </w:p>
    <w:p w14:paraId="10658841">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（一）竞赛项目规则</w:t>
      </w:r>
    </w:p>
    <w:p w14:paraId="2EBDDC7E">
      <w:pPr>
        <w:adjustRightInd w:val="0"/>
        <w:snapToGrid w:val="0"/>
        <w:spacing w:line="360" w:lineRule="auto"/>
        <w:ind w:firstLine="480" w:firstLineChars="200"/>
        <w:jc w:val="left"/>
        <w:rPr>
          <w:rFonts w:hint="default" w:ascii="仿宋_GB2312" w:eastAsia="仿宋_GB2312"/>
          <w:color w:val="000000"/>
          <w:sz w:val="24"/>
          <w:szCs w:val="24"/>
          <w:lang w:val="en-US" w:eastAsia="zh-CN"/>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本赛项为团队赛</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en-US" w:eastAsia="zh-CN"/>
        </w:rPr>
        <w:t>不得跨校组队，每个学校报名参赛队不超过1支。每支参赛队3名参赛选手、不超过两名指导老师。</w:t>
      </w:r>
    </w:p>
    <w:p w14:paraId="3B6752D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参赛选手凭身份证、学生证参加竞赛及相关活动。</w:t>
      </w:r>
    </w:p>
    <w:p w14:paraId="35C0649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参赛选手应严格遵守赛场纪律，服从指挥，着装</w:t>
      </w:r>
      <w:bookmarkStart w:id="1" w:name="_GoBack"/>
      <w:bookmarkEnd w:id="1"/>
      <w:r>
        <w:rPr>
          <w:rFonts w:hint="eastAsia" w:ascii="仿宋_GB2312" w:eastAsia="仿宋_GB2312" w:cs="仿宋_GB2312"/>
          <w:color w:val="000000"/>
          <w:sz w:val="24"/>
          <w:szCs w:val="24"/>
        </w:rPr>
        <w:t>整洁，仪表端庄，讲文明礼貌。各地代表队之间应团结、友好、协作，避免各种矛盾发生。</w:t>
      </w:r>
    </w:p>
    <w:p w14:paraId="1252DB7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参赛队在比赛前一天由赛项执委会统一组织熟悉赛场。</w:t>
      </w:r>
    </w:p>
    <w:p w14:paraId="38A79DE9">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参赛选手须提前</w:t>
      </w:r>
      <w:r>
        <w:rPr>
          <w:rFonts w:ascii="仿宋_GB2312" w:eastAsia="仿宋_GB2312" w:cs="仿宋_GB2312"/>
          <w:color w:val="000000"/>
          <w:sz w:val="24"/>
          <w:szCs w:val="24"/>
        </w:rPr>
        <w:t>20</w:t>
      </w:r>
      <w:r>
        <w:rPr>
          <w:rFonts w:hint="eastAsia" w:ascii="仿宋_GB2312" w:eastAsia="仿宋_GB2312" w:cs="仿宋_GB2312"/>
          <w:color w:val="000000"/>
          <w:sz w:val="24"/>
          <w:szCs w:val="24"/>
        </w:rPr>
        <w:t>分钟入场，入场出示身份证。不得私自携带任何软硬件工具（各种便携式电脑、各种移动存储设备等）、技术资源、通信工具。按工位号入座，检查比赛所需竞赛设备齐全后，由参赛选手签字确认方可开始比赛。迟到超过</w:t>
      </w:r>
      <w:r>
        <w:rPr>
          <w:rFonts w:ascii="仿宋_GB2312" w:eastAsia="仿宋_GB2312" w:cs="仿宋_GB2312"/>
          <w:color w:val="000000"/>
          <w:sz w:val="24"/>
          <w:szCs w:val="24"/>
        </w:rPr>
        <w:t>10</w:t>
      </w:r>
      <w:r>
        <w:rPr>
          <w:rFonts w:hint="eastAsia" w:ascii="仿宋_GB2312" w:eastAsia="仿宋_GB2312" w:cs="仿宋_GB2312"/>
          <w:color w:val="000000"/>
          <w:sz w:val="24"/>
          <w:szCs w:val="24"/>
        </w:rPr>
        <w:t>分钟的选手不得入场。竞赛期间不准出场，竞赛结束后方可离场。</w:t>
      </w:r>
    </w:p>
    <w:p w14:paraId="1100897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竞赛过程中，每个参赛队内部成员不得互相沟通，不得向任何其他人员讨论问题，也不得向裁判、巡视员和其他必须进入考场的工作人员询问与竞赛项目的操作流程和操作方法有关的问题，如有竞赛题目文字不清、软硬件环境故障的问题时，可向裁判员询问，但不得影响到其他竞赛选手。</w:t>
      </w:r>
    </w:p>
    <w:p w14:paraId="311ADA8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竞赛过程中除裁判和其他必须进入考场的工作人员外，任何其他非竞赛选手不得进入竞赛场地。</w:t>
      </w:r>
    </w:p>
    <w:p w14:paraId="1CB6AAE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竞赛结束（或提前完成）后，参赛选手要确认成功提交竞赛要求的文件，裁判员与选手本人一起签字确认，参赛队在确认后不得再进行任何操作。</w:t>
      </w:r>
    </w:p>
    <w:p w14:paraId="1F0D1C2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9.</w:t>
      </w:r>
      <w:r>
        <w:rPr>
          <w:rFonts w:hint="eastAsia" w:ascii="仿宋_GB2312" w:eastAsia="仿宋_GB2312" w:cs="仿宋_GB2312"/>
          <w:color w:val="000000"/>
          <w:sz w:val="24"/>
          <w:szCs w:val="24"/>
        </w:rPr>
        <w:t>其它未尽事宜，将在竞赛指南或赛前说明会向各领队做详细说明。</w:t>
      </w:r>
    </w:p>
    <w:p w14:paraId="3C9A192F">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（二）赛项具体规则</w:t>
      </w:r>
    </w:p>
    <w:p w14:paraId="76398096">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选手在工作人员的引导下进入考场，检查座位号与抽签号是否相符。在裁判人员指导下输入准考证号。待比赛命令发布后，方可开始答题，考试系统自动倒计时。</w:t>
      </w:r>
    </w:p>
    <w:p w14:paraId="4E3381D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比赛开始后</w:t>
      </w:r>
      <w:r>
        <w:rPr>
          <w:rFonts w:ascii="仿宋_GB2312" w:eastAsia="仿宋_GB2312" w:cs="仿宋_GB2312"/>
          <w:color w:val="000000"/>
          <w:sz w:val="24"/>
          <w:szCs w:val="24"/>
        </w:rPr>
        <w:t>30</w:t>
      </w:r>
      <w:r>
        <w:rPr>
          <w:rFonts w:hint="eastAsia" w:ascii="仿宋_GB2312" w:eastAsia="仿宋_GB2312" w:cs="仿宋_GB2312"/>
          <w:color w:val="000000"/>
          <w:sz w:val="24"/>
          <w:szCs w:val="24"/>
        </w:rPr>
        <w:t>分钟内选手不得交卷。比赛只允许交卷一次，不能重复交卷，不能随意点击交卷退场按钮。</w:t>
      </w:r>
    </w:p>
    <w:p w14:paraId="2CE7E8B6">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依据《小企业会计准则》、现行税法和财政部会计基础工作规范处理经济业务。</w:t>
      </w:r>
    </w:p>
    <w:p w14:paraId="1D24AEE9">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按照比赛系统操作要求，完成初始设置、审核或填制原始凭证、编制记账凭证、审核记账凭证、记账、对账并结账、编制资产负债表和利润表、防伪税控开票、纳税申报</w:t>
      </w:r>
      <w:r>
        <w:rPr>
          <w:rFonts w:hint="eastAsia" w:ascii="仿宋_GB2312" w:eastAsia="仿宋_GB2312" w:cs="仿宋_GB2312"/>
          <w:color w:val="000000"/>
          <w:sz w:val="24"/>
          <w:szCs w:val="24"/>
          <w:lang w:val="en-US" w:eastAsia="zh-CN"/>
        </w:rPr>
        <w:t>与电子发票</w:t>
      </w:r>
      <w:r>
        <w:rPr>
          <w:rFonts w:hint="eastAsia" w:ascii="仿宋_GB2312" w:eastAsia="仿宋_GB2312" w:cs="仿宋_GB2312"/>
          <w:color w:val="000000"/>
          <w:sz w:val="24"/>
          <w:szCs w:val="24"/>
        </w:rPr>
        <w:t>等。</w:t>
      </w:r>
    </w:p>
    <w:p w14:paraId="4407C9F9">
      <w:pPr>
        <w:numPr>
          <w:ilvl w:val="0"/>
          <w:numId w:val="0"/>
        </w:numPr>
        <w:adjustRightInd w:val="0"/>
        <w:snapToGrid w:val="0"/>
        <w:spacing w:line="360" w:lineRule="auto"/>
        <w:ind w:firstLine="480" w:firstLineChars="200"/>
        <w:rPr>
          <w:rFonts w:hint="eastAsia" w:ascii="仿宋_GB2312" w:eastAsia="仿宋_GB2312" w:cs="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比赛结束时，将资料和工具整齐摆放在桌子上，经裁判人员确认后方可离开赛场，离开时不得带走任何资料。</w:t>
      </w:r>
    </w:p>
    <w:p w14:paraId="727DC42C">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六</w:t>
      </w:r>
      <w:r>
        <w:rPr>
          <w:rFonts w:hint="eastAsia" w:ascii="黑体" w:hAnsi="黑体" w:eastAsia="黑体" w:cs="黑体"/>
          <w:color w:val="000000"/>
          <w:sz w:val="24"/>
          <w:szCs w:val="24"/>
        </w:rPr>
        <w:t>、竞赛环境</w:t>
      </w:r>
    </w:p>
    <w:p w14:paraId="32C5E630">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（一）竞赛场地</w:t>
      </w:r>
    </w:p>
    <w:p w14:paraId="7BBBA83F">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现场保证良好的采光、照明和通风；提供稳定的水、电和供电应急设备。同时提供所有指导教师休息室</w:t>
      </w:r>
      <w:r>
        <w:rPr>
          <w:rFonts w:ascii="仿宋_GB2312" w:eastAsia="仿宋_GB2312" w:cs="仿宋_GB2312"/>
          <w:color w:val="000000"/>
          <w:sz w:val="24"/>
          <w:szCs w:val="24"/>
        </w:rPr>
        <w:t>1</w:t>
      </w:r>
      <w:r>
        <w:rPr>
          <w:rFonts w:hint="eastAsia" w:ascii="仿宋_GB2312" w:eastAsia="仿宋_GB2312" w:cs="仿宋_GB2312"/>
          <w:color w:val="000000"/>
          <w:sz w:val="24"/>
          <w:szCs w:val="24"/>
        </w:rPr>
        <w:t>间。</w:t>
      </w:r>
    </w:p>
    <w:p w14:paraId="05D310E3">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（二）竞赛设备</w:t>
      </w:r>
    </w:p>
    <w:p w14:paraId="1907B54D">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所有竞赛设备由赛项组委会负责提供和保障，按照参赛队数量准备比赛所需的软硬件平台，详见技术平台部分。</w:t>
      </w:r>
    </w:p>
    <w:p w14:paraId="6F198A1A">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（三）竞赛工位</w:t>
      </w:r>
    </w:p>
    <w:p w14:paraId="55694C11">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每个比赛工位上标明编号。每个比赛间配有工作台，用于摆放计算机和其它调试设备工具等。</w:t>
      </w:r>
    </w:p>
    <w:p w14:paraId="02F2E5D4">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七</w:t>
      </w:r>
      <w:r>
        <w:rPr>
          <w:rFonts w:hint="eastAsia" w:ascii="黑体" w:hAnsi="黑体" w:eastAsia="黑体" w:cs="黑体"/>
          <w:color w:val="000000"/>
          <w:sz w:val="24"/>
          <w:szCs w:val="24"/>
        </w:rPr>
        <w:t>、技术规范</w:t>
      </w:r>
    </w:p>
    <w:p w14:paraId="24D57242">
      <w:pPr>
        <w:adjustRightInd w:val="0"/>
        <w:snapToGrid w:val="0"/>
        <w:spacing w:line="360" w:lineRule="auto"/>
        <w:ind w:firstLine="480" w:firstLineChars="200"/>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rPr>
        <w:t>（一）</w:t>
      </w:r>
      <w:r>
        <w:rPr>
          <w:rFonts w:hint="eastAsia" w:ascii="仿宋_GB2312" w:eastAsia="仿宋_GB2312" w:cs="仿宋_GB2312"/>
          <w:color w:val="000000"/>
          <w:sz w:val="24"/>
          <w:szCs w:val="24"/>
          <w:lang w:val="en-US" w:eastAsia="zh-CN"/>
        </w:rPr>
        <w:t>软件技术规范</w:t>
      </w:r>
    </w:p>
    <w:p w14:paraId="01D90ABB">
      <w:p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 xml:space="preserve">教育部《职业教育专业目录（2021 年）》（教职成〔2021〕 2 号）。 </w:t>
      </w:r>
    </w:p>
    <w:p w14:paraId="5DBB0CB0">
      <w:p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 xml:space="preserve">截止2022年12月31日发布并实施的 《小企业会计准则》。 </w:t>
      </w:r>
    </w:p>
    <w:p w14:paraId="33B6EC5F">
      <w:p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截止2022年12月31日发布并开始实施的税收政策。</w:t>
      </w:r>
    </w:p>
    <w:p w14:paraId="76F72111">
      <w:p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4.</w:t>
      </w:r>
      <w:r>
        <w:rPr>
          <w:rFonts w:hint="eastAsia" w:ascii="仿宋_GB2312" w:eastAsia="仿宋_GB2312" w:cs="仿宋_GB2312"/>
          <w:color w:val="000000"/>
          <w:sz w:val="24"/>
          <w:szCs w:val="24"/>
        </w:rPr>
        <w:t>截止2022年12月31日发布并开始实施的其它相关财经类法规、制度等。</w:t>
      </w:r>
    </w:p>
    <w:p w14:paraId="59101AF6">
      <w:p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5.</w:t>
      </w:r>
      <w:r>
        <w:rPr>
          <w:rFonts w:hint="eastAsia" w:ascii="仿宋_GB2312" w:eastAsia="仿宋_GB2312" w:cs="仿宋_GB2312"/>
          <w:color w:val="000000"/>
          <w:sz w:val="24"/>
          <w:szCs w:val="24"/>
        </w:rPr>
        <w:t>财政部、国家档案局联合制定发布实施的《关于规范电子会计凭证报销入账归档的通知》。</w:t>
      </w:r>
    </w:p>
    <w:p w14:paraId="20823770">
      <w:pPr>
        <w:adjustRightInd w:val="0"/>
        <w:snapToGrid w:val="0"/>
        <w:spacing w:line="360" w:lineRule="auto"/>
        <w:ind w:firstLine="480" w:firstLineChars="200"/>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val="en-US" w:eastAsia="zh-CN"/>
        </w:rPr>
        <w:t>二</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val="en-US" w:eastAsia="zh-CN"/>
        </w:rPr>
        <w:t>场地技术规范</w:t>
      </w:r>
    </w:p>
    <w:p w14:paraId="43898C81">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竞赛现场设置竞赛区、裁判区、服务区、技术支持区。</w:t>
      </w:r>
    </w:p>
    <w:p w14:paraId="3B38DCA6">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竞赛区提供标准竞赛设备；竞赛区的每个比赛工位上标明编号；每个比赛间配置若干工作台，用于摆放计算机和其它调试操作，工作台上面摆放制作工具等。</w:t>
      </w:r>
    </w:p>
    <w:p w14:paraId="7F9F2C69">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裁判区配置计算机等统计工具。</w:t>
      </w:r>
    </w:p>
    <w:p w14:paraId="4F325EA9">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服务区提供医疗等服务保障。</w:t>
      </w:r>
    </w:p>
    <w:p w14:paraId="490189BC">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lang w:val="en-US" w:eastAsia="zh-CN"/>
        </w:rPr>
        <w:t>4.</w:t>
      </w:r>
      <w:r>
        <w:rPr>
          <w:rFonts w:hint="eastAsia" w:ascii="仿宋_GB2312" w:eastAsia="仿宋_GB2312" w:cs="仿宋_GB2312"/>
          <w:color w:val="000000"/>
          <w:sz w:val="24"/>
          <w:szCs w:val="24"/>
        </w:rPr>
        <w:t>技术支持区为参赛选手提供公用设备等。</w:t>
      </w:r>
    </w:p>
    <w:p w14:paraId="209E25D5">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lang w:val="en-US" w:eastAsia="zh-CN"/>
        </w:rPr>
        <w:t>5.</w:t>
      </w:r>
      <w:r>
        <w:rPr>
          <w:rFonts w:hint="eastAsia" w:ascii="仿宋_GB2312" w:eastAsia="仿宋_GB2312" w:cs="仿宋_GB2312"/>
          <w:color w:val="000000"/>
          <w:sz w:val="24"/>
          <w:szCs w:val="24"/>
        </w:rPr>
        <w:t>竞赛现场各个工作区配备单相</w:t>
      </w:r>
      <w:r>
        <w:rPr>
          <w:rFonts w:ascii="仿宋_GB2312" w:eastAsia="仿宋_GB2312" w:cs="仿宋_GB2312"/>
          <w:color w:val="000000"/>
          <w:sz w:val="24"/>
          <w:szCs w:val="24"/>
        </w:rPr>
        <w:t>220V/3A</w:t>
      </w:r>
      <w:r>
        <w:rPr>
          <w:rFonts w:hint="eastAsia" w:ascii="仿宋_GB2312" w:eastAsia="仿宋_GB2312" w:cs="仿宋_GB2312"/>
          <w:color w:val="000000"/>
          <w:sz w:val="24"/>
          <w:szCs w:val="24"/>
        </w:rPr>
        <w:t>以上交流电源。</w:t>
      </w:r>
    </w:p>
    <w:p w14:paraId="2C67B128">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八</w:t>
      </w:r>
      <w:r>
        <w:rPr>
          <w:rFonts w:hint="eastAsia" w:ascii="黑体" w:hAnsi="黑体" w:eastAsia="黑体" w:cs="黑体"/>
          <w:color w:val="000000"/>
          <w:sz w:val="24"/>
          <w:szCs w:val="24"/>
        </w:rPr>
        <w:t>、技术平台</w:t>
      </w:r>
    </w:p>
    <w:p w14:paraId="50F8F511">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（一）硬件环境</w:t>
      </w:r>
    </w:p>
    <w:tbl>
      <w:tblPr>
        <w:tblStyle w:val="5"/>
        <w:tblW w:w="8866" w:type="dxa"/>
        <w:jc w:val="center"/>
        <w:tblLayout w:type="fixed"/>
        <w:tblCellMar>
          <w:top w:w="0" w:type="dxa"/>
          <w:left w:w="108" w:type="dxa"/>
          <w:bottom w:w="0" w:type="dxa"/>
          <w:right w:w="108" w:type="dxa"/>
        </w:tblCellMar>
      </w:tblPr>
      <w:tblGrid>
        <w:gridCol w:w="1534"/>
        <w:gridCol w:w="7332"/>
      </w:tblGrid>
      <w:tr w14:paraId="6760598F">
        <w:trPr>
          <w:trHeight w:val="462"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14:paraId="55BA83FB">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类别</w:t>
            </w:r>
          </w:p>
        </w:tc>
        <w:tc>
          <w:tcPr>
            <w:tcW w:w="7332" w:type="dxa"/>
            <w:tcBorders>
              <w:top w:val="single" w:color="auto" w:sz="4" w:space="0"/>
              <w:left w:val="single" w:color="auto" w:sz="4" w:space="0"/>
              <w:bottom w:val="single" w:color="auto" w:sz="4" w:space="0"/>
              <w:right w:val="single" w:color="auto" w:sz="4" w:space="0"/>
            </w:tcBorders>
            <w:vAlign w:val="center"/>
          </w:tcPr>
          <w:p w14:paraId="2474AC2C">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描述</w:t>
            </w:r>
          </w:p>
        </w:tc>
      </w:tr>
      <w:tr w14:paraId="5190768A">
        <w:tblPrEx>
          <w:tblCellMar>
            <w:top w:w="0" w:type="dxa"/>
            <w:left w:w="108" w:type="dxa"/>
            <w:bottom w:w="0" w:type="dxa"/>
            <w:right w:w="108" w:type="dxa"/>
          </w:tblCellMar>
        </w:tblPrEx>
        <w:trPr>
          <w:trHeight w:val="764" w:hRule="atLeast"/>
          <w:jc w:val="center"/>
        </w:trPr>
        <w:tc>
          <w:tcPr>
            <w:tcW w:w="1534" w:type="dxa"/>
            <w:tcBorders>
              <w:top w:val="nil"/>
              <w:left w:val="single" w:color="auto" w:sz="4" w:space="0"/>
              <w:right w:val="single" w:color="auto" w:sz="4" w:space="0"/>
            </w:tcBorders>
            <w:vAlign w:val="center"/>
          </w:tcPr>
          <w:p w14:paraId="768B5F2E">
            <w:pPr>
              <w:adjustRightInd w:val="0"/>
              <w:snapToGrid w:val="0"/>
              <w:spacing w:line="360" w:lineRule="auto"/>
              <w:ind w:firstLine="240" w:firstLineChars="100"/>
              <w:jc w:val="both"/>
              <w:rPr>
                <w:rFonts w:ascii="仿宋_GB2312" w:eastAsia="仿宋_GB2312"/>
                <w:color w:val="000000"/>
                <w:sz w:val="24"/>
                <w:szCs w:val="24"/>
              </w:rPr>
            </w:pPr>
            <w:r>
              <w:rPr>
                <w:rFonts w:hint="eastAsia" w:ascii="仿宋_GB2312" w:eastAsia="仿宋_GB2312" w:cs="仿宋_GB2312"/>
                <w:color w:val="000000"/>
                <w:sz w:val="24"/>
                <w:szCs w:val="24"/>
              </w:rPr>
              <w:t>服务器</w:t>
            </w:r>
          </w:p>
        </w:tc>
        <w:tc>
          <w:tcPr>
            <w:tcW w:w="7332" w:type="dxa"/>
            <w:tcBorders>
              <w:top w:val="nil"/>
              <w:left w:val="single" w:color="auto" w:sz="4" w:space="0"/>
              <w:right w:val="single" w:color="auto" w:sz="4" w:space="0"/>
            </w:tcBorders>
          </w:tcPr>
          <w:p w14:paraId="724D568F">
            <w:pPr>
              <w:adjustRightInd w:val="0"/>
              <w:snapToGrid w:val="0"/>
              <w:spacing w:line="360" w:lineRule="auto"/>
              <w:jc w:val="left"/>
              <w:rPr>
                <w:rFonts w:ascii="仿宋_GB2312" w:eastAsia="仿宋_GB2312"/>
                <w:color w:val="000000"/>
                <w:sz w:val="24"/>
                <w:szCs w:val="24"/>
              </w:rPr>
            </w:pPr>
            <w:r>
              <w:rPr>
                <w:rFonts w:ascii="仿宋_GB2312" w:eastAsia="仿宋_GB2312" w:cs="仿宋_GB2312"/>
                <w:color w:val="000000"/>
                <w:sz w:val="24"/>
                <w:szCs w:val="24"/>
              </w:rPr>
              <w:t>CPU</w:t>
            </w:r>
            <w:r>
              <w:rPr>
                <w:rFonts w:hint="eastAsia" w:ascii="仿宋_GB2312" w:eastAsia="仿宋_GB2312" w:cs="仿宋_GB2312"/>
                <w:color w:val="000000"/>
                <w:sz w:val="24"/>
                <w:szCs w:val="24"/>
              </w:rPr>
              <w:t>：两颗</w:t>
            </w:r>
            <w:r>
              <w:rPr>
                <w:rFonts w:ascii="仿宋_GB2312" w:eastAsia="仿宋_GB2312" w:cs="仿宋_GB2312"/>
                <w:color w:val="000000"/>
                <w:sz w:val="24"/>
                <w:szCs w:val="24"/>
              </w:rPr>
              <w:t>intel E5-2650v4</w:t>
            </w:r>
            <w:r>
              <w:rPr>
                <w:rFonts w:hint="eastAsia" w:ascii="仿宋_GB2312" w:eastAsia="仿宋_GB2312" w:cs="仿宋_GB2312"/>
                <w:color w:val="000000"/>
                <w:sz w:val="24"/>
                <w:szCs w:val="24"/>
              </w:rPr>
              <w:t>；内存：</w:t>
            </w:r>
            <w:r>
              <w:rPr>
                <w:rFonts w:ascii="仿宋_GB2312" w:eastAsia="仿宋_GB2312" w:cs="仿宋_GB2312"/>
                <w:color w:val="000000"/>
                <w:sz w:val="24"/>
                <w:szCs w:val="24"/>
              </w:rPr>
              <w:t xml:space="preserve">128G DDR4-2133 </w:t>
            </w:r>
            <w:r>
              <w:rPr>
                <w:rFonts w:hint="eastAsia" w:ascii="仿宋_GB2312" w:eastAsia="仿宋_GB2312" w:cs="仿宋_GB2312"/>
                <w:color w:val="000000"/>
                <w:sz w:val="24"/>
                <w:szCs w:val="24"/>
              </w:rPr>
              <w:t>；</w:t>
            </w:r>
          </w:p>
          <w:p w14:paraId="62085794">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color w:val="000000"/>
                <w:sz w:val="24"/>
                <w:szCs w:val="24"/>
              </w:rPr>
              <w:t>硬盘：</w:t>
            </w:r>
            <w:r>
              <w:rPr>
                <w:rFonts w:ascii="仿宋_GB2312" w:eastAsia="仿宋_GB2312" w:cs="仿宋_GB2312"/>
                <w:color w:val="000000"/>
                <w:sz w:val="24"/>
                <w:szCs w:val="24"/>
              </w:rPr>
              <w:t>4</w:t>
            </w:r>
            <w:r>
              <w:rPr>
                <w:rFonts w:hint="eastAsia" w:ascii="仿宋_GB2312" w:eastAsia="仿宋_GB2312" w:cs="仿宋_GB2312"/>
                <w:color w:val="000000"/>
                <w:sz w:val="24"/>
                <w:szCs w:val="24"/>
              </w:rPr>
              <w:t>块</w:t>
            </w:r>
            <w:r>
              <w:rPr>
                <w:rFonts w:ascii="仿宋_GB2312" w:eastAsia="仿宋_GB2312" w:cs="仿宋_GB2312"/>
                <w:color w:val="000000"/>
                <w:sz w:val="24"/>
                <w:szCs w:val="24"/>
              </w:rPr>
              <w:t xml:space="preserve"> 600GB SAS</w:t>
            </w:r>
            <w:r>
              <w:rPr>
                <w:rFonts w:hint="eastAsia" w:ascii="仿宋_GB2312" w:eastAsia="仿宋_GB2312" w:cs="仿宋_GB2312"/>
                <w:color w:val="000000"/>
                <w:sz w:val="24"/>
                <w:szCs w:val="24"/>
              </w:rPr>
              <w:t>硬盘</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p>
          <w:p w14:paraId="7306FB9A">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color w:val="000000"/>
                <w:sz w:val="24"/>
                <w:szCs w:val="24"/>
              </w:rPr>
              <w:t>操作系统：</w:t>
            </w:r>
            <w:r>
              <w:rPr>
                <w:rFonts w:ascii="仿宋_GB2312" w:eastAsia="仿宋_GB2312" w:cs="仿宋_GB2312"/>
                <w:color w:val="000000"/>
                <w:sz w:val="24"/>
                <w:szCs w:val="24"/>
              </w:rPr>
              <w:t>windows server2008 64</w:t>
            </w:r>
            <w:r>
              <w:rPr>
                <w:rFonts w:hint="eastAsia" w:ascii="仿宋_GB2312" w:eastAsia="仿宋_GB2312" w:cs="仿宋_GB2312"/>
                <w:color w:val="000000"/>
                <w:sz w:val="24"/>
                <w:szCs w:val="24"/>
              </w:rPr>
              <w:t>位企业版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；无光驱。</w:t>
            </w:r>
          </w:p>
        </w:tc>
      </w:tr>
      <w:tr w14:paraId="7870EFC3">
        <w:tblPrEx>
          <w:tblCellMar>
            <w:top w:w="0" w:type="dxa"/>
            <w:left w:w="108" w:type="dxa"/>
            <w:bottom w:w="0" w:type="dxa"/>
            <w:right w:w="108" w:type="dxa"/>
          </w:tblCellMar>
        </w:tblPrEx>
        <w:trPr>
          <w:trHeight w:val="744"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14:paraId="23B92DBA">
            <w:pPr>
              <w:adjustRightInd w:val="0"/>
              <w:snapToGrid w:val="0"/>
              <w:spacing w:line="360" w:lineRule="auto"/>
              <w:ind w:firstLine="240" w:firstLineChars="100"/>
              <w:jc w:val="both"/>
              <w:rPr>
                <w:rFonts w:ascii="仿宋_GB2312" w:eastAsia="仿宋_GB2312"/>
                <w:color w:val="000000"/>
                <w:sz w:val="24"/>
                <w:szCs w:val="24"/>
              </w:rPr>
            </w:pPr>
            <w:r>
              <w:rPr>
                <w:rFonts w:hint="eastAsia" w:ascii="仿宋_GB2312" w:eastAsia="仿宋_GB2312" w:cs="仿宋_GB2312"/>
                <w:color w:val="000000"/>
                <w:sz w:val="24"/>
                <w:szCs w:val="24"/>
              </w:rPr>
              <w:t>客户机</w:t>
            </w:r>
          </w:p>
        </w:tc>
        <w:tc>
          <w:tcPr>
            <w:tcW w:w="7332" w:type="dxa"/>
            <w:tcBorders>
              <w:top w:val="single" w:color="auto" w:sz="4" w:space="0"/>
              <w:left w:val="single" w:color="auto" w:sz="4" w:space="0"/>
              <w:bottom w:val="single" w:color="auto" w:sz="4" w:space="0"/>
              <w:right w:val="single" w:color="auto" w:sz="4" w:space="0"/>
            </w:tcBorders>
          </w:tcPr>
          <w:p w14:paraId="317EB796">
            <w:pPr>
              <w:adjustRightInd w:val="0"/>
              <w:snapToGrid w:val="0"/>
              <w:spacing w:line="360" w:lineRule="auto"/>
              <w:jc w:val="left"/>
              <w:rPr>
                <w:rFonts w:ascii="仿宋_GB2312" w:eastAsia="仿宋_GB2312"/>
                <w:color w:val="000000"/>
                <w:sz w:val="24"/>
                <w:szCs w:val="24"/>
              </w:rPr>
            </w:pPr>
            <w:r>
              <w:rPr>
                <w:rFonts w:ascii="仿宋_GB2312" w:eastAsia="仿宋_GB2312" w:cs="仿宋_GB2312"/>
                <w:color w:val="000000"/>
                <w:sz w:val="24"/>
                <w:szCs w:val="24"/>
              </w:rPr>
              <w:t>CPU</w:t>
            </w:r>
            <w:r>
              <w:rPr>
                <w:rFonts w:hint="eastAsia" w:ascii="仿宋_GB2312" w:eastAsia="仿宋_GB2312" w:cs="仿宋_GB2312"/>
                <w:color w:val="000000"/>
                <w:sz w:val="24"/>
                <w:szCs w:val="24"/>
              </w:rPr>
              <w:t>：</w:t>
            </w:r>
            <w:r>
              <w:rPr>
                <w:rFonts w:ascii="仿宋_GB2312" w:eastAsia="仿宋_GB2312" w:cs="仿宋_GB2312"/>
                <w:color w:val="000000"/>
                <w:sz w:val="24"/>
                <w:szCs w:val="24"/>
              </w:rPr>
              <w:t>intel</w:t>
            </w:r>
            <w:r>
              <w:rPr>
                <w:rFonts w:hint="eastAsia" w:ascii="仿宋_GB2312" w:eastAsia="仿宋_GB2312" w:cs="仿宋_GB2312"/>
                <w:color w:val="000000"/>
                <w:sz w:val="24"/>
                <w:szCs w:val="24"/>
              </w:rPr>
              <w:t>奔腾</w:t>
            </w:r>
            <w:r>
              <w:rPr>
                <w:rFonts w:ascii="仿宋_GB2312" w:eastAsia="仿宋_GB2312" w:cs="仿宋_GB2312"/>
                <w:color w:val="000000"/>
                <w:sz w:val="24"/>
                <w:szCs w:val="24"/>
              </w:rPr>
              <w:t>G645</w:t>
            </w:r>
            <w:r>
              <w:rPr>
                <w:rFonts w:hint="eastAsia" w:ascii="仿宋_GB2312" w:eastAsia="仿宋_GB2312" w:cs="仿宋_GB2312"/>
                <w:color w:val="000000"/>
                <w:sz w:val="24"/>
                <w:szCs w:val="24"/>
              </w:rPr>
              <w:t>（</w:t>
            </w:r>
            <w:r>
              <w:rPr>
                <w:rFonts w:ascii="仿宋_GB2312" w:eastAsia="仿宋_GB2312" w:cs="仿宋_GB2312"/>
                <w:color w:val="000000"/>
                <w:sz w:val="24"/>
                <w:szCs w:val="24"/>
              </w:rPr>
              <w:t xml:space="preserve">2.94GHz </w:t>
            </w:r>
            <w:r>
              <w:rPr>
                <w:rFonts w:hint="eastAsia" w:ascii="仿宋_GB2312" w:eastAsia="仿宋_GB2312" w:cs="仿宋_GB2312"/>
                <w:color w:val="000000"/>
                <w:sz w:val="24"/>
                <w:szCs w:val="24"/>
              </w:rPr>
              <w:t>双核）；内存：</w:t>
            </w:r>
            <w:r>
              <w:rPr>
                <w:rFonts w:ascii="仿宋_GB2312" w:eastAsia="仿宋_GB2312" w:cs="仿宋_GB2312"/>
                <w:color w:val="000000"/>
                <w:sz w:val="24"/>
                <w:szCs w:val="24"/>
              </w:rPr>
              <w:t>4GB DDR3</w:t>
            </w:r>
            <w:r>
              <w:rPr>
                <w:rFonts w:hint="eastAsia" w:ascii="仿宋_GB2312" w:eastAsia="仿宋_GB2312" w:cs="仿宋_GB2312"/>
                <w:color w:val="000000"/>
                <w:sz w:val="24"/>
                <w:szCs w:val="24"/>
              </w:rPr>
              <w:t>；硬盘</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r>
              <w:rPr>
                <w:rFonts w:ascii="仿宋_GB2312" w:eastAsia="仿宋_GB2312" w:cs="仿宋_GB2312"/>
                <w:color w:val="000000"/>
                <w:sz w:val="24"/>
                <w:szCs w:val="24"/>
              </w:rPr>
              <w:t>1TB  STAT</w:t>
            </w:r>
            <w:r>
              <w:rPr>
                <w:rFonts w:hint="eastAsia" w:ascii="仿宋_GB2312" w:eastAsia="仿宋_GB2312" w:cs="仿宋_GB2312"/>
                <w:color w:val="000000"/>
                <w:sz w:val="24"/>
                <w:szCs w:val="24"/>
              </w:rPr>
              <w:t>硬盘，操作系统：</w:t>
            </w:r>
            <w:r>
              <w:rPr>
                <w:rFonts w:ascii="仿宋_GB2312" w:eastAsia="仿宋_GB2312" w:cs="仿宋_GB2312"/>
                <w:color w:val="000000"/>
                <w:sz w:val="24"/>
                <w:szCs w:val="24"/>
              </w:rPr>
              <w:t xml:space="preserve"> win10 64</w:t>
            </w:r>
            <w:r>
              <w:rPr>
                <w:rFonts w:hint="eastAsia" w:ascii="仿宋_GB2312" w:eastAsia="仿宋_GB2312" w:cs="仿宋_GB2312"/>
                <w:color w:val="000000"/>
                <w:sz w:val="24"/>
                <w:szCs w:val="24"/>
              </w:rPr>
              <w:t>位操作系统。</w:t>
            </w:r>
            <w:r>
              <w:rPr>
                <w:rFonts w:ascii="仿宋_GB2312" w:eastAsia="仿宋_GB2312" w:cs="仿宋_GB2312"/>
                <w:color w:val="000000"/>
                <w:sz w:val="24"/>
                <w:szCs w:val="24"/>
              </w:rPr>
              <w:t>2</w:t>
            </w:r>
            <w:r>
              <w:rPr>
                <w:rFonts w:hint="eastAsia" w:ascii="仿宋_GB2312" w:eastAsia="仿宋_GB2312" w:cs="仿宋_GB2312"/>
                <w:color w:val="000000"/>
                <w:sz w:val="24"/>
                <w:szCs w:val="24"/>
              </w:rPr>
              <w:t>3</w:t>
            </w:r>
            <w:r>
              <w:rPr>
                <w:rFonts w:ascii="仿宋_GB2312" w:eastAsia="仿宋_GB2312" w:cs="仿宋_GB2312"/>
                <w:color w:val="000000"/>
                <w:sz w:val="24"/>
                <w:szCs w:val="24"/>
              </w:rPr>
              <w:t>.</w:t>
            </w:r>
            <w:r>
              <w:rPr>
                <w:rFonts w:hint="eastAsia" w:ascii="仿宋_GB2312" w:eastAsia="仿宋_GB2312" w:cs="仿宋_GB2312"/>
                <w:color w:val="000000"/>
                <w:sz w:val="24"/>
                <w:szCs w:val="24"/>
              </w:rPr>
              <w:t>8英寸</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宽屏显示器，有光驱。</w:t>
            </w:r>
          </w:p>
        </w:tc>
      </w:tr>
    </w:tbl>
    <w:p w14:paraId="41981073">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（二）软件环境</w:t>
      </w:r>
    </w:p>
    <w:tbl>
      <w:tblPr>
        <w:tblStyle w:val="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51"/>
      </w:tblGrid>
      <w:tr w14:paraId="0EC1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vAlign w:val="center"/>
          </w:tcPr>
          <w:p w14:paraId="34635A8F">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类别</w:t>
            </w:r>
          </w:p>
        </w:tc>
        <w:tc>
          <w:tcPr>
            <w:tcW w:w="7351" w:type="dxa"/>
            <w:vAlign w:val="center"/>
          </w:tcPr>
          <w:p w14:paraId="72C02DAB">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描述</w:t>
            </w:r>
          </w:p>
        </w:tc>
      </w:tr>
      <w:tr w14:paraId="5316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555" w:type="dxa"/>
            <w:vAlign w:val="center"/>
          </w:tcPr>
          <w:p w14:paraId="2013C5BD">
            <w:pPr>
              <w:adjustRightInd w:val="0"/>
              <w:snapToGrid w:val="0"/>
              <w:spacing w:line="360" w:lineRule="auto"/>
              <w:ind w:firstLine="240" w:firstLineChars="100"/>
              <w:rPr>
                <w:rFonts w:ascii="仿宋_GB2312" w:eastAsia="仿宋_GB2312"/>
                <w:color w:val="000000"/>
                <w:sz w:val="24"/>
                <w:szCs w:val="24"/>
              </w:rPr>
            </w:pPr>
            <w:r>
              <w:rPr>
                <w:rFonts w:hint="eastAsia" w:ascii="仿宋_GB2312" w:eastAsia="仿宋_GB2312" w:cs="仿宋_GB2312"/>
                <w:color w:val="000000"/>
                <w:sz w:val="24"/>
                <w:szCs w:val="24"/>
              </w:rPr>
              <w:t>服务器</w:t>
            </w:r>
          </w:p>
        </w:tc>
        <w:tc>
          <w:tcPr>
            <w:tcW w:w="7351" w:type="dxa"/>
          </w:tcPr>
          <w:p w14:paraId="5C2B3A64">
            <w:pPr>
              <w:adjustRightInd w:val="0"/>
              <w:snapToGrid w:val="0"/>
              <w:spacing w:line="360" w:lineRule="auto"/>
              <w:rPr>
                <w:rFonts w:ascii="仿宋_GB2312" w:eastAsia="仿宋_GB2312"/>
                <w:color w:val="000000"/>
                <w:sz w:val="24"/>
                <w:szCs w:val="24"/>
              </w:rPr>
            </w:pPr>
            <w:r>
              <w:rPr>
                <w:rFonts w:ascii="仿宋_GB2312" w:eastAsia="仿宋_GB2312" w:cs="仿宋_GB2312"/>
                <w:color w:val="000000"/>
                <w:sz w:val="24"/>
                <w:szCs w:val="24"/>
              </w:rPr>
              <w:t>Windows  Server2008 64</w:t>
            </w:r>
            <w:r>
              <w:rPr>
                <w:rFonts w:hint="eastAsia" w:ascii="仿宋_GB2312" w:eastAsia="仿宋_GB2312" w:cs="仿宋_GB2312"/>
                <w:color w:val="000000"/>
                <w:sz w:val="24"/>
                <w:szCs w:val="24"/>
              </w:rPr>
              <w:t>位企业版；</w:t>
            </w:r>
            <w:r>
              <w:rPr>
                <w:rFonts w:ascii="仿宋_GB2312" w:eastAsia="仿宋_GB2312" w:cs="仿宋_GB2312"/>
                <w:color w:val="000000"/>
                <w:sz w:val="24"/>
                <w:szCs w:val="24"/>
              </w:rPr>
              <w:t>SQL Server 2008</w:t>
            </w:r>
            <w:r>
              <w:rPr>
                <w:rFonts w:hint="eastAsia" w:ascii="仿宋_GB2312" w:eastAsia="仿宋_GB2312" w:cs="仿宋_GB2312"/>
                <w:color w:val="000000"/>
                <w:sz w:val="24"/>
                <w:szCs w:val="24"/>
              </w:rPr>
              <w:t>数据库；</w:t>
            </w:r>
            <w:r>
              <w:rPr>
                <w:rFonts w:ascii="仿宋_GB2312" w:eastAsia="仿宋_GB2312" w:cs="仿宋_GB2312"/>
                <w:color w:val="000000"/>
                <w:sz w:val="24"/>
                <w:szCs w:val="24"/>
              </w:rPr>
              <w:t>MS Office 2016</w:t>
            </w:r>
            <w:r>
              <w:rPr>
                <w:rFonts w:hint="eastAsia" w:ascii="仿宋_GB2312" w:eastAsia="仿宋_GB2312" w:cs="仿宋_GB2312"/>
                <w:color w:val="000000"/>
                <w:sz w:val="24"/>
                <w:szCs w:val="24"/>
              </w:rPr>
              <w:t>中文版，含</w:t>
            </w:r>
            <w:r>
              <w:rPr>
                <w:rFonts w:ascii="仿宋_GB2312" w:eastAsia="仿宋_GB2312" w:cs="仿宋_GB2312"/>
                <w:color w:val="000000"/>
                <w:sz w:val="24"/>
                <w:szCs w:val="24"/>
              </w:rPr>
              <w:t>WORD</w:t>
            </w:r>
            <w:r>
              <w:rPr>
                <w:rFonts w:hint="eastAsia" w:ascii="仿宋_GB2312" w:eastAsia="仿宋_GB2312" w:cs="仿宋_GB2312"/>
                <w:color w:val="000000"/>
                <w:sz w:val="24"/>
                <w:szCs w:val="24"/>
              </w:rPr>
              <w:t>、</w:t>
            </w:r>
            <w:r>
              <w:rPr>
                <w:rFonts w:ascii="仿宋_GB2312" w:eastAsia="仿宋_GB2312" w:cs="仿宋_GB2312"/>
                <w:color w:val="000000"/>
                <w:sz w:val="24"/>
                <w:szCs w:val="24"/>
              </w:rPr>
              <w:t>EXCEL</w:t>
            </w:r>
            <w:r>
              <w:rPr>
                <w:rFonts w:hint="eastAsia" w:ascii="仿宋_GB2312" w:eastAsia="仿宋_GB2312" w:cs="仿宋_GB2312"/>
                <w:color w:val="000000"/>
                <w:sz w:val="24"/>
                <w:szCs w:val="24"/>
              </w:rPr>
              <w:t>和</w:t>
            </w:r>
            <w:r>
              <w:rPr>
                <w:rFonts w:ascii="仿宋_GB2312" w:eastAsia="仿宋_GB2312" w:cs="仿宋_GB2312"/>
                <w:color w:val="000000"/>
                <w:sz w:val="24"/>
                <w:szCs w:val="24"/>
              </w:rPr>
              <w:t>ACCESS)</w:t>
            </w:r>
            <w:r>
              <w:rPr>
                <w:rFonts w:hint="eastAsia" w:ascii="仿宋_GB2312" w:eastAsia="仿宋_GB2312" w:cs="仿宋_GB2312"/>
                <w:color w:val="000000"/>
                <w:sz w:val="24"/>
                <w:szCs w:val="24"/>
              </w:rPr>
              <w:t>；五笔、智能</w:t>
            </w:r>
            <w:r>
              <w:rPr>
                <w:rFonts w:ascii="仿宋_GB2312" w:eastAsia="仿宋_GB2312" w:cs="仿宋_GB2312"/>
                <w:color w:val="000000"/>
                <w:sz w:val="24"/>
                <w:szCs w:val="24"/>
              </w:rPr>
              <w:t>ABC</w:t>
            </w:r>
            <w:r>
              <w:rPr>
                <w:rFonts w:hint="eastAsia" w:ascii="仿宋_GB2312" w:eastAsia="仿宋_GB2312" w:cs="仿宋_GB2312"/>
                <w:color w:val="000000"/>
                <w:sz w:val="24"/>
                <w:szCs w:val="24"/>
              </w:rPr>
              <w:t>、微软、搜狗拼音等输入法。</w:t>
            </w:r>
          </w:p>
        </w:tc>
      </w:tr>
      <w:tr w14:paraId="73E9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55" w:type="dxa"/>
            <w:vAlign w:val="center"/>
          </w:tcPr>
          <w:p w14:paraId="3056E2BE">
            <w:pPr>
              <w:adjustRightInd w:val="0"/>
              <w:snapToGrid w:val="0"/>
              <w:spacing w:line="360" w:lineRule="auto"/>
              <w:ind w:firstLine="240" w:firstLineChars="100"/>
              <w:rPr>
                <w:rFonts w:ascii="仿宋_GB2312" w:eastAsia="仿宋_GB2312"/>
                <w:color w:val="000000"/>
                <w:sz w:val="24"/>
                <w:szCs w:val="24"/>
              </w:rPr>
            </w:pPr>
            <w:r>
              <w:rPr>
                <w:rFonts w:hint="eastAsia" w:ascii="仿宋_GB2312" w:eastAsia="仿宋_GB2312" w:cs="仿宋_GB2312"/>
                <w:color w:val="000000"/>
                <w:sz w:val="24"/>
                <w:szCs w:val="24"/>
              </w:rPr>
              <w:t>客户端</w:t>
            </w:r>
          </w:p>
        </w:tc>
        <w:tc>
          <w:tcPr>
            <w:tcW w:w="7351" w:type="dxa"/>
          </w:tcPr>
          <w:p w14:paraId="70D809F4">
            <w:pPr>
              <w:adjustRightInd w:val="0"/>
              <w:snapToGrid w:val="0"/>
              <w:spacing w:line="360" w:lineRule="auto"/>
              <w:rPr>
                <w:rFonts w:ascii="仿宋_GB2312" w:eastAsia="仿宋_GB2312"/>
                <w:color w:val="000000"/>
                <w:sz w:val="24"/>
                <w:szCs w:val="24"/>
              </w:rPr>
            </w:pPr>
            <w:r>
              <w:rPr>
                <w:rFonts w:ascii="仿宋_GB2312" w:eastAsia="仿宋_GB2312" w:cs="仿宋_GB2312"/>
                <w:sz w:val="24"/>
                <w:szCs w:val="24"/>
              </w:rPr>
              <w:t>Windows</w:t>
            </w:r>
            <w:r>
              <w:rPr>
                <w:rFonts w:hint="eastAsia" w:ascii="仿宋_GB2312" w:eastAsia="仿宋_GB2312" w:cs="仿宋_GB2312"/>
                <w:sz w:val="24"/>
                <w:szCs w:val="24"/>
              </w:rPr>
              <w:t>10</w:t>
            </w:r>
            <w:r>
              <w:rPr>
                <w:rFonts w:ascii="仿宋_GB2312" w:eastAsia="仿宋_GB2312" w:cs="仿宋_GB2312"/>
                <w:sz w:val="24"/>
                <w:szCs w:val="24"/>
              </w:rPr>
              <w:t xml:space="preserve"> </w:t>
            </w:r>
            <w:r>
              <w:rPr>
                <w:rFonts w:hint="eastAsia" w:ascii="仿宋_GB2312" w:eastAsia="仿宋_GB2312" w:cs="仿宋_GB2312"/>
                <w:sz w:val="24"/>
                <w:szCs w:val="24"/>
              </w:rPr>
              <w:t>64位操作系统；</w:t>
            </w:r>
            <w:r>
              <w:rPr>
                <w:rFonts w:ascii="仿宋_GB2312" w:eastAsia="仿宋_GB2312" w:cs="仿宋_GB2312"/>
                <w:sz w:val="24"/>
                <w:szCs w:val="24"/>
              </w:rPr>
              <w:t>SQL Server 2008</w:t>
            </w:r>
            <w:r>
              <w:rPr>
                <w:rFonts w:hint="eastAsia" w:ascii="仿宋_GB2312" w:eastAsia="仿宋_GB2312" w:cs="仿宋_GB2312"/>
                <w:sz w:val="24"/>
                <w:szCs w:val="24"/>
              </w:rPr>
              <w:t>数据库；</w:t>
            </w:r>
            <w:r>
              <w:rPr>
                <w:rFonts w:ascii="仿宋_GB2312" w:eastAsia="仿宋_GB2312" w:cs="仿宋_GB2312"/>
                <w:sz w:val="24"/>
                <w:szCs w:val="24"/>
              </w:rPr>
              <w:t>MS Office 2016</w:t>
            </w:r>
            <w:r>
              <w:rPr>
                <w:rFonts w:hint="eastAsia" w:ascii="仿宋_GB2312" w:eastAsia="仿宋_GB2312" w:cs="仿宋_GB2312"/>
                <w:sz w:val="24"/>
                <w:szCs w:val="24"/>
              </w:rPr>
              <w:t>（中文版，含</w:t>
            </w:r>
            <w:r>
              <w:rPr>
                <w:rFonts w:ascii="仿宋_GB2312" w:eastAsia="仿宋_GB2312" w:cs="仿宋_GB2312"/>
                <w:sz w:val="24"/>
                <w:szCs w:val="24"/>
              </w:rPr>
              <w:t>WORD</w:t>
            </w:r>
            <w:r>
              <w:rPr>
                <w:rFonts w:hint="eastAsia" w:ascii="仿宋_GB2312" w:eastAsia="仿宋_GB2312" w:cs="仿宋_GB2312"/>
                <w:sz w:val="24"/>
                <w:szCs w:val="24"/>
              </w:rPr>
              <w:t>、</w:t>
            </w:r>
            <w:r>
              <w:rPr>
                <w:rFonts w:ascii="仿宋_GB2312" w:eastAsia="仿宋_GB2312" w:cs="仿宋_GB2312"/>
                <w:sz w:val="24"/>
                <w:szCs w:val="24"/>
              </w:rPr>
              <w:t>EXCEL</w:t>
            </w:r>
            <w:r>
              <w:rPr>
                <w:rFonts w:hint="eastAsia" w:ascii="仿宋_GB2312" w:eastAsia="仿宋_GB2312" w:cs="仿宋_GB2312"/>
                <w:sz w:val="24"/>
                <w:szCs w:val="24"/>
              </w:rPr>
              <w:t>和</w:t>
            </w:r>
            <w:r>
              <w:rPr>
                <w:rFonts w:ascii="仿宋_GB2312" w:eastAsia="仿宋_GB2312" w:cs="仿宋_GB2312"/>
                <w:sz w:val="24"/>
                <w:szCs w:val="24"/>
              </w:rPr>
              <w:t>ACCESS</w:t>
            </w:r>
            <w:r>
              <w:rPr>
                <w:rFonts w:hint="eastAsia" w:ascii="仿宋_GB2312" w:eastAsia="仿宋_GB2312" w:cs="仿宋_GB2312"/>
                <w:sz w:val="24"/>
                <w:szCs w:val="24"/>
              </w:rPr>
              <w:t>）；五笔、智能</w:t>
            </w:r>
            <w:r>
              <w:rPr>
                <w:rFonts w:ascii="仿宋_GB2312" w:eastAsia="仿宋_GB2312" w:cs="仿宋_GB2312"/>
                <w:sz w:val="24"/>
                <w:szCs w:val="24"/>
              </w:rPr>
              <w:t>ABC</w:t>
            </w:r>
            <w:r>
              <w:rPr>
                <w:rFonts w:hint="eastAsia" w:ascii="仿宋_GB2312" w:eastAsia="仿宋_GB2312" w:cs="仿宋_GB2312"/>
                <w:sz w:val="24"/>
                <w:szCs w:val="24"/>
              </w:rPr>
              <w:t>、微软拼音、搜狗拼音等输入法。</w:t>
            </w:r>
          </w:p>
        </w:tc>
      </w:tr>
    </w:tbl>
    <w:p w14:paraId="58C59627">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（三）竞赛平台</w:t>
      </w:r>
    </w:p>
    <w:tbl>
      <w:tblPr>
        <w:tblStyle w:val="5"/>
        <w:tblW w:w="8847" w:type="dxa"/>
        <w:jc w:val="center"/>
        <w:tblLayout w:type="fixed"/>
        <w:tblCellMar>
          <w:top w:w="0" w:type="dxa"/>
          <w:left w:w="108" w:type="dxa"/>
          <w:bottom w:w="0" w:type="dxa"/>
          <w:right w:w="108" w:type="dxa"/>
        </w:tblCellMar>
      </w:tblPr>
      <w:tblGrid>
        <w:gridCol w:w="1538"/>
        <w:gridCol w:w="7309"/>
      </w:tblGrid>
      <w:tr w14:paraId="7232752D">
        <w:trPr>
          <w:trHeight w:val="404" w:hRule="atLeast"/>
          <w:jc w:val="center"/>
        </w:trPr>
        <w:tc>
          <w:tcPr>
            <w:tcW w:w="1538" w:type="dxa"/>
            <w:tcBorders>
              <w:top w:val="single" w:color="auto" w:sz="4" w:space="0"/>
              <w:left w:val="single" w:color="auto" w:sz="4" w:space="0"/>
              <w:bottom w:val="single" w:color="auto" w:sz="4" w:space="0"/>
              <w:right w:val="single" w:color="auto" w:sz="4" w:space="0"/>
            </w:tcBorders>
          </w:tcPr>
          <w:p w14:paraId="765F2251">
            <w:pPr>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s="仿宋_GB2312"/>
                <w:color w:val="000000"/>
                <w:sz w:val="24"/>
                <w:szCs w:val="24"/>
              </w:rPr>
              <w:t>类别</w:t>
            </w:r>
          </w:p>
        </w:tc>
        <w:tc>
          <w:tcPr>
            <w:tcW w:w="7309" w:type="dxa"/>
            <w:tcBorders>
              <w:top w:val="single" w:color="auto" w:sz="4" w:space="0"/>
              <w:left w:val="single" w:color="auto" w:sz="4" w:space="0"/>
              <w:bottom w:val="single" w:color="auto" w:sz="4" w:space="0"/>
              <w:right w:val="single" w:color="auto" w:sz="4" w:space="0"/>
            </w:tcBorders>
            <w:vAlign w:val="center"/>
          </w:tcPr>
          <w:p w14:paraId="3660522F">
            <w:pPr>
              <w:spacing w:line="360" w:lineRule="auto"/>
              <w:ind w:firstLine="480" w:firstLineChars="20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描述</w:t>
            </w:r>
          </w:p>
        </w:tc>
      </w:tr>
      <w:tr w14:paraId="13E74284">
        <w:tblPrEx>
          <w:tblCellMar>
            <w:top w:w="0" w:type="dxa"/>
            <w:left w:w="108" w:type="dxa"/>
            <w:bottom w:w="0" w:type="dxa"/>
            <w:right w:w="108" w:type="dxa"/>
          </w:tblCellMar>
        </w:tblPrEx>
        <w:trPr>
          <w:trHeight w:val="27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3BCA9354">
            <w:pPr>
              <w:spacing w:line="360" w:lineRule="auto"/>
              <w:rPr>
                <w:rFonts w:ascii="仿宋_GB2312" w:hAnsi="仿宋" w:eastAsia="仿宋_GB2312"/>
                <w:color w:val="000000"/>
                <w:sz w:val="24"/>
                <w:szCs w:val="24"/>
              </w:rPr>
            </w:pPr>
            <w:bookmarkStart w:id="0" w:name="_Hlk461045051"/>
            <w:r>
              <w:rPr>
                <w:rFonts w:hint="eastAsia" w:ascii="仿宋_GB2312" w:hAnsi="仿宋" w:eastAsia="仿宋_GB2312" w:cs="仿宋_GB2312"/>
                <w:color w:val="000000"/>
                <w:sz w:val="24"/>
                <w:szCs w:val="24"/>
              </w:rPr>
              <w:t>现代企业云数字服务</w:t>
            </w:r>
          </w:p>
        </w:tc>
        <w:tc>
          <w:tcPr>
            <w:tcW w:w="7309" w:type="dxa"/>
            <w:tcBorders>
              <w:top w:val="single" w:color="auto" w:sz="4" w:space="0"/>
              <w:left w:val="single" w:color="auto" w:sz="4" w:space="0"/>
              <w:bottom w:val="single" w:color="auto" w:sz="4" w:space="0"/>
              <w:right w:val="single" w:color="auto" w:sz="4" w:space="0"/>
            </w:tcBorders>
            <w:vAlign w:val="center"/>
          </w:tcPr>
          <w:p w14:paraId="599EC6CA">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sz w:val="24"/>
                <w:szCs w:val="24"/>
              </w:rPr>
              <w:t>比赛系统采用 新道教育财税云平台软件进行初始化和业务处理操作</w:t>
            </w:r>
            <w:r>
              <w:rPr>
                <w:rFonts w:hint="eastAsia" w:ascii="仿宋_GB2312" w:eastAsia="仿宋_GB2312" w:cs="仿宋_GB2312"/>
                <w:color w:val="000000"/>
                <w:sz w:val="24"/>
                <w:szCs w:val="24"/>
              </w:rPr>
              <w:t>，参赛选手的操作结果均保存在服务器上。评分系统功能包括操作结果的自动评判、成绩采集等。</w:t>
            </w:r>
          </w:p>
        </w:tc>
      </w:tr>
      <w:bookmarkEnd w:id="0"/>
    </w:tbl>
    <w:p w14:paraId="52C9C3D1">
      <w:pPr>
        <w:adjustRightInd w:val="0"/>
        <w:snapToGrid w:val="0"/>
        <w:spacing w:before="156" w:beforeLines="50"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九</w:t>
      </w:r>
      <w:r>
        <w:rPr>
          <w:rFonts w:hint="eastAsia" w:ascii="黑体" w:hAnsi="黑体" w:eastAsia="黑体" w:cs="黑体"/>
          <w:color w:val="000000"/>
          <w:sz w:val="24"/>
          <w:szCs w:val="24"/>
        </w:rPr>
        <w:t>、成绩评定</w:t>
      </w:r>
    </w:p>
    <w:p w14:paraId="4075F26C">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（一）评分标准</w:t>
      </w:r>
    </w:p>
    <w:p w14:paraId="7A09A1CE">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竞赛评分本着公平、公正、公开的原则，以技能考核为主，兼顾职业道德素养综合评定。</w:t>
      </w:r>
    </w:p>
    <w:tbl>
      <w:tblPr>
        <w:tblStyle w:val="5"/>
        <w:tblW w:w="5339" w:type="pc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9"/>
        <w:gridCol w:w="2588"/>
        <w:gridCol w:w="2924"/>
        <w:gridCol w:w="1002"/>
        <w:gridCol w:w="1107"/>
      </w:tblGrid>
      <w:tr w14:paraId="1BB3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709" w:type="pct"/>
            <w:vAlign w:val="center"/>
          </w:tcPr>
          <w:p w14:paraId="3DAC3FCA">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竞赛内容</w:t>
            </w:r>
          </w:p>
        </w:tc>
        <w:tc>
          <w:tcPr>
            <w:tcW w:w="1457" w:type="pct"/>
            <w:vAlign w:val="center"/>
          </w:tcPr>
          <w:p w14:paraId="1FA37C4F">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技术要求</w:t>
            </w:r>
          </w:p>
        </w:tc>
        <w:tc>
          <w:tcPr>
            <w:tcW w:w="1646" w:type="pct"/>
            <w:vAlign w:val="center"/>
          </w:tcPr>
          <w:p w14:paraId="126500E6">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评分规则</w:t>
            </w:r>
          </w:p>
        </w:tc>
        <w:tc>
          <w:tcPr>
            <w:tcW w:w="564" w:type="pct"/>
            <w:vAlign w:val="center"/>
          </w:tcPr>
          <w:p w14:paraId="3466B056">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参考分值</w:t>
            </w:r>
          </w:p>
        </w:tc>
        <w:tc>
          <w:tcPr>
            <w:tcW w:w="622" w:type="pct"/>
            <w:vAlign w:val="center"/>
          </w:tcPr>
          <w:p w14:paraId="2747AE95">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评分方式</w:t>
            </w:r>
          </w:p>
        </w:tc>
      </w:tr>
      <w:tr w14:paraId="21EB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09" w:type="pct"/>
            <w:vAlign w:val="center"/>
          </w:tcPr>
          <w:p w14:paraId="37842171">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初始设置</w:t>
            </w:r>
          </w:p>
        </w:tc>
        <w:tc>
          <w:tcPr>
            <w:tcW w:w="1457" w:type="pct"/>
            <w:vAlign w:val="center"/>
          </w:tcPr>
          <w:p w14:paraId="5D25A8C8">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按照题目要求进行初始置</w:t>
            </w:r>
          </w:p>
        </w:tc>
        <w:tc>
          <w:tcPr>
            <w:tcW w:w="1646" w:type="pct"/>
            <w:vAlign w:val="center"/>
          </w:tcPr>
          <w:p w14:paraId="7CA1DB98">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根据初始设置的内容进行评分</w:t>
            </w:r>
          </w:p>
        </w:tc>
        <w:tc>
          <w:tcPr>
            <w:tcW w:w="564" w:type="pct"/>
            <w:vAlign w:val="center"/>
          </w:tcPr>
          <w:p w14:paraId="52C3729C">
            <w:pPr>
              <w:spacing w:line="360" w:lineRule="auto"/>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622" w:type="pct"/>
            <w:vAlign w:val="center"/>
          </w:tcPr>
          <w:p w14:paraId="3EABB06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027B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709" w:type="pct"/>
            <w:vAlign w:val="center"/>
          </w:tcPr>
          <w:p w14:paraId="371CD7D8">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会计凭证填制（或生成）</w:t>
            </w:r>
          </w:p>
        </w:tc>
        <w:tc>
          <w:tcPr>
            <w:tcW w:w="1457" w:type="pct"/>
            <w:vAlign w:val="center"/>
          </w:tcPr>
          <w:p w14:paraId="751587E3">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按照题目要求填制、审核或填制原始凭证、编制或生成记账凭证</w:t>
            </w:r>
          </w:p>
        </w:tc>
        <w:tc>
          <w:tcPr>
            <w:tcW w:w="1646" w:type="pct"/>
            <w:vAlign w:val="center"/>
          </w:tcPr>
          <w:p w14:paraId="3D428C1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根据原始凭证填制和审核，记账凭证填制或生成的内容（种类、日期、附件张数、借贷方科目、借贷方金额、辅助核算信息等）进行评分</w:t>
            </w:r>
          </w:p>
        </w:tc>
        <w:tc>
          <w:tcPr>
            <w:tcW w:w="564" w:type="pct"/>
            <w:vAlign w:val="center"/>
          </w:tcPr>
          <w:p w14:paraId="59B64FC3">
            <w:pPr>
              <w:spacing w:line="360" w:lineRule="auto"/>
              <w:ind w:firstLine="480" w:firstLineChars="200"/>
              <w:rPr>
                <w:rFonts w:ascii="仿宋_GB2312" w:eastAsia="仿宋_GB2312" w:cs="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5</w:t>
            </w:r>
          </w:p>
        </w:tc>
        <w:tc>
          <w:tcPr>
            <w:tcW w:w="622" w:type="pct"/>
            <w:vAlign w:val="center"/>
          </w:tcPr>
          <w:p w14:paraId="0EB51887">
            <w:pPr>
              <w:widowControl/>
              <w:snapToGrid w:val="0"/>
              <w:spacing w:line="360" w:lineRule="auto"/>
              <w:ind w:firstLine="240" w:firstLineChars="10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4B2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09" w:type="pct"/>
            <w:vAlign w:val="center"/>
          </w:tcPr>
          <w:p w14:paraId="57D50B83">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凭证审核</w:t>
            </w:r>
          </w:p>
        </w:tc>
        <w:tc>
          <w:tcPr>
            <w:tcW w:w="1457" w:type="pct"/>
            <w:vAlign w:val="center"/>
          </w:tcPr>
          <w:p w14:paraId="3CA50286">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按照业务处理要求进行记账凭证审核</w:t>
            </w:r>
          </w:p>
        </w:tc>
        <w:tc>
          <w:tcPr>
            <w:tcW w:w="1646" w:type="pct"/>
            <w:vAlign w:val="center"/>
          </w:tcPr>
          <w:p w14:paraId="40214DD4">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根据凭证审核过程进行评分</w:t>
            </w:r>
          </w:p>
        </w:tc>
        <w:tc>
          <w:tcPr>
            <w:tcW w:w="564" w:type="pct"/>
            <w:vMerge w:val="restart"/>
            <w:vAlign w:val="center"/>
          </w:tcPr>
          <w:p w14:paraId="160CC93F">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5</w:t>
            </w:r>
          </w:p>
        </w:tc>
        <w:tc>
          <w:tcPr>
            <w:tcW w:w="622" w:type="pct"/>
            <w:vMerge w:val="restart"/>
            <w:vAlign w:val="center"/>
          </w:tcPr>
          <w:p w14:paraId="04B16375">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28E2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709" w:type="pct"/>
            <w:vAlign w:val="center"/>
          </w:tcPr>
          <w:p w14:paraId="002C782D">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记账</w:t>
            </w:r>
          </w:p>
        </w:tc>
        <w:tc>
          <w:tcPr>
            <w:tcW w:w="1457" w:type="pct"/>
            <w:vAlign w:val="center"/>
          </w:tcPr>
          <w:p w14:paraId="1931CA9E">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按照业务处理要求进行账</w:t>
            </w:r>
          </w:p>
        </w:tc>
        <w:tc>
          <w:tcPr>
            <w:tcW w:w="1646" w:type="pct"/>
            <w:vAlign w:val="center"/>
          </w:tcPr>
          <w:p w14:paraId="39FBF295">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根据记账的过程进行评分</w:t>
            </w:r>
          </w:p>
        </w:tc>
        <w:tc>
          <w:tcPr>
            <w:tcW w:w="564" w:type="pct"/>
            <w:vMerge w:val="continue"/>
            <w:vAlign w:val="center"/>
          </w:tcPr>
          <w:p w14:paraId="57CF9F25">
            <w:pPr>
              <w:spacing w:line="360" w:lineRule="auto"/>
              <w:ind w:firstLine="480" w:firstLineChars="200"/>
              <w:jc w:val="center"/>
              <w:rPr>
                <w:rFonts w:ascii="仿宋_GB2312" w:eastAsia="仿宋_GB2312"/>
                <w:color w:val="000000"/>
                <w:sz w:val="24"/>
                <w:szCs w:val="24"/>
              </w:rPr>
            </w:pPr>
          </w:p>
        </w:tc>
        <w:tc>
          <w:tcPr>
            <w:tcW w:w="622" w:type="pct"/>
            <w:vMerge w:val="continue"/>
            <w:vAlign w:val="center"/>
          </w:tcPr>
          <w:p w14:paraId="5ECA8E34">
            <w:pPr>
              <w:widowControl/>
              <w:snapToGrid w:val="0"/>
              <w:spacing w:line="360" w:lineRule="auto"/>
              <w:ind w:firstLine="480" w:firstLineChars="200"/>
              <w:jc w:val="center"/>
              <w:rPr>
                <w:rFonts w:ascii="仿宋_GB2312" w:hAnsi="仿宋" w:eastAsia="仿宋_GB2312"/>
                <w:color w:val="000000"/>
                <w:kern w:val="0"/>
                <w:sz w:val="24"/>
                <w:szCs w:val="24"/>
              </w:rPr>
            </w:pPr>
          </w:p>
        </w:tc>
      </w:tr>
      <w:tr w14:paraId="4872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09" w:type="pct"/>
            <w:vAlign w:val="center"/>
          </w:tcPr>
          <w:p w14:paraId="39820C94">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对账和结账</w:t>
            </w:r>
          </w:p>
        </w:tc>
        <w:tc>
          <w:tcPr>
            <w:tcW w:w="1457" w:type="pct"/>
            <w:vAlign w:val="center"/>
          </w:tcPr>
          <w:p w14:paraId="1E44485A">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按照业务处理要求进行对账和结账</w:t>
            </w:r>
          </w:p>
        </w:tc>
        <w:tc>
          <w:tcPr>
            <w:tcW w:w="1646" w:type="pct"/>
            <w:vAlign w:val="center"/>
          </w:tcPr>
          <w:p w14:paraId="382D4B4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根据对账和结账的过程进行评分</w:t>
            </w:r>
          </w:p>
        </w:tc>
        <w:tc>
          <w:tcPr>
            <w:tcW w:w="564" w:type="pct"/>
            <w:vMerge w:val="continue"/>
            <w:vAlign w:val="center"/>
          </w:tcPr>
          <w:p w14:paraId="529775CA">
            <w:pPr>
              <w:spacing w:line="360" w:lineRule="auto"/>
              <w:ind w:firstLine="480" w:firstLineChars="200"/>
              <w:jc w:val="center"/>
              <w:rPr>
                <w:rFonts w:ascii="仿宋_GB2312" w:eastAsia="仿宋_GB2312"/>
                <w:color w:val="000000"/>
                <w:sz w:val="24"/>
                <w:szCs w:val="24"/>
              </w:rPr>
            </w:pPr>
          </w:p>
        </w:tc>
        <w:tc>
          <w:tcPr>
            <w:tcW w:w="622" w:type="pct"/>
            <w:vMerge w:val="continue"/>
            <w:vAlign w:val="center"/>
          </w:tcPr>
          <w:p w14:paraId="3C7C8C8A">
            <w:pPr>
              <w:widowControl/>
              <w:snapToGrid w:val="0"/>
              <w:spacing w:line="360" w:lineRule="auto"/>
              <w:ind w:firstLine="480" w:firstLineChars="200"/>
              <w:jc w:val="center"/>
              <w:rPr>
                <w:rFonts w:ascii="仿宋_GB2312" w:hAnsi="仿宋" w:eastAsia="仿宋_GB2312"/>
                <w:color w:val="000000"/>
                <w:kern w:val="0"/>
                <w:sz w:val="24"/>
                <w:szCs w:val="24"/>
              </w:rPr>
            </w:pPr>
          </w:p>
        </w:tc>
      </w:tr>
      <w:tr w14:paraId="1B1C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709" w:type="pct"/>
            <w:vAlign w:val="center"/>
          </w:tcPr>
          <w:p w14:paraId="5117A3C6">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编制报表</w:t>
            </w:r>
          </w:p>
        </w:tc>
        <w:tc>
          <w:tcPr>
            <w:tcW w:w="1457" w:type="pct"/>
            <w:vAlign w:val="center"/>
          </w:tcPr>
          <w:p w14:paraId="0CA8A906">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编制资产负债表、利润表</w:t>
            </w:r>
          </w:p>
        </w:tc>
        <w:tc>
          <w:tcPr>
            <w:tcW w:w="1646" w:type="pct"/>
            <w:vAlign w:val="center"/>
          </w:tcPr>
          <w:p w14:paraId="5655CE52">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根据报表项目的设置和生成的数据评分</w:t>
            </w:r>
          </w:p>
        </w:tc>
        <w:tc>
          <w:tcPr>
            <w:tcW w:w="564" w:type="pct"/>
            <w:vAlign w:val="center"/>
          </w:tcPr>
          <w:p w14:paraId="6B41A332">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7</w:t>
            </w:r>
          </w:p>
        </w:tc>
        <w:tc>
          <w:tcPr>
            <w:tcW w:w="622" w:type="pct"/>
            <w:vAlign w:val="center"/>
          </w:tcPr>
          <w:p w14:paraId="68E83B4D">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23A3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09" w:type="pct"/>
            <w:vAlign w:val="center"/>
          </w:tcPr>
          <w:p w14:paraId="4677EC8C">
            <w:pPr>
              <w:widowControl/>
              <w:snapToGrid w:val="0"/>
              <w:spacing w:line="360" w:lineRule="auto"/>
              <w:jc w:val="center"/>
              <w:rPr>
                <w:rFonts w:hint="default" w:ascii="仿宋_GB2312" w:hAnsi="仿宋" w:eastAsia="仿宋_GB2312"/>
                <w:color w:val="000000"/>
                <w:kern w:val="0"/>
                <w:sz w:val="24"/>
                <w:szCs w:val="24"/>
                <w:lang w:val="en-US" w:eastAsia="zh-CN"/>
              </w:rPr>
            </w:pPr>
            <w:r>
              <w:rPr>
                <w:rFonts w:hint="eastAsia" w:ascii="仿宋_GB2312" w:hAnsi="仿宋" w:eastAsia="仿宋_GB2312" w:cs="仿宋_GB2312"/>
                <w:color w:val="000000"/>
                <w:kern w:val="0"/>
                <w:sz w:val="24"/>
                <w:szCs w:val="24"/>
              </w:rPr>
              <w:t>纳税申报</w:t>
            </w:r>
            <w:r>
              <w:rPr>
                <w:rFonts w:hint="eastAsia" w:ascii="仿宋_GB2312" w:hAnsi="仿宋" w:eastAsia="仿宋_GB2312" w:cs="仿宋_GB2312"/>
                <w:color w:val="000000"/>
                <w:kern w:val="0"/>
                <w:sz w:val="24"/>
                <w:szCs w:val="24"/>
                <w:lang w:val="en-US" w:eastAsia="zh-CN"/>
              </w:rPr>
              <w:t>与电子发票</w:t>
            </w:r>
          </w:p>
        </w:tc>
        <w:tc>
          <w:tcPr>
            <w:tcW w:w="1457" w:type="pct"/>
            <w:vAlign w:val="center"/>
          </w:tcPr>
          <w:p w14:paraId="47C8FFC7">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lang w:val="en-US" w:eastAsia="zh-CN"/>
              </w:rPr>
              <w:t>防伪税控开票、</w:t>
            </w:r>
            <w:r>
              <w:rPr>
                <w:rFonts w:hint="eastAsia" w:ascii="仿宋_GB2312" w:hAnsi="仿宋" w:eastAsia="仿宋_GB2312" w:cs="仿宋_GB2312"/>
                <w:color w:val="000000"/>
                <w:kern w:val="0"/>
                <w:sz w:val="24"/>
                <w:szCs w:val="24"/>
              </w:rPr>
              <w:t>增值税纳税申报、城建税和教育费附加纳税申报、企业所得税纳税申报.</w:t>
            </w:r>
          </w:p>
        </w:tc>
        <w:tc>
          <w:tcPr>
            <w:tcW w:w="1646" w:type="pct"/>
            <w:vAlign w:val="center"/>
          </w:tcPr>
          <w:p w14:paraId="01A7BBED">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根据财税模块设置和生成的数据评分</w:t>
            </w:r>
          </w:p>
        </w:tc>
        <w:tc>
          <w:tcPr>
            <w:tcW w:w="564" w:type="pct"/>
            <w:vAlign w:val="center"/>
          </w:tcPr>
          <w:p w14:paraId="0CAAB110">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8</w:t>
            </w:r>
          </w:p>
        </w:tc>
        <w:tc>
          <w:tcPr>
            <w:tcW w:w="622" w:type="pct"/>
            <w:vAlign w:val="center"/>
          </w:tcPr>
          <w:p w14:paraId="4F7F3C8C">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6FDA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812" w:type="pct"/>
            <w:gridSpan w:val="3"/>
            <w:vAlign w:val="center"/>
          </w:tcPr>
          <w:p w14:paraId="38600CFB">
            <w:pPr>
              <w:widowControl/>
              <w:snapToGrid w:val="0"/>
              <w:spacing w:line="360" w:lineRule="auto"/>
              <w:ind w:firstLine="480" w:firstLineChars="200"/>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合</w:t>
            </w:r>
            <w:r>
              <w:rPr>
                <w:rFonts w:ascii="仿宋_GB2312" w:hAnsi="仿宋" w:eastAsia="仿宋_GB2312"/>
                <w:color w:val="000000"/>
                <w:kern w:val="0"/>
                <w:sz w:val="24"/>
                <w:szCs w:val="24"/>
              </w:rPr>
              <w:t>         </w:t>
            </w:r>
            <w:r>
              <w:rPr>
                <w:rFonts w:hint="eastAsia" w:ascii="仿宋_GB2312" w:hAnsi="仿宋" w:eastAsia="仿宋_GB2312" w:cs="仿宋_GB2312"/>
                <w:color w:val="000000"/>
                <w:kern w:val="0"/>
                <w:sz w:val="24"/>
                <w:szCs w:val="24"/>
              </w:rPr>
              <w:t>计</w:t>
            </w:r>
          </w:p>
        </w:tc>
        <w:tc>
          <w:tcPr>
            <w:tcW w:w="1187" w:type="pct"/>
            <w:gridSpan w:val="2"/>
            <w:vAlign w:val="center"/>
          </w:tcPr>
          <w:p w14:paraId="50853789">
            <w:pPr>
              <w:widowControl/>
              <w:snapToGrid w:val="0"/>
              <w:spacing w:line="360" w:lineRule="auto"/>
              <w:ind w:firstLine="480" w:firstLineChars="200"/>
              <w:jc w:val="center"/>
              <w:rPr>
                <w:rFonts w:ascii="仿宋_GB2312" w:hAnsi="仿宋" w:eastAsia="仿宋_GB2312"/>
                <w:color w:val="000000"/>
                <w:kern w:val="0"/>
                <w:sz w:val="24"/>
                <w:szCs w:val="24"/>
              </w:rPr>
            </w:pPr>
            <w:r>
              <w:rPr>
                <w:rFonts w:ascii="仿宋_GB2312" w:eastAsia="仿宋_GB2312" w:cs="仿宋_GB2312"/>
                <w:color w:val="000000"/>
                <w:sz w:val="24"/>
                <w:szCs w:val="24"/>
              </w:rPr>
              <w:t>100</w:t>
            </w:r>
          </w:p>
        </w:tc>
      </w:tr>
    </w:tbl>
    <w:p w14:paraId="42E8AE5E">
      <w:pPr>
        <w:adjustRightInd w:val="0"/>
        <w:snapToGrid w:val="0"/>
        <w:spacing w:line="360" w:lineRule="auto"/>
        <w:ind w:firstLine="482" w:firstLineChars="200"/>
        <w:rPr>
          <w:rFonts w:ascii="仿宋_GB2312" w:eastAsia="仿宋_GB2312"/>
          <w:b/>
          <w:bCs/>
          <w:color w:val="000000"/>
          <w:sz w:val="24"/>
          <w:szCs w:val="24"/>
        </w:rPr>
      </w:pPr>
    </w:p>
    <w:p w14:paraId="6352E0D7">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二</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评分组织与分工</w:t>
      </w:r>
    </w:p>
    <w:p w14:paraId="710FDEF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参与大赛赛项成绩管理的组织机构包括裁判组、监督组和仲裁组，受赛项执委会领导。</w:t>
      </w:r>
    </w:p>
    <w:p w14:paraId="68E0513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裁判组实行“裁判长负责制”，设裁判长</w:t>
      </w:r>
      <w:r>
        <w:rPr>
          <w:rFonts w:ascii="仿宋_GB2312" w:eastAsia="仿宋_GB2312" w:cs="仿宋_GB2312"/>
          <w:color w:val="000000"/>
          <w:sz w:val="24"/>
          <w:szCs w:val="24"/>
        </w:rPr>
        <w:t>1</w:t>
      </w:r>
      <w:r>
        <w:rPr>
          <w:rFonts w:hint="eastAsia" w:ascii="仿宋_GB2312" w:eastAsia="仿宋_GB2312" w:cs="仿宋_GB2312"/>
          <w:color w:val="000000"/>
          <w:sz w:val="24"/>
          <w:szCs w:val="24"/>
        </w:rPr>
        <w:t>名，全面负责赛项的裁判管理工作并处理比赛中出现的争议问题，裁判</w:t>
      </w:r>
      <w:r>
        <w:rPr>
          <w:rFonts w:hint="eastAsia" w:ascii="仿宋_GB2312" w:eastAsia="仿宋_GB2312" w:cs="仿宋_GB2312"/>
          <w:color w:val="000000"/>
          <w:sz w:val="24"/>
          <w:szCs w:val="24"/>
          <w:lang w:val="en-US" w:eastAsia="zh-CN"/>
        </w:rPr>
        <w:t>员</w:t>
      </w:r>
      <w:r>
        <w:rPr>
          <w:rFonts w:hint="eastAsia" w:ascii="仿宋_GB2312" w:eastAsia="仿宋_GB2312" w:cs="仿宋_GB2312"/>
          <w:color w:val="000000"/>
          <w:sz w:val="24"/>
          <w:szCs w:val="24"/>
        </w:rPr>
        <w:t>若干名，负责协助裁判长工作。</w:t>
      </w:r>
    </w:p>
    <w:p w14:paraId="72BECE44">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裁判员根据比赛需要分为检录裁判、加密裁判、现场裁判和评分裁判。检录裁判负责对参赛队伍（选手）进行点名登记、身份核对等工作；加密裁判负责组织参赛队伍（选手）抽签，对参赛队信息、抽签代码等进行加密；现场裁判按规定做好赛场记录，维护赛场纪律，评定参赛队的现场得分；评分裁判负责对参赛队伍（选手）的比赛作品、比赛表现按赛项评分标准进行评定。</w:t>
      </w:r>
    </w:p>
    <w:p w14:paraId="3F32E8C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监督组对裁判组的工作进行全程监督，并对竞赛成绩抽检复核。</w:t>
      </w:r>
    </w:p>
    <w:p w14:paraId="2C1A54F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仲裁组负责接受由参赛队领队提出的对裁判结果的申诉，组织复议并及时反馈复议结果。</w:t>
      </w:r>
    </w:p>
    <w:p w14:paraId="028F618D">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三</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成绩公布方法</w:t>
      </w:r>
    </w:p>
    <w:p w14:paraId="29A845B7">
      <w:pPr>
        <w:numPr>
          <w:ilvl w:val="0"/>
          <w:numId w:val="0"/>
        </w:num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rPr>
        <w:t>赛项成绩在赛项结束后由</w:t>
      </w:r>
      <w:r>
        <w:rPr>
          <w:rFonts w:hint="eastAsia" w:ascii="Calibri" w:hAnsi="Calibri" w:eastAsia="仿宋_GB2312" w:cs="仿宋_GB2312"/>
          <w:color w:val="000000"/>
          <w:sz w:val="24"/>
          <w:szCs w:val="24"/>
        </w:rPr>
        <w:t>赛项执委会现场由高到低公布</w:t>
      </w:r>
      <w:r>
        <w:rPr>
          <w:rFonts w:hint="eastAsia" w:ascii="仿宋_GB2312" w:eastAsia="仿宋_GB2312" w:cs="仿宋_GB2312"/>
          <w:color w:val="000000"/>
          <w:sz w:val="24"/>
          <w:szCs w:val="24"/>
        </w:rPr>
        <w:t>。任何组织和个人，不得擅自对大赛成绩进行涂改、伪造或用于欺诈等违法犯罪活动、如需使用大赛成绩，应报赛区执委会审批。</w:t>
      </w:r>
    </w:p>
    <w:p w14:paraId="75E2F638">
      <w:pPr>
        <w:adjustRightInd w:val="0"/>
        <w:snapToGrid w:val="0"/>
        <w:spacing w:line="360" w:lineRule="auto"/>
        <w:ind w:firstLine="480" w:firstLineChars="200"/>
        <w:rPr>
          <w:rFonts w:hint="default" w:ascii="黑体" w:hAnsi="黑体" w:eastAsia="黑体"/>
          <w:color w:val="000000"/>
          <w:sz w:val="24"/>
          <w:szCs w:val="24"/>
          <w:lang w:val="en-US" w:eastAsia="zh-CN"/>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奖项设置</w:t>
      </w:r>
    </w:p>
    <w:p w14:paraId="54B9EFCA">
      <w:pPr>
        <w:numPr>
          <w:ilvl w:val="0"/>
          <w:numId w:val="0"/>
        </w:numPr>
        <w:adjustRightInd w:val="0"/>
        <w:snapToGrid w:val="0"/>
        <w:spacing w:line="360" w:lineRule="auto"/>
        <w:ind w:firstLine="480" w:firstLineChars="200"/>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rPr>
        <w:t>团体奖。以参赛队总数为基数，分设一、二、三等奖，获奖比例分别为 10%、20%、30%（小数点后四舍五入）</w:t>
      </w:r>
      <w:r>
        <w:rPr>
          <w:rFonts w:hint="eastAsia" w:ascii="仿宋_GB2312" w:eastAsia="仿宋_GB2312" w:cs="仿宋_GB2312"/>
          <w:color w:val="000000"/>
          <w:sz w:val="24"/>
          <w:szCs w:val="24"/>
          <w:lang w:eastAsia="zh-CN"/>
        </w:rPr>
        <w:t>。</w:t>
      </w:r>
    </w:p>
    <w:p w14:paraId="41438362">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一</w:t>
      </w:r>
      <w:r>
        <w:rPr>
          <w:rFonts w:hint="eastAsia" w:ascii="黑体" w:hAnsi="黑体" w:eastAsia="黑体" w:cs="黑体"/>
          <w:color w:val="000000"/>
          <w:sz w:val="24"/>
          <w:szCs w:val="24"/>
        </w:rPr>
        <w:t>、赛场预案</w:t>
      </w:r>
    </w:p>
    <w:p w14:paraId="0F674FE2">
      <w:pPr>
        <w:spacing w:line="360" w:lineRule="auto"/>
        <w:ind w:firstLine="482" w:firstLineChars="200"/>
        <w:rPr>
          <w:rFonts w:ascii="仿宋_GB2312" w:eastAsia="仿宋_GB2312"/>
          <w:color w:val="000000"/>
          <w:sz w:val="24"/>
          <w:szCs w:val="24"/>
        </w:rPr>
      </w:pPr>
      <w:r>
        <w:rPr>
          <w:rFonts w:hint="eastAsia" w:ascii="仿宋_GB2312" w:eastAsia="仿宋_GB2312" w:cs="仿宋_GB2312"/>
          <w:b/>
          <w:bCs/>
          <w:color w:val="000000"/>
          <w:sz w:val="24"/>
          <w:szCs w:val="24"/>
        </w:rPr>
        <w:t>（一）非正常停电</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竞赛现场如出现突然非正常停电的，按下述步骤进行处理：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裁判员提示参赛选手，工作人员提示观摩人员要保持镇静，防止踩踏事件发生；</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裁判员提示参赛选手在电源保护装置的有效时间内备份计算机操作数据，并等候处理决定；</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必要时，保卫人员开启安全通道，有序疏散现场人员离场；</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裁判长视情况决定启动备用电源或延迟竞赛；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5.</w:t>
      </w:r>
      <w:r>
        <w:rPr>
          <w:rFonts w:hint="eastAsia" w:ascii="仿宋_GB2312" w:eastAsia="仿宋_GB2312" w:cs="仿宋_GB2312"/>
          <w:color w:val="000000"/>
          <w:sz w:val="24"/>
          <w:szCs w:val="24"/>
        </w:rPr>
        <w:t>现场电力恢复后，由裁判组集体商定根据竞赛内容特点的不同可采用继续比赛、顺延比赛时间、重赛等处理办法。</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（二）竞赛设备故障</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竞赛过程中，如遇竞赛设备故障，按下列程序报告并处理：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参赛选手举手示意，说明故障现象，裁判员、技术员等应及时予以解决；</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确因设备无法继续操作，经由裁判员提出申请，报裁判长批准后，予以启用备用设备；</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竞赛软件都设置了关键节点的自动备份功能，裁判长根据实际情况授权工作人员恢复备份数据；</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数据恢复正常后，由裁判组集体商定根据竞赛内容特点的不同可采用继续比赛、顺延比赛时间、重赛等处理办法。</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（三）参赛队员发生意外受伤或急病等情况</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参赛队员发生意外受伤或急病等情况，应按下列步骤进行处理：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参赛选手举手示意；</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现场医务人员迅速到达现场，救治或急送最近医院进行救治；</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参赛队其他队员可在不违反有关规定的情况下，协同完成竞赛事项。</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（四）参赛现场出现暴力，人员拥堵，急性传染病人员进入等情况</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参赛现场出现暴力，人员拥堵，急性传染病人员进入等情况，应按下述步骤进行处理：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根据赛前制定的现场保卫人员的职责范围，以及突发情况应对的赛前演练安排，赛项保卫人员迅速就位，对赛场内除参赛队以外的其他人员进行有序疏散；</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人员疏散后进行现场清理，如消毒，找出突发事件隐患并进行处理等；</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进行处理后，在保证参赛队员人身安全的前提下，继续有序组织竞赛。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（五）暴雨洪灾，火灾等事故</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如遇暴雨洪灾，火灾等事故，应按下述步骤进行处理：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赛项执委会负责与公安，医疗，气象，交通等部门取得联系，并根据情况确定是否继续竞赛；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立即组织相关人员到现场，疏散人群，进行应急处理，如使用灭火装置灭掉明火等，必要时封存竞赛现场，停止竞赛；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lang w:val="en-US" w:eastAsia="zh-CN"/>
        </w:rPr>
        <w:t>现场</w:t>
      </w:r>
      <w:r>
        <w:rPr>
          <w:rFonts w:hint="eastAsia" w:ascii="仿宋_GB2312" w:eastAsia="仿宋_GB2312" w:cs="仿宋_GB2312"/>
          <w:color w:val="000000"/>
          <w:sz w:val="24"/>
          <w:szCs w:val="24"/>
        </w:rPr>
        <w:t>裁判做好参赛选手，工作人员做好观摩人员的思想工作，确保事态不人为扩张。</w:t>
      </w:r>
    </w:p>
    <w:p w14:paraId="2D0878FA">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二</w:t>
      </w:r>
      <w:r>
        <w:rPr>
          <w:rFonts w:hint="eastAsia" w:ascii="黑体" w:hAnsi="黑体" w:eastAsia="黑体" w:cs="黑体"/>
          <w:color w:val="000000"/>
          <w:sz w:val="24"/>
          <w:szCs w:val="24"/>
        </w:rPr>
        <w:t>、申诉与仲裁</w:t>
      </w:r>
    </w:p>
    <w:p w14:paraId="6FB0EC55">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37B38667">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提出申诉的时间应在竞赛结束后（选手赛场竞赛内容全部完成）</w:t>
      </w: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小时内。超过时效不予受理。赛项仲裁工作组在接到申诉报告后的</w:t>
      </w: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小时内组织复议，并及时将复议结果以书面形式告知申诉方。申诉方对复议结果仍有异议，可由市领队向仲裁委员会提出申诉。仲裁委员会的仲裁结果为最终结果。申诉方可随时提出放弃申诉。</w:t>
      </w:r>
    </w:p>
    <w:p w14:paraId="3A911BE0">
      <w:pPr>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三</w:t>
      </w:r>
      <w:r>
        <w:rPr>
          <w:rFonts w:hint="eastAsia" w:ascii="黑体" w:hAnsi="黑体" w:eastAsia="黑体" w:cs="黑体"/>
          <w:color w:val="000000"/>
          <w:sz w:val="24"/>
          <w:szCs w:val="24"/>
        </w:rPr>
        <w:t>、竞赛须知</w:t>
      </w:r>
    </w:p>
    <w:p w14:paraId="65B7C916">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一</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参赛队须知</w:t>
      </w:r>
    </w:p>
    <w:p w14:paraId="2401FD1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参赛队名称：统一使用规定的校代表队名称，不接受跨校组队报名。</w:t>
      </w:r>
    </w:p>
    <w:p w14:paraId="1520C37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2</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7E09A53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3</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参赛队不得携带任何设备、工具、（包括通讯工具和存储设备等）技术资料。竞赛过程中所需的设备、工具、技术资料全部由组委会统一提供。</w:t>
      </w:r>
    </w:p>
    <w:p w14:paraId="2D9850AF">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4</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参赛选手在竞赛开始前一天，由执委会统一安排抽取竞赛工位号，并由参赛选手对抽签结果签字确认。</w:t>
      </w:r>
    </w:p>
    <w:p w14:paraId="5C56E8D9">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5</w:t>
      </w:r>
      <w:r>
        <w:rPr>
          <w:rFonts w:ascii="仿宋_GB2312" w:eastAsia="仿宋_GB2312" w:cs="仿宋_GB2312"/>
          <w:color w:val="000000"/>
          <w:sz w:val="24"/>
          <w:szCs w:val="24"/>
        </w:rPr>
        <w:t>.</w:t>
      </w:r>
      <w:r>
        <w:rPr>
          <w:rFonts w:hint="eastAsia" w:ascii="仿宋_GB2312" w:eastAsia="仿宋_GB2312" w:cs="仿宋_GB2312"/>
          <w:color w:val="000000"/>
          <w:sz w:val="24"/>
          <w:szCs w:val="24"/>
        </w:rPr>
        <w:t>各参赛队应在竞赛开始前一天规定的时间段进入赛场熟悉环境，入场后，赛场工作人员与参赛选手共同确认操作条件及设备状况。</w:t>
      </w:r>
    </w:p>
    <w:p w14:paraId="0C08E1B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6</w:t>
      </w:r>
      <w:r>
        <w:rPr>
          <w:rFonts w:ascii="仿宋_GB2312" w:eastAsia="仿宋_GB2312" w:cs="仿宋_GB2312"/>
          <w:color w:val="000000"/>
          <w:sz w:val="24"/>
          <w:szCs w:val="24"/>
        </w:rPr>
        <w:t>.</w:t>
      </w:r>
      <w:r>
        <w:rPr>
          <w:rFonts w:hint="eastAsia" w:ascii="仿宋_GB2312" w:eastAsia="仿宋_GB2312" w:cs="仿宋_GB2312"/>
          <w:color w:val="000000"/>
          <w:sz w:val="24"/>
          <w:szCs w:val="24"/>
        </w:rPr>
        <w:t>为防止参赛路途及竞赛过程意外的发生，建议参赛队领队、指导老师及参赛选手等购买意外伤害保险。</w:t>
      </w:r>
    </w:p>
    <w:p w14:paraId="05E3362D">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二</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指导教师须知</w:t>
      </w:r>
    </w:p>
    <w:p w14:paraId="58F589C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各个参赛队的指导教师及领队不得进入比赛现场指导。</w:t>
      </w:r>
    </w:p>
    <w:p w14:paraId="1B627E29">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指导教师不得在赛场外喧哗，影响赛场纪律。</w:t>
      </w:r>
    </w:p>
    <w:p w14:paraId="766CE3F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对比赛过程及结果有疑议者，应及时通过领队向仲裁长提出书面申请。</w:t>
      </w:r>
    </w:p>
    <w:p w14:paraId="6DDE9CDB">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三</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参赛选手须知</w:t>
      </w:r>
    </w:p>
    <w:p w14:paraId="5F99BA7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参赛选手应严格遵守赛场规章、操作规程，保证人身及设备安全，接受裁判员的监督和警示，文明竞赛。</w:t>
      </w:r>
    </w:p>
    <w:p w14:paraId="2BC9275E">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参赛选手凭身份证件参加竞赛及相关活动。</w:t>
      </w:r>
    </w:p>
    <w:p w14:paraId="226F98D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参赛选手按规定时间进入竞赛场地，对现场条件进行确认并签字，按统一指令开始竞赛，在收到开赛信号前不得启动操作。各参赛队自行决定分工、工作程序和时间安排，在指定工位上完成竞赛项目。</w:t>
      </w:r>
    </w:p>
    <w:p w14:paraId="7F97939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选手比赛时间内连续工作，食品、饮水等由赛场统一提供。选手休息、饮食及如厕时间均计算在比赛时间内。</w:t>
      </w:r>
    </w:p>
    <w:p w14:paraId="618850AA">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竞赛期间，选手不得提前离开赛场。如特殊原因（如身体不适等）无法继续参赛的，需举手请示裁判，经裁判同意后方可离开赛场。选手离开赛场后不得在场外逗留，也不得再返回赛场。</w:t>
      </w:r>
    </w:p>
    <w:p w14:paraId="7355774A">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竞赛结束时间到后，选手不得再进行任何与竞赛有关的操作。参赛队若提前结束比赛，应向裁判员举手示意，裁判员记录比赛完成时间。</w:t>
      </w:r>
    </w:p>
    <w:p w14:paraId="58015F1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参赛选手须按照竞赛要求及规定提交竞赛结果及相关文件，禁止在竞赛成果上做任何与竞赛无关的标记，如单位名称、参赛者姓名等，否则视为作弊。</w:t>
      </w:r>
    </w:p>
    <w:p w14:paraId="2DD487C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14:paraId="5A1AB5DE">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9.</w:t>
      </w:r>
      <w:r>
        <w:rPr>
          <w:rFonts w:hint="eastAsia" w:ascii="仿宋_GB2312" w:eastAsia="仿宋_GB2312" w:cs="仿宋_GB2312"/>
          <w:color w:val="000000"/>
          <w:sz w:val="24"/>
          <w:szCs w:val="24"/>
        </w:rPr>
        <w:t>参赛选手须严格遵守赛场规章制度、服从裁判，文明竞赛。有作弊行为的，参赛队该项成绩为</w:t>
      </w:r>
      <w:r>
        <w:rPr>
          <w:rFonts w:ascii="仿宋_GB2312" w:eastAsia="仿宋_GB2312" w:cs="仿宋_GB2312"/>
          <w:color w:val="000000"/>
          <w:sz w:val="24"/>
          <w:szCs w:val="24"/>
        </w:rPr>
        <w:t>0</w:t>
      </w:r>
      <w:r>
        <w:rPr>
          <w:rFonts w:hint="eastAsia" w:ascii="仿宋_GB2312" w:eastAsia="仿宋_GB2312" w:cs="仿宋_GB2312"/>
          <w:color w:val="000000"/>
          <w:sz w:val="24"/>
          <w:szCs w:val="24"/>
        </w:rPr>
        <w:t>分；如有不服从裁判、扰乱赛场秩序等不文明行为，按照相关规定扣减分数，情节严重的取消比赛资格和成绩。</w:t>
      </w:r>
    </w:p>
    <w:p w14:paraId="4853BC56">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四</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工作人员须知</w:t>
      </w:r>
    </w:p>
    <w:p w14:paraId="01F38CC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赛场工作人员由大赛组委会统一聘用并进行工作分工。</w:t>
      </w:r>
    </w:p>
    <w:p w14:paraId="4DCACAE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服从大赛组委会的领导，遵守职业道德、坚持原则、按章办事，以高度负责的精神、严肃认真的态度和严谨细致的作风做好工作，为赛场提供有序的服务。</w:t>
      </w:r>
    </w:p>
    <w:p w14:paraId="3CF9E03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必须佩带工作人员证件，仪表整洁，语言举止文明礼貌。</w:t>
      </w:r>
    </w:p>
    <w:p w14:paraId="546BECD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熟悉《竞赛规程》，认真执行竞赛规则，严格按照工作程序和有关规定办事。</w:t>
      </w:r>
    </w:p>
    <w:p w14:paraId="0FDE6A35">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坚守岗位，不迟到，不早退，不擅离职守。</w:t>
      </w:r>
    </w:p>
    <w:p w14:paraId="0504170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赛场工作人员要积极维护好赛场秩序，以利于参赛选手正常发挥水平。</w:t>
      </w:r>
    </w:p>
    <w:p w14:paraId="59A7448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赛场工作人员在比赛中不回答选手提出的任何有关比赛技术问题，如遇争议问题，需上报执委会。</w:t>
      </w:r>
    </w:p>
    <w:p w14:paraId="6B8AC1DF">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违反规定，给竞赛带来恶劣影响或造成严重损失的，将给予必要的处理。</w:t>
      </w:r>
    </w:p>
    <w:p w14:paraId="685006EC">
      <w:pPr>
        <w:spacing w:line="360"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十四、本竞赛项目的最终解释权归大赛组委会。</w:t>
      </w:r>
    </w:p>
    <w:p w14:paraId="762C7866">
      <w:pPr>
        <w:numPr>
          <w:ilvl w:val="0"/>
          <w:numId w:val="0"/>
        </w:numPr>
        <w:adjustRightInd w:val="0"/>
        <w:snapToGrid w:val="0"/>
        <w:spacing w:line="360" w:lineRule="auto"/>
        <w:ind w:firstLine="480" w:firstLineChars="200"/>
        <w:rPr>
          <w:rFonts w:hint="default" w:ascii="仿宋_GB2312" w:eastAsia="仿宋_GB2312" w:cs="仿宋_GB2312"/>
          <w:color w:val="000000"/>
          <w:sz w:val="24"/>
          <w:szCs w:val="24"/>
          <w:lang w:val="en-US" w:eastAsia="zh-CN"/>
        </w:rPr>
      </w:pPr>
    </w:p>
    <w:p w14:paraId="42AE2192">
      <w:pPr>
        <w:keepNext w:val="0"/>
        <w:keepLines w:val="0"/>
        <w:widowControl/>
        <w:suppressLineNumbers w:val="0"/>
        <w:ind w:firstLine="480" w:firstLineChars="200"/>
        <w:jc w:val="left"/>
        <w:rPr>
          <w:rFonts w:hint="eastAsia" w:ascii="仿宋_GB2312" w:eastAsia="仿宋_GB2312" w:cs="仿宋_GB2312"/>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90B2A"/>
    <w:multiLevelType w:val="singleLevel"/>
    <w:tmpl w:val="48D90B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YzM4Mzc1NDk1YzhjNjM5MTliZTQ3ZDgyNDQzYzkifQ=="/>
  </w:docVars>
  <w:rsids>
    <w:rsidRoot w:val="5A1C1861"/>
    <w:rsid w:val="1A590606"/>
    <w:rsid w:val="24241B94"/>
    <w:rsid w:val="3E534B49"/>
    <w:rsid w:val="4F990B38"/>
    <w:rsid w:val="5A1C1861"/>
    <w:rsid w:val="64A42063"/>
    <w:rsid w:val="71F7173B"/>
    <w:rsid w:val="7508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3058</Words>
  <Characters>3422</Characters>
  <Lines>0</Lines>
  <Paragraphs>0</Paragraphs>
  <TotalTime>8</TotalTime>
  <ScaleCrop>false</ScaleCrop>
  <LinksUpToDate>false</LinksUpToDate>
  <CharactersWithSpaces>3514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2024-04-09T07:53:00Z</dcterms:created>
  <dc:creator>✿❁✲ﾟ✺</dc:creator>
  <cp:lastModifiedBy>周伟</cp:lastModifiedBy>
  <dcterms:modified xsi:type="dcterms:W3CDTF">2024-11-14T08:06:47Z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4948578AAAE1461B89D2D27DD93C824D_13</vt:lpwstr>
  </property>
</Properties>
</file>