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469AF">
      <w:pPr>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202</w:t>
      </w:r>
      <w:r>
        <w:rPr>
          <w:rFonts w:hint="eastAsia" w:ascii="仿宋_GB2312" w:hAnsi="仿宋_GB2312" w:eastAsia="仿宋_GB2312" w:cs="仿宋_GB2312"/>
          <w:b/>
          <w:bCs/>
          <w:sz w:val="36"/>
          <w:szCs w:val="36"/>
          <w:lang w:val="en-US" w:eastAsia="zh-CN"/>
        </w:rPr>
        <w:t>5</w:t>
      </w:r>
      <w:bookmarkStart w:id="0" w:name="_GoBack"/>
      <w:bookmarkEnd w:id="0"/>
      <w:r>
        <w:rPr>
          <w:rFonts w:hint="eastAsia" w:ascii="仿宋_GB2312" w:hAnsi="仿宋_GB2312" w:eastAsia="仿宋_GB2312" w:cs="仿宋_GB2312"/>
          <w:b/>
          <w:bCs/>
          <w:sz w:val="36"/>
          <w:szCs w:val="36"/>
        </w:rPr>
        <w:t>年河北省职业院校学生技能大赛“城市轨道交通运营与维护”赛项</w:t>
      </w:r>
    </w:p>
    <w:p w14:paraId="59E9C1BB">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（模块1城市轨道交通运营服务 样题）</w:t>
      </w:r>
    </w:p>
    <w:tbl>
      <w:tblPr>
        <w:tblStyle w:val="8"/>
        <w:tblW w:w="13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071"/>
        <w:gridCol w:w="2000"/>
        <w:gridCol w:w="3300"/>
        <w:gridCol w:w="2649"/>
        <w:gridCol w:w="3194"/>
      </w:tblGrid>
      <w:tr w14:paraId="64387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7FCA2D4B">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模块名称</w:t>
            </w:r>
          </w:p>
        </w:tc>
        <w:tc>
          <w:tcPr>
            <w:tcW w:w="3071" w:type="dxa"/>
            <w:gridSpan w:val="2"/>
            <w:vAlign w:val="center"/>
          </w:tcPr>
          <w:p w14:paraId="5ABE9B36">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城市轨道交通运营服务</w:t>
            </w:r>
          </w:p>
        </w:tc>
        <w:tc>
          <w:tcPr>
            <w:tcW w:w="3300" w:type="dxa"/>
            <w:vAlign w:val="center"/>
          </w:tcPr>
          <w:p w14:paraId="419C7AC5">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子任务数量</w:t>
            </w:r>
          </w:p>
        </w:tc>
        <w:tc>
          <w:tcPr>
            <w:tcW w:w="5843" w:type="dxa"/>
            <w:gridSpan w:val="2"/>
            <w:vAlign w:val="center"/>
          </w:tcPr>
          <w:p w14:paraId="4A9E7D93">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12</w:t>
            </w:r>
          </w:p>
        </w:tc>
      </w:tr>
      <w:tr w14:paraId="31DF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77E69DE8">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竞赛时间</w:t>
            </w:r>
          </w:p>
        </w:tc>
        <w:tc>
          <w:tcPr>
            <w:tcW w:w="12214" w:type="dxa"/>
            <w:gridSpan w:val="5"/>
            <w:vAlign w:val="center"/>
          </w:tcPr>
          <w:p w14:paraId="1048B2A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60分钟</w:t>
            </w:r>
          </w:p>
        </w:tc>
      </w:tr>
      <w:tr w14:paraId="0438B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5C2824BA">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任务描述</w:t>
            </w:r>
          </w:p>
        </w:tc>
        <w:tc>
          <w:tcPr>
            <w:tcW w:w="12214" w:type="dxa"/>
            <w:gridSpan w:val="5"/>
            <w:vAlign w:val="center"/>
          </w:tcPr>
          <w:p w14:paraId="7D1BF40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行车组织作业、票务设备故障处置以及突发事件应急处理</w:t>
            </w:r>
          </w:p>
        </w:tc>
      </w:tr>
      <w:tr w14:paraId="27E9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27856ED3">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职业要素</w:t>
            </w:r>
          </w:p>
        </w:tc>
        <w:tc>
          <w:tcPr>
            <w:tcW w:w="12214" w:type="dxa"/>
            <w:gridSpan w:val="5"/>
            <w:vAlign w:val="center"/>
          </w:tcPr>
          <w:p w14:paraId="6613FDC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基本专业素养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专业实践技能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 xml:space="preserve">协调协作能力  </w:t>
            </w:r>
            <w:r>
              <w:rPr>
                <w:rFonts w:hint="eastAsia" w:ascii="仿宋_GB2312" w:hAnsi="仿宋_GB2312" w:eastAsia="仿宋_GB2312" w:cs="仿宋_GB2312"/>
                <w:color w:val="000000"/>
                <w:sz w:val="24"/>
              </w:rPr>
              <w:sym w:font="Wingdings 2" w:char="0052"/>
            </w:r>
            <w:r>
              <w:rPr>
                <w:rFonts w:hint="eastAsia" w:ascii="仿宋_GB2312" w:hAnsi="仿宋_GB2312" w:eastAsia="仿宋_GB2312" w:cs="仿宋_GB2312"/>
                <w:color w:val="000000"/>
                <w:sz w:val="24"/>
              </w:rPr>
              <w:t>持续发展能力</w:t>
            </w:r>
          </w:p>
        </w:tc>
      </w:tr>
      <w:tr w14:paraId="29F9C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restart"/>
            <w:vAlign w:val="center"/>
          </w:tcPr>
          <w:p w14:paraId="2B46DC1E">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具体任务要求</w:t>
            </w:r>
          </w:p>
        </w:tc>
        <w:tc>
          <w:tcPr>
            <w:tcW w:w="1071" w:type="dxa"/>
            <w:vAlign w:val="center"/>
          </w:tcPr>
          <w:p w14:paraId="3B2A41FA">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子任务序号</w:t>
            </w:r>
          </w:p>
        </w:tc>
        <w:tc>
          <w:tcPr>
            <w:tcW w:w="2000" w:type="dxa"/>
            <w:vAlign w:val="center"/>
          </w:tcPr>
          <w:p w14:paraId="7A139644">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任务要求</w:t>
            </w:r>
          </w:p>
        </w:tc>
        <w:tc>
          <w:tcPr>
            <w:tcW w:w="3300" w:type="dxa"/>
            <w:vAlign w:val="center"/>
          </w:tcPr>
          <w:p w14:paraId="2FDE79EB">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操作过程</w:t>
            </w:r>
          </w:p>
        </w:tc>
        <w:tc>
          <w:tcPr>
            <w:tcW w:w="2649" w:type="dxa"/>
            <w:vAlign w:val="center"/>
          </w:tcPr>
          <w:p w14:paraId="6696629F">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考核点</w:t>
            </w:r>
          </w:p>
        </w:tc>
        <w:tc>
          <w:tcPr>
            <w:tcW w:w="3194" w:type="dxa"/>
            <w:vAlign w:val="center"/>
          </w:tcPr>
          <w:p w14:paraId="17D676B3">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评价标准</w:t>
            </w:r>
          </w:p>
        </w:tc>
      </w:tr>
      <w:tr w14:paraId="254C7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2DAA87C0">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44B01098">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rPr>
              <w:t>子任务1</w:t>
            </w:r>
          </w:p>
        </w:tc>
        <w:tc>
          <w:tcPr>
            <w:tcW w:w="2000" w:type="dxa"/>
            <w:vAlign w:val="center"/>
          </w:tcPr>
          <w:p w14:paraId="10100445">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bCs/>
                <w:color w:val="000000"/>
                <w:sz w:val="24"/>
              </w:rPr>
              <w:t>岗前作业：</w:t>
            </w:r>
            <w:r>
              <w:rPr>
                <w:rFonts w:hint="eastAsia" w:ascii="仿宋_GB2312" w:hAnsi="仿宋_GB2312" w:eastAsia="仿宋_GB2312" w:cs="仿宋_GB2312"/>
                <w:color w:val="000000"/>
                <w:sz w:val="24"/>
              </w:rPr>
              <w:t>测试站台门并检查综控室设备，发现钥匙开关没有在规定位置，进行恢复</w:t>
            </w:r>
          </w:p>
        </w:tc>
        <w:tc>
          <w:tcPr>
            <w:tcW w:w="3300" w:type="dxa"/>
            <w:vAlign w:val="center"/>
          </w:tcPr>
          <w:p w14:paraId="7A1E3CBA">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1.测试站台门：利用PSL开关站台门两次</w:t>
            </w:r>
          </w:p>
          <w:p w14:paraId="1F0A3478">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2.确认IBP盘上所有钥匙开关是否在规定位置，如不在，则进行恢复</w:t>
            </w:r>
          </w:p>
          <w:p w14:paraId="6A44D507">
            <w:pPr>
              <w:rPr>
                <w:rFonts w:ascii="仿宋_GB2312" w:hAnsi="仿宋_GB2312" w:eastAsia="仿宋_GB2312" w:cs="仿宋_GB2312"/>
                <w:sz w:val="24"/>
              </w:rPr>
            </w:pPr>
            <w:r>
              <w:rPr>
                <w:rFonts w:hint="eastAsia" w:ascii="仿宋_GB2312" w:hAnsi="仿宋_GB2312" w:eastAsia="仿宋_GB2312" w:cs="仿宋_GB2312"/>
                <w:color w:val="000000"/>
                <w:sz w:val="24"/>
              </w:rPr>
              <w:t>3.确认IBP盘上所有设备在规定状态</w:t>
            </w:r>
          </w:p>
          <w:p w14:paraId="740E679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4.确认ATS工作站上信号设备状态和列车运行状态正常</w:t>
            </w:r>
          </w:p>
        </w:tc>
        <w:tc>
          <w:tcPr>
            <w:tcW w:w="2649" w:type="dxa"/>
            <w:vAlign w:val="center"/>
          </w:tcPr>
          <w:p w14:paraId="6F5CCCA5">
            <w:pPr>
              <w:pStyle w:val="7"/>
              <w:adjustRightInd w:val="0"/>
              <w:snapToGrid w:val="0"/>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1.站台门测试流程正确；</w:t>
            </w:r>
          </w:p>
          <w:p w14:paraId="32B752D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2.所有钥匙开关均恢复到规定位置</w:t>
            </w:r>
          </w:p>
          <w:p w14:paraId="44414B6C">
            <w:pPr>
              <w:pStyle w:val="7"/>
              <w:adjustRightInd w:val="0"/>
              <w:snapToGrid w:val="0"/>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3.确认设备状态正常和列车运行状态正常</w:t>
            </w:r>
          </w:p>
          <w:p w14:paraId="18D41497">
            <w:pPr>
              <w:pStyle w:val="7"/>
              <w:adjustRightInd w:val="0"/>
              <w:snapToGrid w:val="0"/>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4.操作过程规范执行手指和口呼</w:t>
            </w:r>
          </w:p>
        </w:tc>
        <w:tc>
          <w:tcPr>
            <w:tcW w:w="3194" w:type="dxa"/>
            <w:vAlign w:val="center"/>
          </w:tcPr>
          <w:p w14:paraId="6EF4AA6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1.站台门测试流程正确（2%）</w:t>
            </w:r>
          </w:p>
          <w:p w14:paraId="5525B2D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2.所有钥匙开关均恢复到规定位置（1%）</w:t>
            </w:r>
          </w:p>
          <w:p w14:paraId="3135AE27">
            <w:pPr>
              <w:pStyle w:val="7"/>
              <w:adjustRightInd w:val="0"/>
              <w:snapToGrid w:val="0"/>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3.确认设备状态正常和列车运行状态正常（1%）</w:t>
            </w:r>
          </w:p>
          <w:p w14:paraId="4097363A">
            <w:pPr>
              <w:pStyle w:val="7"/>
              <w:adjustRightInd w:val="0"/>
              <w:snapToGrid w:val="0"/>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4.操作过程规范执行手指和口呼（1%）</w:t>
            </w:r>
          </w:p>
        </w:tc>
      </w:tr>
      <w:tr w14:paraId="0E2F5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718BD2A8">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7B9C8BED">
            <w:pPr>
              <w:pStyle w:val="7"/>
              <w:spacing w:after="0"/>
              <w:ind w:left="0" w:leftChars="0" w:firstLine="0" w:firstLineChars="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子任务2</w:t>
            </w:r>
          </w:p>
        </w:tc>
        <w:tc>
          <w:tcPr>
            <w:tcW w:w="2000" w:type="dxa"/>
            <w:vAlign w:val="center"/>
          </w:tcPr>
          <w:p w14:paraId="25A6D24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控制权接收：</w:t>
            </w:r>
            <w:r>
              <w:rPr>
                <w:rFonts w:hint="eastAsia" w:ascii="仿宋_GB2312" w:hAnsi="仿宋_GB2312" w:eastAsia="仿宋_GB2312" w:cs="仿宋_GB2312"/>
                <w:color w:val="000000"/>
                <w:sz w:val="24"/>
              </w:rPr>
              <w:t>根据行调指示接收控制权，接权成功后根据场景1列车位置，办理自动进路，要求不出现机外停车和晚点</w:t>
            </w:r>
          </w:p>
        </w:tc>
        <w:tc>
          <w:tcPr>
            <w:tcW w:w="3300" w:type="dxa"/>
            <w:vAlign w:val="center"/>
          </w:tcPr>
          <w:p w14:paraId="6FC49B5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1.接收调度命令并核对列车运行计划A</w:t>
            </w:r>
          </w:p>
          <w:p w14:paraId="2331CC5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2.完成控制权接收操作</w:t>
            </w:r>
          </w:p>
          <w:p w14:paraId="45FB734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3.根据场景1办理自动进路</w:t>
            </w:r>
          </w:p>
          <w:p w14:paraId="36B62B62">
            <w:pPr>
              <w:pStyle w:val="7"/>
              <w:spacing w:after="0"/>
              <w:ind w:left="0" w:leftChars="0" w:firstLine="0" w:firstLineChars="0"/>
              <w:rPr>
                <w:rFonts w:ascii="仿宋_GB2312" w:hAnsi="仿宋_GB2312" w:eastAsia="仿宋_GB2312" w:cs="仿宋_GB2312"/>
                <w:color w:val="000000"/>
                <w:sz w:val="24"/>
              </w:rPr>
            </w:pPr>
          </w:p>
        </w:tc>
        <w:tc>
          <w:tcPr>
            <w:tcW w:w="2649" w:type="dxa"/>
            <w:vAlign w:val="center"/>
          </w:tcPr>
          <w:p w14:paraId="4EFF0A63">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1.接收调度命令流程正确且列车运行A计划核对正确</w:t>
            </w:r>
          </w:p>
          <w:p w14:paraId="0000489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2.控制权接收操作流程正确</w:t>
            </w:r>
          </w:p>
          <w:p w14:paraId="77CD8E0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3.A场景自动进路办理正确</w:t>
            </w:r>
          </w:p>
          <w:p w14:paraId="41CB536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2EE2BD7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1.接收调度命令流程正确且列车运行A计划核对正确（2.5%）</w:t>
            </w:r>
          </w:p>
          <w:p w14:paraId="33F888D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2.控制权接收成功（1%）</w:t>
            </w:r>
          </w:p>
          <w:p w14:paraId="192A4D9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3.A场景自动进路办理正确（1%）</w:t>
            </w:r>
          </w:p>
          <w:p w14:paraId="3AA207F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4.操作过程规范执行鼠标指和口呼（2.5%）</w:t>
            </w:r>
          </w:p>
        </w:tc>
      </w:tr>
      <w:tr w14:paraId="3224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749C7329">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3821A6A4">
            <w:pPr>
              <w:pStyle w:val="7"/>
              <w:adjustRightInd w:val="0"/>
              <w:snapToGrid w:val="0"/>
              <w:spacing w:after="0"/>
              <w:ind w:left="0" w:leftChars="0" w:firstLine="0" w:firstLineChars="0"/>
              <w:jc w:val="center"/>
              <w:rPr>
                <w:rFonts w:ascii="仿宋_GB2312" w:hAnsi="仿宋_GB2312" w:eastAsia="仿宋_GB2312" w:cs="仿宋_GB2312"/>
                <w:color w:val="000000"/>
                <w:sz w:val="24"/>
              </w:rPr>
            </w:pPr>
            <w:r>
              <w:rPr>
                <w:rFonts w:hint="eastAsia" w:eastAsia="仿宋"/>
                <w:color w:val="000000"/>
                <w:sz w:val="24"/>
              </w:rPr>
              <w:t>子任务3</w:t>
            </w:r>
          </w:p>
        </w:tc>
        <w:tc>
          <w:tcPr>
            <w:tcW w:w="2000" w:type="dxa"/>
            <w:vAlign w:val="center"/>
          </w:tcPr>
          <w:p w14:paraId="4425EFE6">
            <w:pPr>
              <w:pStyle w:val="7"/>
              <w:spacing w:after="0"/>
              <w:ind w:left="0" w:leftChars="0" w:firstLine="0" w:firstLineChars="0"/>
              <w:rPr>
                <w:rFonts w:eastAsia="仿宋"/>
                <w:color w:val="000000"/>
                <w:sz w:val="24"/>
              </w:rPr>
            </w:pPr>
            <w:r>
              <w:rPr>
                <w:rFonts w:hint="eastAsia" w:eastAsia="仿宋"/>
                <w:b/>
                <w:bCs/>
                <w:color w:val="000000"/>
                <w:sz w:val="24"/>
              </w:rPr>
              <w:t>单锁与单解作业</w:t>
            </w:r>
            <w:r>
              <w:rPr>
                <w:rFonts w:hint="eastAsia" w:eastAsia="仿宋"/>
                <w:color w:val="000000"/>
                <w:sz w:val="24"/>
              </w:rPr>
              <w:t>：根据行调命令执行道岔B的单独锁闭与解锁</w:t>
            </w:r>
          </w:p>
        </w:tc>
        <w:tc>
          <w:tcPr>
            <w:tcW w:w="3300" w:type="dxa"/>
            <w:vAlign w:val="center"/>
          </w:tcPr>
          <w:p w14:paraId="2C57E197">
            <w:pPr>
              <w:pStyle w:val="7"/>
              <w:spacing w:after="0"/>
              <w:ind w:left="0" w:leftChars="0" w:firstLine="0" w:firstLineChars="0"/>
              <w:rPr>
                <w:rFonts w:eastAsia="仿宋"/>
                <w:color w:val="000000"/>
                <w:sz w:val="24"/>
              </w:rPr>
            </w:pPr>
            <w:r>
              <w:rPr>
                <w:rFonts w:hint="eastAsia" w:eastAsia="仿宋"/>
                <w:color w:val="000000"/>
                <w:sz w:val="24"/>
              </w:rPr>
              <w:t>1.接收行调单锁道岔B指令</w:t>
            </w:r>
          </w:p>
          <w:p w14:paraId="12610499">
            <w:pPr>
              <w:pStyle w:val="7"/>
              <w:spacing w:after="0"/>
              <w:ind w:left="0" w:leftChars="0" w:firstLine="0" w:firstLineChars="0"/>
              <w:rPr>
                <w:rFonts w:eastAsia="仿宋"/>
                <w:color w:val="000000"/>
                <w:sz w:val="24"/>
              </w:rPr>
            </w:pPr>
            <w:r>
              <w:rPr>
                <w:rFonts w:hint="eastAsia" w:eastAsia="仿宋"/>
                <w:color w:val="000000"/>
                <w:sz w:val="24"/>
              </w:rPr>
              <w:t>2.执行道岔单锁操作、单锁成功后汇报行调</w:t>
            </w:r>
          </w:p>
          <w:p w14:paraId="1563AC2A">
            <w:pPr>
              <w:pStyle w:val="7"/>
              <w:spacing w:after="0"/>
              <w:ind w:left="0" w:leftChars="0" w:firstLine="0" w:firstLineChars="0"/>
              <w:rPr>
                <w:rFonts w:eastAsia="仿宋"/>
                <w:color w:val="000000"/>
                <w:sz w:val="24"/>
              </w:rPr>
            </w:pPr>
            <w:r>
              <w:rPr>
                <w:rFonts w:hint="eastAsia" w:eastAsia="仿宋"/>
                <w:color w:val="000000"/>
                <w:sz w:val="24"/>
              </w:rPr>
              <w:t>4.接收行调单解道岔B指令</w:t>
            </w:r>
          </w:p>
          <w:p w14:paraId="12AF8150">
            <w:pPr>
              <w:pStyle w:val="7"/>
              <w:spacing w:after="0"/>
              <w:ind w:left="0" w:leftChars="0" w:firstLine="0" w:firstLineChars="0"/>
              <w:rPr>
                <w:rFonts w:eastAsia="仿宋"/>
                <w:color w:val="000000"/>
                <w:sz w:val="24"/>
              </w:rPr>
            </w:pPr>
            <w:r>
              <w:rPr>
                <w:rFonts w:hint="eastAsia" w:eastAsia="仿宋"/>
                <w:color w:val="000000"/>
                <w:sz w:val="24"/>
              </w:rPr>
              <w:t>5.执行道岔单解操作</w:t>
            </w:r>
          </w:p>
          <w:p w14:paraId="535A0B85">
            <w:pPr>
              <w:pStyle w:val="7"/>
              <w:spacing w:after="0"/>
              <w:ind w:left="0" w:leftChars="0" w:firstLine="0" w:firstLineChars="0"/>
              <w:rPr>
                <w:rFonts w:eastAsia="仿宋"/>
                <w:color w:val="000000"/>
                <w:sz w:val="24"/>
              </w:rPr>
            </w:pPr>
            <w:r>
              <w:rPr>
                <w:rFonts w:hint="eastAsia" w:eastAsia="仿宋"/>
                <w:color w:val="000000"/>
                <w:sz w:val="24"/>
              </w:rPr>
              <w:t>6.道岔单解成功后汇报行调</w:t>
            </w:r>
          </w:p>
          <w:p w14:paraId="758D937D">
            <w:pPr>
              <w:pStyle w:val="7"/>
              <w:spacing w:after="0"/>
              <w:ind w:left="0" w:leftChars="0" w:firstLine="0" w:firstLineChars="0"/>
              <w:rPr>
                <w:rFonts w:ascii="仿宋_GB2312" w:hAnsi="仿宋_GB2312" w:eastAsia="仿宋_GB2312" w:cs="仿宋_GB2312"/>
                <w:color w:val="000000"/>
                <w:sz w:val="24"/>
              </w:rPr>
            </w:pPr>
          </w:p>
        </w:tc>
        <w:tc>
          <w:tcPr>
            <w:tcW w:w="2649" w:type="dxa"/>
            <w:vAlign w:val="center"/>
          </w:tcPr>
          <w:p w14:paraId="411E2A99">
            <w:pPr>
              <w:pStyle w:val="7"/>
              <w:spacing w:after="0"/>
              <w:ind w:left="0" w:leftChars="0" w:firstLine="0" w:firstLineChars="0"/>
              <w:rPr>
                <w:rFonts w:eastAsia="仿宋"/>
                <w:color w:val="000000"/>
                <w:sz w:val="24"/>
              </w:rPr>
            </w:pPr>
            <w:r>
              <w:rPr>
                <w:rFonts w:hint="eastAsia" w:eastAsia="仿宋"/>
                <w:color w:val="000000"/>
                <w:sz w:val="24"/>
              </w:rPr>
              <w:t>1.调度命令接收流程正确</w:t>
            </w:r>
          </w:p>
          <w:p w14:paraId="10A910DC">
            <w:pPr>
              <w:pStyle w:val="7"/>
              <w:spacing w:after="0"/>
              <w:ind w:left="0" w:leftChars="0" w:firstLine="0" w:firstLineChars="0"/>
              <w:rPr>
                <w:rFonts w:eastAsia="仿宋"/>
                <w:color w:val="000000"/>
                <w:sz w:val="24"/>
              </w:rPr>
            </w:pPr>
            <w:r>
              <w:rPr>
                <w:rFonts w:hint="eastAsia" w:eastAsia="仿宋"/>
                <w:color w:val="000000"/>
                <w:sz w:val="24"/>
              </w:rPr>
              <w:t>2.道岔单解/单锁成功</w:t>
            </w:r>
          </w:p>
          <w:p w14:paraId="7718877B">
            <w:pPr>
              <w:pStyle w:val="7"/>
              <w:spacing w:after="0"/>
              <w:ind w:left="0" w:leftChars="0" w:firstLine="0" w:firstLineChars="0"/>
              <w:rPr>
                <w:rFonts w:eastAsia="仿宋"/>
                <w:color w:val="000000"/>
                <w:sz w:val="24"/>
              </w:rPr>
            </w:pPr>
            <w:r>
              <w:rPr>
                <w:rFonts w:hint="eastAsia" w:eastAsia="仿宋"/>
                <w:color w:val="000000"/>
                <w:sz w:val="24"/>
              </w:rPr>
              <w:t>3.汇报行调时机合理，内容规范</w:t>
            </w:r>
          </w:p>
          <w:p w14:paraId="13C6FBD3">
            <w:pPr>
              <w:pStyle w:val="7"/>
              <w:spacing w:after="0"/>
              <w:ind w:left="0" w:leftChars="0" w:firstLine="0" w:firstLineChars="0"/>
              <w:rPr>
                <w:rFonts w:ascii="仿宋_GB2312" w:hAnsi="仿宋_GB2312" w:eastAsia="仿宋_GB2312" w:cs="仿宋_GB2312"/>
                <w:color w:val="000000"/>
                <w:sz w:val="24"/>
              </w:rPr>
            </w:pPr>
            <w:r>
              <w:rPr>
                <w:rFonts w:hint="eastAsia" w:eastAsia="仿宋"/>
                <w:color w:val="000000"/>
                <w:sz w:val="24"/>
              </w:rPr>
              <w:t>4.操作过程执行鼠标指和口呼标准操作规范</w:t>
            </w:r>
          </w:p>
        </w:tc>
        <w:tc>
          <w:tcPr>
            <w:tcW w:w="3194" w:type="dxa"/>
            <w:vAlign w:val="center"/>
          </w:tcPr>
          <w:p w14:paraId="1E453F24">
            <w:pPr>
              <w:pStyle w:val="7"/>
              <w:spacing w:after="0"/>
              <w:ind w:left="0" w:leftChars="0" w:firstLine="0" w:firstLineChars="0"/>
              <w:rPr>
                <w:rFonts w:eastAsia="仿宋"/>
                <w:color w:val="000000"/>
                <w:sz w:val="24"/>
              </w:rPr>
            </w:pPr>
            <w:r>
              <w:rPr>
                <w:rFonts w:hint="eastAsia" w:eastAsia="仿宋"/>
                <w:color w:val="000000"/>
                <w:sz w:val="24"/>
              </w:rPr>
              <w:t>1.调度命令接收流程正确</w:t>
            </w:r>
            <w:r>
              <w:rPr>
                <w:rFonts w:hint="eastAsia" w:ascii="仿宋_GB2312" w:hAnsi="仿宋_GB2312" w:eastAsia="仿宋_GB2312" w:cs="仿宋_GB2312"/>
                <w:color w:val="000000"/>
                <w:sz w:val="24"/>
              </w:rPr>
              <w:t>（2%）</w:t>
            </w:r>
          </w:p>
          <w:p w14:paraId="554D164A">
            <w:pPr>
              <w:pStyle w:val="7"/>
              <w:spacing w:after="0"/>
              <w:ind w:left="0" w:leftChars="0" w:firstLine="0" w:firstLineChars="0"/>
              <w:rPr>
                <w:rFonts w:eastAsia="仿宋"/>
                <w:color w:val="000000"/>
                <w:sz w:val="24"/>
              </w:rPr>
            </w:pPr>
            <w:r>
              <w:rPr>
                <w:rFonts w:hint="eastAsia" w:eastAsia="仿宋"/>
                <w:color w:val="000000"/>
                <w:sz w:val="24"/>
              </w:rPr>
              <w:t>2.道岔单解/单锁成功</w:t>
            </w:r>
            <w:r>
              <w:rPr>
                <w:rFonts w:hint="eastAsia" w:ascii="仿宋_GB2312" w:hAnsi="仿宋_GB2312" w:eastAsia="仿宋_GB2312" w:cs="仿宋_GB2312"/>
                <w:color w:val="000000"/>
                <w:sz w:val="24"/>
              </w:rPr>
              <w:t>（2%）</w:t>
            </w:r>
          </w:p>
          <w:p w14:paraId="29E83B32">
            <w:pPr>
              <w:pStyle w:val="7"/>
              <w:spacing w:after="0"/>
              <w:ind w:left="0" w:leftChars="0" w:firstLine="0" w:firstLineChars="0"/>
              <w:rPr>
                <w:rFonts w:eastAsia="仿宋"/>
                <w:color w:val="000000"/>
                <w:sz w:val="24"/>
              </w:rPr>
            </w:pPr>
            <w:r>
              <w:rPr>
                <w:rFonts w:hint="eastAsia" w:eastAsia="仿宋"/>
                <w:color w:val="000000"/>
                <w:sz w:val="24"/>
              </w:rPr>
              <w:t>3.汇报行调时机合理，内容规范</w:t>
            </w:r>
            <w:r>
              <w:rPr>
                <w:rFonts w:hint="eastAsia" w:ascii="仿宋_GB2312" w:hAnsi="仿宋_GB2312" w:eastAsia="仿宋_GB2312" w:cs="仿宋_GB2312"/>
                <w:color w:val="000000"/>
                <w:sz w:val="24"/>
              </w:rPr>
              <w:t>（2%）</w:t>
            </w:r>
          </w:p>
          <w:p w14:paraId="1146A4A0">
            <w:pPr>
              <w:pStyle w:val="7"/>
              <w:spacing w:after="0"/>
              <w:ind w:left="0" w:leftChars="0" w:firstLine="0" w:firstLineChars="0"/>
              <w:rPr>
                <w:rFonts w:ascii="仿宋_GB2312" w:hAnsi="仿宋_GB2312" w:eastAsia="仿宋_GB2312" w:cs="仿宋_GB2312"/>
                <w:color w:val="000000"/>
                <w:sz w:val="24"/>
              </w:rPr>
            </w:pPr>
            <w:r>
              <w:rPr>
                <w:rFonts w:hint="eastAsia" w:eastAsia="仿宋"/>
                <w:color w:val="000000"/>
                <w:sz w:val="24"/>
              </w:rPr>
              <w:t>4.操作过程执行鼠标指和口呼标准操作规范</w:t>
            </w:r>
            <w:r>
              <w:rPr>
                <w:rFonts w:hint="eastAsia" w:ascii="仿宋_GB2312" w:hAnsi="仿宋_GB2312" w:eastAsia="仿宋_GB2312" w:cs="仿宋_GB2312"/>
                <w:color w:val="000000"/>
                <w:sz w:val="24"/>
              </w:rPr>
              <w:t>（1%）</w:t>
            </w:r>
          </w:p>
        </w:tc>
      </w:tr>
      <w:tr w14:paraId="79A7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47C874B3">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4D1E1D68">
            <w:pPr>
              <w:pStyle w:val="7"/>
              <w:adjustRightInd w:val="0"/>
              <w:snapToGrid w:val="0"/>
              <w:spacing w:after="0"/>
              <w:ind w:left="0" w:leftChars="0" w:firstLine="0" w:firstLineChars="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子任务4</w:t>
            </w:r>
          </w:p>
        </w:tc>
        <w:tc>
          <w:tcPr>
            <w:tcW w:w="2000" w:type="dxa"/>
            <w:vAlign w:val="center"/>
          </w:tcPr>
          <w:p w14:paraId="101DDE7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扣A车和取消扣A车</w:t>
            </w:r>
            <w:r>
              <w:rPr>
                <w:rFonts w:hint="eastAsia" w:ascii="仿宋_GB2312" w:hAnsi="仿宋_GB2312" w:eastAsia="仿宋_GB2312" w:cs="仿宋_GB2312"/>
                <w:color w:val="000000"/>
                <w:sz w:val="24"/>
              </w:rPr>
              <w:t>：根据行车调度员命令执行列车A的扣车和取消扣车操作</w:t>
            </w:r>
          </w:p>
        </w:tc>
        <w:tc>
          <w:tcPr>
            <w:tcW w:w="3300" w:type="dxa"/>
            <w:vAlign w:val="center"/>
          </w:tcPr>
          <w:p w14:paraId="1BB766A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1.接收行调扣车指令</w:t>
            </w:r>
          </w:p>
          <w:p w14:paraId="4860366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2.执行扣车操作，扣车成功后汇报行调</w:t>
            </w:r>
          </w:p>
          <w:p w14:paraId="392E734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3.接收行调取消扣车指令</w:t>
            </w:r>
          </w:p>
          <w:p w14:paraId="0D6169E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4.执行取消扣车操作，取消扣车成功后汇报行调</w:t>
            </w:r>
          </w:p>
        </w:tc>
        <w:tc>
          <w:tcPr>
            <w:tcW w:w="2649" w:type="dxa"/>
            <w:vAlign w:val="center"/>
          </w:tcPr>
          <w:p w14:paraId="2446F63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1.调度命令接收流程正确</w:t>
            </w:r>
          </w:p>
          <w:p w14:paraId="649E816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2.扣车/取消扣车成功</w:t>
            </w:r>
          </w:p>
          <w:p w14:paraId="72D799D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w:t>
            </w:r>
          </w:p>
          <w:p w14:paraId="1CD1457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20FA54E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1.调度命令接收流程正确（2%）</w:t>
            </w:r>
          </w:p>
          <w:p w14:paraId="0E0D34B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2.扣车/取消扣车成功（2%）</w:t>
            </w:r>
          </w:p>
          <w:p w14:paraId="0F0BCA6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3.汇报行调时机合理，内容规范（2%）</w:t>
            </w:r>
          </w:p>
          <w:p w14:paraId="23929AA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4.操作过程规范执行鼠标指和口呼（1%）</w:t>
            </w:r>
          </w:p>
        </w:tc>
      </w:tr>
      <w:tr w14:paraId="18D33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44214DEC">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447F7E89">
            <w:pPr>
              <w:pStyle w:val="7"/>
              <w:spacing w:after="0"/>
              <w:ind w:left="0" w:leftChars="0" w:firstLine="0" w:firstLineChars="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子任务5</w:t>
            </w:r>
          </w:p>
        </w:tc>
        <w:tc>
          <w:tcPr>
            <w:tcW w:w="2000" w:type="dxa"/>
            <w:vAlign w:val="center"/>
          </w:tcPr>
          <w:p w14:paraId="6ECE468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A1等列车入段作业：</w:t>
            </w:r>
            <w:r>
              <w:rPr>
                <w:rFonts w:hint="eastAsia" w:ascii="仿宋_GB2312" w:hAnsi="仿宋_GB2312" w:eastAsia="仿宋_GB2312" w:cs="仿宋_GB2312"/>
                <w:color w:val="000000"/>
                <w:sz w:val="24"/>
              </w:rPr>
              <w:t>根据列车计划A判断列车是否是入段车，并为入段列车排列入段进路</w:t>
            </w:r>
          </w:p>
        </w:tc>
        <w:tc>
          <w:tcPr>
            <w:tcW w:w="3300" w:type="dxa"/>
            <w:vAlign w:val="center"/>
          </w:tcPr>
          <w:p w14:paraId="624AAE5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1.监视每一列列车运行，判断A1等列车为入段车</w:t>
            </w:r>
          </w:p>
          <w:p w14:paraId="54FAD09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2.为入段车则排列入段进路</w:t>
            </w:r>
          </w:p>
        </w:tc>
        <w:tc>
          <w:tcPr>
            <w:tcW w:w="2649" w:type="dxa"/>
            <w:vAlign w:val="center"/>
          </w:tcPr>
          <w:p w14:paraId="3E5EF49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1.入段车判定正确及时</w:t>
            </w:r>
          </w:p>
          <w:p w14:paraId="27F89FF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2.入段进路排列成功</w:t>
            </w:r>
          </w:p>
          <w:p w14:paraId="726F12E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3.操作过程规范执行鼠标指和口呼</w:t>
            </w:r>
          </w:p>
        </w:tc>
        <w:tc>
          <w:tcPr>
            <w:tcW w:w="3194" w:type="dxa"/>
            <w:vAlign w:val="center"/>
          </w:tcPr>
          <w:p w14:paraId="692627C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1.入段车判定正确及时（1%）</w:t>
            </w:r>
          </w:p>
          <w:p w14:paraId="0D4BD2D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2.入段进路排列成功（2%）</w:t>
            </w:r>
          </w:p>
          <w:p w14:paraId="2A37B856">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3.操作过程规范执行鼠标指和口呼（2%）</w:t>
            </w:r>
          </w:p>
        </w:tc>
      </w:tr>
      <w:tr w14:paraId="13C2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3B1B4BB5">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2E3CCF54">
            <w:pPr>
              <w:pStyle w:val="7"/>
              <w:spacing w:after="0"/>
              <w:ind w:left="0" w:leftChars="0" w:firstLine="0" w:firstLineChars="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子任务6</w:t>
            </w:r>
          </w:p>
        </w:tc>
        <w:tc>
          <w:tcPr>
            <w:tcW w:w="2000" w:type="dxa"/>
            <w:vAlign w:val="center"/>
          </w:tcPr>
          <w:p w14:paraId="3DFDFA8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A1等区故解作业</w:t>
            </w:r>
            <w:r>
              <w:rPr>
                <w:rFonts w:hint="eastAsia" w:ascii="仿宋_GB2312" w:hAnsi="仿宋_GB2312" w:eastAsia="仿宋_GB2312" w:cs="仿宋_GB2312"/>
                <w:color w:val="000000"/>
                <w:sz w:val="24"/>
              </w:rPr>
              <w:t>：判断A1等区段故障锁闭状态，执行故障解锁作业</w:t>
            </w:r>
          </w:p>
        </w:tc>
        <w:tc>
          <w:tcPr>
            <w:tcW w:w="3300" w:type="dxa"/>
            <w:vAlign w:val="center"/>
          </w:tcPr>
          <w:p w14:paraId="732C3B1C">
            <w:pPr>
              <w:pStyle w:val="7"/>
              <w:numPr>
                <w:ilvl w:val="0"/>
                <w:numId w:val="1"/>
              </w:numPr>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判断A1等区段故障锁闭</w:t>
            </w:r>
          </w:p>
          <w:p w14:paraId="4B7B36D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2.通过调度电话汇报行调故障现象</w:t>
            </w:r>
          </w:p>
          <w:p w14:paraId="4377135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3.进行区故解操作：鼠标点击故障区段，选择区故解命令，并进行二次确认</w:t>
            </w:r>
          </w:p>
          <w:p w14:paraId="2631C70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4.确认故障光带解锁成功并汇报</w:t>
            </w:r>
          </w:p>
        </w:tc>
        <w:tc>
          <w:tcPr>
            <w:tcW w:w="2649" w:type="dxa"/>
            <w:vAlign w:val="center"/>
          </w:tcPr>
          <w:p w14:paraId="56C2336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w:t>
            </w:r>
          </w:p>
          <w:p w14:paraId="04DE609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2.区故解操作成功</w:t>
            </w:r>
          </w:p>
          <w:p w14:paraId="7E57706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w:t>
            </w:r>
          </w:p>
          <w:p w14:paraId="522B33D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7D169E8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1.故障点和故障现象判断准确（2%）</w:t>
            </w:r>
          </w:p>
          <w:p w14:paraId="7C3C92C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2.区段故障解锁操作成功（3%）</w:t>
            </w:r>
          </w:p>
          <w:p w14:paraId="401DBA7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3.汇报行调时机合理，内容规范（2%）</w:t>
            </w:r>
          </w:p>
          <w:p w14:paraId="7033E71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4.操作过程规范执行鼠标指和口呼（1%）</w:t>
            </w:r>
          </w:p>
        </w:tc>
      </w:tr>
      <w:tr w14:paraId="2408D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7F60BF15">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61242AF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子任务7</w:t>
            </w:r>
          </w:p>
        </w:tc>
        <w:tc>
          <w:tcPr>
            <w:tcW w:w="2000" w:type="dxa"/>
            <w:vAlign w:val="center"/>
          </w:tcPr>
          <w:p w14:paraId="5740614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信号机A重开作业：</w:t>
            </w:r>
            <w:r>
              <w:rPr>
                <w:rFonts w:hint="eastAsia" w:ascii="仿宋_GB2312" w:hAnsi="仿宋_GB2312" w:eastAsia="仿宋_GB2312" w:cs="仿宋_GB2312"/>
                <w:color w:val="000000"/>
                <w:sz w:val="24"/>
              </w:rPr>
              <w:t>判断信号机故障关闭原因，执行信号机A的信号重开作业</w:t>
            </w:r>
          </w:p>
        </w:tc>
        <w:tc>
          <w:tcPr>
            <w:tcW w:w="3300" w:type="dxa"/>
            <w:vAlign w:val="center"/>
          </w:tcPr>
          <w:p w14:paraId="63C1270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1.根据ATS控制台信号显示判断信号机A故障关闭，并汇报</w:t>
            </w:r>
          </w:p>
          <w:p w14:paraId="6335490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2.判断信号重开的条件是否满足，进行信号重开操作</w:t>
            </w:r>
          </w:p>
          <w:p w14:paraId="7CCDDF9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3.确认信号机开放</w:t>
            </w:r>
          </w:p>
          <w:p w14:paraId="3586DE32">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并汇报行调</w:t>
            </w:r>
          </w:p>
        </w:tc>
        <w:tc>
          <w:tcPr>
            <w:tcW w:w="2649" w:type="dxa"/>
            <w:vAlign w:val="center"/>
          </w:tcPr>
          <w:p w14:paraId="47C161F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w:t>
            </w:r>
          </w:p>
          <w:p w14:paraId="5185A2D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2.信号重开成功</w:t>
            </w:r>
          </w:p>
          <w:p w14:paraId="474E838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w:t>
            </w:r>
          </w:p>
          <w:p w14:paraId="6CFC10E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4CD8EDF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1.故障点和故障现象判断准确（1%）</w:t>
            </w:r>
          </w:p>
          <w:p w14:paraId="450A311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2.信号重开成功（3%）</w:t>
            </w:r>
          </w:p>
          <w:p w14:paraId="4D750878">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3.汇报行调时机合理，内容规范（2%）</w:t>
            </w:r>
          </w:p>
          <w:p w14:paraId="06CCF9D0">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4.操作过程规范执行鼠标指和口呼（2%）</w:t>
            </w:r>
          </w:p>
        </w:tc>
      </w:tr>
      <w:tr w14:paraId="0E57E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79CA05D6">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6B38DC3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子任务8</w:t>
            </w:r>
          </w:p>
        </w:tc>
        <w:tc>
          <w:tcPr>
            <w:tcW w:w="2000" w:type="dxa"/>
            <w:vAlign w:val="center"/>
          </w:tcPr>
          <w:p w14:paraId="6398774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场景1站台紧急停车按钮恢复：</w:t>
            </w:r>
            <w:r>
              <w:rPr>
                <w:rFonts w:hint="eastAsia" w:ascii="仿宋_GB2312" w:hAnsi="仿宋_GB2312" w:eastAsia="仿宋_GB2312" w:cs="仿宋_GB2312"/>
                <w:color w:val="000000"/>
                <w:sz w:val="24"/>
              </w:rPr>
              <w:t>确认紧急停车按钮激活的原因，恢复场景1紧急停车状态</w:t>
            </w:r>
          </w:p>
        </w:tc>
        <w:tc>
          <w:tcPr>
            <w:tcW w:w="3300" w:type="dxa"/>
            <w:vAlign w:val="center"/>
          </w:tcPr>
          <w:p w14:paraId="7695A69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1.根据IBP盘和ATS确认紧急停车按钮被激活并进行警铃切除</w:t>
            </w:r>
          </w:p>
          <w:p w14:paraId="5AA880B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2.汇报行调</w:t>
            </w:r>
          </w:p>
          <w:p w14:paraId="56C117A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3.确认紧急停车按钮激活的原因</w:t>
            </w:r>
          </w:p>
          <w:p w14:paraId="5B6C9AF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4.征得行调同意后，恢复紧急停车状态</w:t>
            </w:r>
          </w:p>
          <w:p w14:paraId="312547D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w:t>
            </w:r>
            <w:r>
              <w:rPr>
                <w:rFonts w:hint="eastAsia" w:ascii="仿宋_GB2312" w:hAnsi="仿宋_GB2312" w:eastAsia="仿宋_GB2312" w:cs="仿宋_GB2312"/>
                <w:sz w:val="24"/>
              </w:rPr>
              <w:t>汇报行调复</w:t>
            </w:r>
            <w:r>
              <w:rPr>
                <w:rFonts w:hint="eastAsia" w:ascii="仿宋_GB2312" w:hAnsi="仿宋_GB2312" w:eastAsia="仿宋_GB2312" w:cs="仿宋_GB2312"/>
                <w:color w:val="000000"/>
                <w:sz w:val="24"/>
              </w:rPr>
              <w:t>故障恢复</w:t>
            </w:r>
          </w:p>
        </w:tc>
        <w:tc>
          <w:tcPr>
            <w:tcW w:w="2649" w:type="dxa"/>
            <w:vAlign w:val="center"/>
          </w:tcPr>
          <w:p w14:paraId="02E3FA87">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w:t>
            </w:r>
          </w:p>
          <w:p w14:paraId="5420B29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2.警铃解除成功、紧急停车状态恢复</w:t>
            </w:r>
          </w:p>
          <w:p w14:paraId="72D9585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w:t>
            </w:r>
          </w:p>
          <w:p w14:paraId="5AD1132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54C68F5C">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1.故障点和故障现象判断准确（1%）</w:t>
            </w:r>
          </w:p>
          <w:p w14:paraId="1738549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2.警铃解除成功、紧急停车状态恢复（3%）</w:t>
            </w:r>
          </w:p>
          <w:p w14:paraId="3F20DFB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3.汇报行调时机合理，内容规范（2%）</w:t>
            </w:r>
          </w:p>
          <w:p w14:paraId="1C5A160D">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4.操作过程规范执行鼠标指和口呼（3%）</w:t>
            </w:r>
          </w:p>
        </w:tc>
      </w:tr>
      <w:tr w14:paraId="1387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5AEA622B">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43A6AF1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子任务9</w:t>
            </w:r>
          </w:p>
        </w:tc>
        <w:tc>
          <w:tcPr>
            <w:tcW w:w="2000" w:type="dxa"/>
            <w:vAlign w:val="center"/>
          </w:tcPr>
          <w:p w14:paraId="3CEC619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道岔A单扳：</w:t>
            </w:r>
            <w:r>
              <w:rPr>
                <w:rFonts w:hint="eastAsia" w:ascii="仿宋_GB2312" w:hAnsi="仿宋_GB2312" w:eastAsia="仿宋_GB2312" w:cs="仿宋_GB2312"/>
                <w:color w:val="000000"/>
                <w:sz w:val="24"/>
              </w:rPr>
              <w:t>确认道岔A故障，通过单扳实验将该道岔恢复至正常状态</w:t>
            </w:r>
          </w:p>
        </w:tc>
        <w:tc>
          <w:tcPr>
            <w:tcW w:w="3300" w:type="dxa"/>
            <w:vAlign w:val="center"/>
          </w:tcPr>
          <w:p w14:paraId="3080307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1.根据ATS显示判断道岔A故障</w:t>
            </w:r>
          </w:p>
          <w:p w14:paraId="3E8D012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2.汇报行调故障现象</w:t>
            </w:r>
          </w:p>
          <w:p w14:paraId="087CF52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3.判断道岔试验条件是否满足，如不满足恢复道岔试验条件</w:t>
            </w:r>
          </w:p>
          <w:p w14:paraId="3C7DD80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4.道岔试验操作</w:t>
            </w:r>
          </w:p>
          <w:p w14:paraId="2545874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5.道岔故障恢复后，汇报行调</w:t>
            </w:r>
          </w:p>
        </w:tc>
        <w:tc>
          <w:tcPr>
            <w:tcW w:w="2649" w:type="dxa"/>
            <w:vAlign w:val="center"/>
          </w:tcPr>
          <w:p w14:paraId="5D0629EE">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1.故障点和故障现象判断正确</w:t>
            </w:r>
          </w:p>
          <w:p w14:paraId="53F7969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2.道岔恢复正常</w:t>
            </w:r>
          </w:p>
          <w:p w14:paraId="4A68417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w:t>
            </w:r>
          </w:p>
          <w:p w14:paraId="7B0A7E6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w:t>
            </w:r>
          </w:p>
        </w:tc>
        <w:tc>
          <w:tcPr>
            <w:tcW w:w="3194" w:type="dxa"/>
            <w:vAlign w:val="center"/>
          </w:tcPr>
          <w:p w14:paraId="5388B7B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1.故障点和故障现象判断正确（1%）</w:t>
            </w:r>
          </w:p>
          <w:p w14:paraId="267EEE3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2.道岔恢复正常（5%）</w:t>
            </w:r>
          </w:p>
          <w:p w14:paraId="0BF02701">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3.汇报行调时机合理，内容规范（2%）</w:t>
            </w:r>
          </w:p>
          <w:p w14:paraId="02800D8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4.操作过程规范执行鼠标指和口呼（3%）</w:t>
            </w:r>
          </w:p>
        </w:tc>
      </w:tr>
      <w:tr w14:paraId="320A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15A0CFD9">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2F91838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子任务10</w:t>
            </w:r>
          </w:p>
        </w:tc>
        <w:tc>
          <w:tcPr>
            <w:tcW w:w="2000" w:type="dxa"/>
            <w:vAlign w:val="center"/>
          </w:tcPr>
          <w:p w14:paraId="61FE878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票务设备故障处置</w:t>
            </w:r>
            <w:r>
              <w:rPr>
                <w:rFonts w:hint="eastAsia" w:ascii="仿宋_GB2312" w:hAnsi="仿宋_GB2312" w:eastAsia="仿宋_GB2312" w:cs="仿宋_GB2312"/>
                <w:color w:val="000000"/>
                <w:sz w:val="24"/>
              </w:rPr>
              <w:t>：判断TVM、故障原因（3个故障点），按照相应流程恢复设备至正常状态</w:t>
            </w:r>
          </w:p>
        </w:tc>
        <w:tc>
          <w:tcPr>
            <w:tcW w:w="3300" w:type="dxa"/>
            <w:vAlign w:val="center"/>
          </w:tcPr>
          <w:p w14:paraId="5681FCD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1.TVM发卡模块故障A处置</w:t>
            </w:r>
          </w:p>
          <w:p w14:paraId="4FD9282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2.TVM 硬币模块故障A处置</w:t>
            </w:r>
          </w:p>
          <w:p w14:paraId="27F131D6">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3.TVM 纸币模块故障A处置</w:t>
            </w:r>
          </w:p>
        </w:tc>
        <w:tc>
          <w:tcPr>
            <w:tcW w:w="2649" w:type="dxa"/>
            <w:vAlign w:val="center"/>
          </w:tcPr>
          <w:p w14:paraId="17C940C6">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1.TVM发卡模块恢复正常</w:t>
            </w:r>
          </w:p>
          <w:p w14:paraId="0559EAF6">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2.TVM 硬币模块恢复正常</w:t>
            </w:r>
          </w:p>
          <w:p w14:paraId="4E9A8DB3">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3.TVM 纸币模块恢复正常</w:t>
            </w:r>
          </w:p>
        </w:tc>
        <w:tc>
          <w:tcPr>
            <w:tcW w:w="3194" w:type="dxa"/>
            <w:vAlign w:val="center"/>
          </w:tcPr>
          <w:p w14:paraId="01B2298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1.TVM发卡模块恢复正常（3%）</w:t>
            </w:r>
          </w:p>
          <w:p w14:paraId="6D789DD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2.TVM 硬币模块恢复正常（3.5%）</w:t>
            </w:r>
          </w:p>
          <w:p w14:paraId="3F8EEF20">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3.TVM 纸币模块恢复正常（3.5%）</w:t>
            </w:r>
          </w:p>
        </w:tc>
      </w:tr>
      <w:tr w14:paraId="5BB3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5FFED78D">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32ECEA14">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子任务11</w:t>
            </w:r>
          </w:p>
        </w:tc>
        <w:tc>
          <w:tcPr>
            <w:tcW w:w="2000" w:type="dxa"/>
            <w:vAlign w:val="center"/>
          </w:tcPr>
          <w:p w14:paraId="7FAD839D">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多门开门应急处置</w:t>
            </w:r>
            <w:r>
              <w:rPr>
                <w:rFonts w:hint="eastAsia" w:ascii="仿宋_GB2312" w:hAnsi="仿宋_GB2312" w:eastAsia="仿宋_GB2312" w:cs="仿宋_GB2312"/>
                <w:color w:val="000000"/>
                <w:sz w:val="24"/>
              </w:rPr>
              <w:t>：列车进站开门时遇2个以上多节车辆对应站台门无法开启，且列车未收到站台门“关闭且锁紧信号”，按操作流程进行多门开门故障先期处置</w:t>
            </w:r>
          </w:p>
        </w:tc>
        <w:tc>
          <w:tcPr>
            <w:tcW w:w="3300" w:type="dxa"/>
            <w:vAlign w:val="center"/>
          </w:tcPr>
          <w:p w14:paraId="12D9B8F3">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1.发现故障：站务员按流程手指、口呼确认多门开门故障、明确故障具体位置</w:t>
            </w:r>
          </w:p>
          <w:p w14:paraId="1266D9B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现场处置：站务员、值班员、值班站长按规定流程汇报联系，组织乘客乘降，明确具体路径。站台门关闭后，值班员通知站务员，站务员使用互锁解除发车，确认列车已发出，松开PSL互锁解除开关钥匙并取出钥匙，互锁解除指示灯熄灭。站务员用规定方式汇报值班员、值班站长，多门故障已处理完毕</w:t>
            </w:r>
          </w:p>
        </w:tc>
        <w:tc>
          <w:tcPr>
            <w:tcW w:w="2649" w:type="dxa"/>
            <w:vAlign w:val="center"/>
          </w:tcPr>
          <w:p w14:paraId="4A28C03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1．准确发现故障并呼唤确认</w:t>
            </w:r>
          </w:p>
          <w:p w14:paraId="04E38EE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2．按照正确的流程和作业标准成功处置故障。</w:t>
            </w:r>
          </w:p>
          <w:p w14:paraId="1F42E2D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3．使用标准用语，规范合理</w:t>
            </w:r>
          </w:p>
        </w:tc>
        <w:tc>
          <w:tcPr>
            <w:tcW w:w="3194" w:type="dxa"/>
            <w:vAlign w:val="center"/>
          </w:tcPr>
          <w:p w14:paraId="4B333DCB">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1.准确发现故障（0.5%）</w:t>
            </w:r>
          </w:p>
          <w:p w14:paraId="5083E045">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2．规范成功处置故障（8.5%）</w:t>
            </w:r>
          </w:p>
        </w:tc>
      </w:tr>
      <w:tr w14:paraId="5644B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1F274EBA">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1071" w:type="dxa"/>
            <w:vAlign w:val="center"/>
          </w:tcPr>
          <w:p w14:paraId="7542AD69">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子任务12</w:t>
            </w:r>
          </w:p>
        </w:tc>
        <w:tc>
          <w:tcPr>
            <w:tcW w:w="2000" w:type="dxa"/>
            <w:vAlign w:val="center"/>
          </w:tcPr>
          <w:p w14:paraId="15A9E47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单门关门故障应急处置</w:t>
            </w:r>
            <w:r>
              <w:rPr>
                <w:rFonts w:hint="eastAsia" w:ascii="仿宋_GB2312" w:hAnsi="仿宋_GB2312" w:eastAsia="仿宋_GB2312" w:cs="仿宋_GB2312"/>
                <w:color w:val="000000"/>
                <w:sz w:val="24"/>
              </w:rPr>
              <w:t>：</w:t>
            </w:r>
            <w:r>
              <w:rPr>
                <w:rFonts w:hint="eastAsia" w:ascii="仿宋_GB2312" w:hAnsi="仿宋_GB2312" w:eastAsia="仿宋_GB2312" w:cs="仿宋_GB2312"/>
                <w:sz w:val="24"/>
              </w:rPr>
              <w:t>列车关门作业，突发单个站关门。按操作流程进行单门关门故障先期处置</w:t>
            </w:r>
          </w:p>
        </w:tc>
        <w:tc>
          <w:tcPr>
            <w:tcW w:w="3300" w:type="dxa"/>
            <w:vAlign w:val="center"/>
          </w:tcPr>
          <w:p w14:paraId="1DE64BA5">
            <w:pPr>
              <w:pStyle w:val="7"/>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1.发现故障：站务员确认某方向、某号站台门关门故障</w:t>
            </w:r>
          </w:p>
          <w:p w14:paraId="3683E93D">
            <w:pPr>
              <w:pStyle w:val="7"/>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2.现场处置：站务员用对讲机汇报值班员，某方向*号门关门故障。</w:t>
            </w:r>
          </w:p>
          <w:p w14:paraId="7666D77B">
            <w:pPr>
              <w:pStyle w:val="7"/>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3.站务员使用L用 LCB 钥匙将故障门 LCB 转至“关门”位置，并确认故障门关闭。故障门处置完毕，列车出清站台后，站务员用LCB钥匙将故障门的 LCB 转至“自动”位置，取出钥匙，用对讲机汇报值班员</w:t>
            </w:r>
          </w:p>
        </w:tc>
        <w:tc>
          <w:tcPr>
            <w:tcW w:w="2649" w:type="dxa"/>
            <w:vAlign w:val="center"/>
          </w:tcPr>
          <w:p w14:paraId="3C8B8889">
            <w:pPr>
              <w:rPr>
                <w:rFonts w:ascii="仿宋_GB2312" w:hAnsi="仿宋_GB2312" w:eastAsia="仿宋_GB2312" w:cs="仿宋_GB2312"/>
                <w:sz w:val="24"/>
              </w:rPr>
            </w:pPr>
            <w:r>
              <w:rPr>
                <w:rFonts w:hint="eastAsia" w:ascii="仿宋_GB2312" w:hAnsi="仿宋_GB2312" w:eastAsia="仿宋_GB2312" w:cs="仿宋_GB2312"/>
                <w:sz w:val="24"/>
              </w:rPr>
              <w:t>1．准确发现故障并呼唤确认</w:t>
            </w:r>
          </w:p>
          <w:p w14:paraId="3F94D95D">
            <w:pPr>
              <w:pStyle w:val="7"/>
              <w:spacing w:after="0"/>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2．按照正确的岗位作业流程和作业标准成功处置故障</w:t>
            </w:r>
          </w:p>
          <w:p w14:paraId="6C4A3EEE">
            <w:pPr>
              <w:pStyle w:val="7"/>
              <w:ind w:left="0" w:leftChars="0" w:firstLine="0" w:firstLineChars="0"/>
              <w:rPr>
                <w:rFonts w:ascii="仿宋_GB2312" w:hAnsi="仿宋_GB2312" w:eastAsia="仿宋_GB2312" w:cs="仿宋_GB2312"/>
                <w:sz w:val="24"/>
              </w:rPr>
            </w:pPr>
            <w:r>
              <w:rPr>
                <w:rFonts w:hint="eastAsia" w:ascii="仿宋_GB2312" w:hAnsi="仿宋_GB2312" w:eastAsia="仿宋_GB2312" w:cs="仿宋_GB2312"/>
                <w:sz w:val="24"/>
              </w:rPr>
              <w:t>3．选手使用标准用语，规范合理</w:t>
            </w:r>
          </w:p>
          <w:p w14:paraId="4D8E8458">
            <w:pPr>
              <w:pStyle w:val="7"/>
              <w:spacing w:after="0"/>
              <w:ind w:left="0" w:leftChars="0" w:firstLine="0" w:firstLineChars="0"/>
              <w:rPr>
                <w:rFonts w:ascii="仿宋_GB2312" w:hAnsi="仿宋_GB2312" w:eastAsia="仿宋_GB2312" w:cs="仿宋_GB2312"/>
                <w:color w:val="000000"/>
                <w:sz w:val="24"/>
              </w:rPr>
            </w:pPr>
          </w:p>
        </w:tc>
        <w:tc>
          <w:tcPr>
            <w:tcW w:w="3194" w:type="dxa"/>
            <w:vAlign w:val="center"/>
          </w:tcPr>
          <w:p w14:paraId="0B6C7F9C">
            <w:pPr>
              <w:rPr>
                <w:rFonts w:ascii="仿宋_GB2312" w:hAnsi="仿宋_GB2312" w:eastAsia="仿宋_GB2312" w:cs="仿宋_GB2312"/>
                <w:sz w:val="24"/>
              </w:rPr>
            </w:pPr>
            <w:r>
              <w:rPr>
                <w:rFonts w:hint="eastAsia" w:ascii="仿宋_GB2312" w:hAnsi="仿宋_GB2312" w:eastAsia="仿宋_GB2312" w:cs="仿宋_GB2312"/>
                <w:sz w:val="24"/>
              </w:rPr>
              <w:t>1.准确发现故障并呼唤确认(0.5%)</w:t>
            </w:r>
          </w:p>
          <w:p w14:paraId="5BD0A677">
            <w:pPr>
              <w:rPr>
                <w:color w:val="000000"/>
                <w:sz w:val="24"/>
              </w:rPr>
            </w:pPr>
            <w:r>
              <w:rPr>
                <w:rFonts w:hint="eastAsia" w:ascii="仿宋_GB2312" w:hAnsi="仿宋_GB2312" w:eastAsia="仿宋_GB2312" w:cs="仿宋_GB2312"/>
                <w:sz w:val="24"/>
              </w:rPr>
              <w:t>2．按照正确的流程和作业标准成功处置故障(5.5%)</w:t>
            </w:r>
          </w:p>
        </w:tc>
      </w:tr>
      <w:tr w14:paraId="4034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restart"/>
            <w:vAlign w:val="center"/>
          </w:tcPr>
          <w:p w14:paraId="1C03CF4E">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赛项技术规范</w:t>
            </w:r>
          </w:p>
        </w:tc>
        <w:tc>
          <w:tcPr>
            <w:tcW w:w="3071" w:type="dxa"/>
            <w:gridSpan w:val="2"/>
            <w:vAlign w:val="center"/>
          </w:tcPr>
          <w:p w14:paraId="1A67BDFF">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涉及专业教学要求</w:t>
            </w:r>
          </w:p>
        </w:tc>
        <w:tc>
          <w:tcPr>
            <w:tcW w:w="9143" w:type="dxa"/>
            <w:gridSpan w:val="3"/>
            <w:vAlign w:val="center"/>
          </w:tcPr>
          <w:p w14:paraId="18D91605">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1.具备车站常态化客流监测及突发情况时对客流进行控制及安全疏导的能力</w:t>
            </w:r>
          </w:p>
          <w:p w14:paraId="055ED58A">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2.具备站台列车接发及非正常情况下行车组织的能力</w:t>
            </w:r>
          </w:p>
          <w:p w14:paraId="5E48D0E1">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3.具备监控站内安全和按照岗位职责处理各类突发事件的能力</w:t>
            </w:r>
          </w:p>
          <w:p w14:paraId="1E7BFDB5">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4.具备正确使用和日常简单维护城市轨道交通车站终端设施设备的能力</w:t>
            </w:r>
          </w:p>
        </w:tc>
      </w:tr>
      <w:tr w14:paraId="3AEF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Merge w:val="continue"/>
            <w:vAlign w:val="center"/>
          </w:tcPr>
          <w:p w14:paraId="0C2AAF06">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p>
        </w:tc>
        <w:tc>
          <w:tcPr>
            <w:tcW w:w="3071" w:type="dxa"/>
            <w:gridSpan w:val="2"/>
            <w:vAlign w:val="center"/>
          </w:tcPr>
          <w:p w14:paraId="746A24AA">
            <w:pPr>
              <w:pStyle w:val="7"/>
              <w:spacing w:after="0"/>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遵循国家标准和行业标准</w:t>
            </w:r>
          </w:p>
        </w:tc>
        <w:tc>
          <w:tcPr>
            <w:tcW w:w="9143" w:type="dxa"/>
            <w:gridSpan w:val="3"/>
            <w:vAlign w:val="center"/>
          </w:tcPr>
          <w:p w14:paraId="08BBEE8F">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1.国家职业技能标准 城市轨道交通服务员（职业编码：4-02-01-07）</w:t>
            </w:r>
          </w:p>
          <w:p w14:paraId="595E260A">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2.国家职业技能标准 轨道交通调度员（职业编码：4-02-01-06）</w:t>
            </w:r>
          </w:p>
          <w:p w14:paraId="48B6E735">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3.《城市轨道交通运营管理规定（中华人民共和国交通运输部令2018 年第8 号）》</w:t>
            </w:r>
          </w:p>
          <w:p w14:paraId="5662FE11">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4.《城市轨道交通运营突发事件应急演练管理办法（交运规〔2019〕9 号）》</w:t>
            </w:r>
          </w:p>
          <w:p w14:paraId="434C05D8">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5.《城市轨道交通行车组织管理办法（交运规〔2019〕14 号）》</w:t>
            </w:r>
          </w:p>
          <w:p w14:paraId="1C9075B4">
            <w:pPr>
              <w:pStyle w:val="7"/>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6.《城市轨道交通客运组织与服务管理办法（交运规〔2019〕15 号）》</w:t>
            </w:r>
          </w:p>
        </w:tc>
      </w:tr>
      <w:tr w14:paraId="5A11F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652AADB4">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赛项赛场准备</w:t>
            </w:r>
          </w:p>
        </w:tc>
        <w:tc>
          <w:tcPr>
            <w:tcW w:w="12214" w:type="dxa"/>
            <w:gridSpan w:val="5"/>
            <w:vAlign w:val="center"/>
          </w:tcPr>
          <w:p w14:paraId="344FD870">
            <w:pPr>
              <w:pStyle w:val="7"/>
              <w:spacing w:after="0" w:line="360" w:lineRule="auto"/>
              <w:ind w:left="0" w:leftChars="0" w:firstLine="0" w:firstLineChars="0"/>
              <w:rPr>
                <w:rFonts w:ascii="仿宋_GB2312" w:hAnsi="仿宋_GB2312" w:eastAsia="仿宋_GB2312" w:cs="仿宋_GB2312"/>
                <w:color w:val="000000"/>
                <w:sz w:val="24"/>
              </w:rPr>
            </w:pPr>
            <w:r>
              <w:rPr>
                <w:rFonts w:hint="eastAsia" w:eastAsia="仿宋"/>
                <w:color w:val="000000"/>
                <w:sz w:val="24"/>
              </w:rPr>
              <w:t>1</w:t>
            </w:r>
            <w:r>
              <w:rPr>
                <w:rFonts w:hint="eastAsia" w:ascii="仿宋_GB2312" w:hAnsi="仿宋_GB2312" w:eastAsia="仿宋_GB2312" w:cs="仿宋_GB2312"/>
                <w:color w:val="000000"/>
                <w:sz w:val="24"/>
              </w:rPr>
              <w:t>.场地要求：场地面积不小于400平方米，应为地面平整、明亮、通风的室内场地。场地采光大于500lux，照明和通风良好，能提供稳定的水、电，以及应急备用电源。场地符合消防安全规定，现场消防器材和消防栓合格有效，应急照明设施状态合格，赛场明显位置张贴紧急疏散图。并有醒目的“安全出口”指示牌</w:t>
            </w:r>
          </w:p>
          <w:p w14:paraId="6FEA9B25">
            <w:pPr>
              <w:pStyle w:val="7"/>
              <w:spacing w:after="0" w:line="360" w:lineRule="auto"/>
              <w:ind w:left="0" w:leftChars="0" w:firstLine="0" w:firstLineChars="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2.区域安排：竞赛场地划分为检录区、竞赛操作区、裁判区、现场服务与技术支持区、休息区等区域，区域之间有明显标志或警示带</w:t>
            </w:r>
          </w:p>
          <w:p w14:paraId="63BC74E4">
            <w:pPr>
              <w:pStyle w:val="7"/>
              <w:spacing w:after="0" w:line="360" w:lineRule="auto"/>
              <w:ind w:left="0" w:leftChars="0" w:firstLine="0" w:firstLineChars="0"/>
              <w:rPr>
                <w:rFonts w:eastAsia="仿宋"/>
                <w:color w:val="000000"/>
                <w:sz w:val="24"/>
              </w:rPr>
            </w:pPr>
            <w:r>
              <w:rPr>
                <w:rFonts w:hint="eastAsia" w:ascii="仿宋_GB2312" w:hAnsi="仿宋_GB2312" w:eastAsia="仿宋_GB2312" w:cs="仿宋_GB2312"/>
                <w:color w:val="000000"/>
                <w:sz w:val="24"/>
              </w:rPr>
              <w:t>3.设备配置：竞赛场地需配备通信信号屏蔽仪、计时装置。每个工位配备独立控制并带有漏电保护装置的 220V（3A）单相交流电源、灭火器以及带录音功能的视频摄像装置，竞赛全程录音录像</w:t>
            </w:r>
          </w:p>
        </w:tc>
      </w:tr>
      <w:tr w14:paraId="7AE7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72" w:type="dxa"/>
            <w:vAlign w:val="center"/>
          </w:tcPr>
          <w:p w14:paraId="7272888C">
            <w:pPr>
              <w:pStyle w:val="7"/>
              <w:adjustRightInd w:val="0"/>
              <w:snapToGrid w:val="0"/>
              <w:spacing w:after="0"/>
              <w:ind w:left="0" w:leftChars="0" w:firstLine="0" w:firstLineChars="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注意事项</w:t>
            </w:r>
          </w:p>
        </w:tc>
        <w:tc>
          <w:tcPr>
            <w:tcW w:w="12214" w:type="dxa"/>
            <w:gridSpan w:val="5"/>
            <w:vAlign w:val="center"/>
          </w:tcPr>
          <w:p w14:paraId="2EC2E008">
            <w:pPr>
              <w:pStyle w:val="7"/>
              <w:spacing w:after="0"/>
              <w:ind w:left="0" w:leftChars="0" w:firstLine="0" w:firstLineChars="0"/>
              <w:rPr>
                <w:rFonts w:eastAsia="仿宋"/>
                <w:color w:val="000000"/>
                <w:sz w:val="24"/>
              </w:rPr>
            </w:pPr>
            <w:r>
              <w:rPr>
                <w:rFonts w:hint="eastAsia" w:ascii="仿宋_GB2312" w:hAnsi="仿宋_GB2312" w:eastAsia="仿宋_GB2312" w:cs="仿宋_GB2312"/>
                <w:color w:val="000000"/>
                <w:sz w:val="24"/>
              </w:rPr>
              <w:t>1.竞赛过程中遵守安全操作规范；2.模块1竞赛过程不能出现机外停车和晚点，否则视时长扣分</w:t>
            </w:r>
          </w:p>
        </w:tc>
      </w:tr>
    </w:tbl>
    <w:p w14:paraId="21E7002D">
      <w:pPr>
        <w:pStyle w:val="2"/>
        <w:ind w:firstLine="4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CC447A"/>
    <w:multiLevelType w:val="singleLevel"/>
    <w:tmpl w:val="73CC447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I5NTc5ZjFiNTBkYTU4MjE2M2JlODc4ZTgwYTIxOWIifQ=="/>
  </w:docVars>
  <w:rsids>
    <w:rsidRoot w:val="4CC410F7"/>
    <w:rsid w:val="00002FB4"/>
    <w:rsid w:val="0011508A"/>
    <w:rsid w:val="006A029C"/>
    <w:rsid w:val="006C7D00"/>
    <w:rsid w:val="008E0CC7"/>
    <w:rsid w:val="0092626B"/>
    <w:rsid w:val="009F59D6"/>
    <w:rsid w:val="00A47326"/>
    <w:rsid w:val="00D8311B"/>
    <w:rsid w:val="00E13E57"/>
    <w:rsid w:val="00EA625F"/>
    <w:rsid w:val="00ED5DE7"/>
    <w:rsid w:val="00F710C6"/>
    <w:rsid w:val="03AD58A1"/>
    <w:rsid w:val="04124F7F"/>
    <w:rsid w:val="0B791510"/>
    <w:rsid w:val="10315674"/>
    <w:rsid w:val="122755E6"/>
    <w:rsid w:val="151A1B4E"/>
    <w:rsid w:val="15E53174"/>
    <w:rsid w:val="18FD7EFA"/>
    <w:rsid w:val="19D84FCE"/>
    <w:rsid w:val="1A390B3D"/>
    <w:rsid w:val="1A587EBD"/>
    <w:rsid w:val="1BDB17FA"/>
    <w:rsid w:val="1C0D4B3A"/>
    <w:rsid w:val="1D2D5631"/>
    <w:rsid w:val="20B372D7"/>
    <w:rsid w:val="28AA60CE"/>
    <w:rsid w:val="2C1811C5"/>
    <w:rsid w:val="31943A79"/>
    <w:rsid w:val="32492231"/>
    <w:rsid w:val="34674B7F"/>
    <w:rsid w:val="355377A7"/>
    <w:rsid w:val="36FD4E3D"/>
    <w:rsid w:val="3A8D180E"/>
    <w:rsid w:val="3DD07BE6"/>
    <w:rsid w:val="40067E5E"/>
    <w:rsid w:val="417B430D"/>
    <w:rsid w:val="41F72D3D"/>
    <w:rsid w:val="425208DF"/>
    <w:rsid w:val="426F7F53"/>
    <w:rsid w:val="42D54B06"/>
    <w:rsid w:val="43D30430"/>
    <w:rsid w:val="44B87626"/>
    <w:rsid w:val="463348DD"/>
    <w:rsid w:val="46366A55"/>
    <w:rsid w:val="4CC410F7"/>
    <w:rsid w:val="4F1771E4"/>
    <w:rsid w:val="4F530677"/>
    <w:rsid w:val="50357D7D"/>
    <w:rsid w:val="51E639B1"/>
    <w:rsid w:val="52530BF0"/>
    <w:rsid w:val="53910C0C"/>
    <w:rsid w:val="552F56E3"/>
    <w:rsid w:val="56861332"/>
    <w:rsid w:val="58B370B1"/>
    <w:rsid w:val="593B28A8"/>
    <w:rsid w:val="5A235A65"/>
    <w:rsid w:val="601479AF"/>
    <w:rsid w:val="61557E7E"/>
    <w:rsid w:val="65A768B8"/>
    <w:rsid w:val="66FD5A3D"/>
    <w:rsid w:val="689511B2"/>
    <w:rsid w:val="68C44C33"/>
    <w:rsid w:val="6A42336B"/>
    <w:rsid w:val="6A5E2AE2"/>
    <w:rsid w:val="6C2A6D62"/>
    <w:rsid w:val="6C7156A1"/>
    <w:rsid w:val="716C4DA3"/>
    <w:rsid w:val="78615304"/>
    <w:rsid w:val="7CB719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kern w:val="0"/>
      <w:sz w:val="20"/>
    </w:rPr>
  </w:style>
  <w:style w:type="paragraph" w:styleId="3">
    <w:name w:val="Body Text"/>
    <w:basedOn w:val="1"/>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unhideWhenUsed/>
    <w:qFormat/>
    <w:uiPriority w:val="99"/>
    <w:pPr>
      <w:ind w:firstLine="420" w:firstLineChars="200"/>
    </w:p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Char"/>
    <w:basedOn w:val="9"/>
    <w:link w:val="6"/>
    <w:qFormat/>
    <w:uiPriority w:val="0"/>
    <w:rPr>
      <w:rFonts w:ascii="Calibri" w:hAnsi="Calibri"/>
      <w:kern w:val="2"/>
      <w:sz w:val="18"/>
      <w:szCs w:val="18"/>
    </w:rPr>
  </w:style>
  <w:style w:type="character" w:customStyle="1" w:styleId="12">
    <w:name w:val="页脚 Char"/>
    <w:basedOn w:val="9"/>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2820</Words>
  <Characters>3072</Characters>
  <Lines>28</Lines>
  <Paragraphs>8</Paragraphs>
  <TotalTime>2</TotalTime>
  <ScaleCrop>false</ScaleCrop>
  <LinksUpToDate>false</LinksUpToDate>
  <CharactersWithSpaces>3091</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2023-04-13T14:00:00Z</dcterms:created>
  <dc:creator>61241</dc:creator>
  <cp:lastModifiedBy>牛牛妈</cp:lastModifiedBy>
  <dcterms:modified xsi:type="dcterms:W3CDTF">2024-11-08T05:10:35Z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B8F40EAC18BE4C8C9EC8997FCDFA8860_13</vt:lpwstr>
  </property>
</Properties>
</file>