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5B399">
      <w:pPr>
        <w:snapToGrid w:val="0"/>
        <w:spacing w:before="159" w:beforeLines="50" w:after="159" w:afterLines="50" w:line="288" w:lineRule="auto"/>
        <w:contextualSpacing/>
        <w:jc w:val="left"/>
        <w:rPr>
          <w:rFonts w:hint="eastAsia" w:ascii="仿宋" w:hAnsi="仿宋" w:eastAsia="仿宋" w:cs="仿宋"/>
          <w:b/>
          <w:sz w:val="32"/>
          <w:szCs w:val="24"/>
          <w:highlight w:val="none"/>
        </w:rPr>
      </w:pPr>
    </w:p>
    <w:p w14:paraId="5BA651A7">
      <w:pPr>
        <w:pStyle w:val="27"/>
        <w:spacing w:before="0" w:after="0" w:line="720" w:lineRule="exact"/>
        <w:jc w:val="center"/>
        <w:outlineLvl w:val="0"/>
        <w:rPr>
          <w:rFonts w:hint="eastAsia" w:ascii="等线" w:hAnsi="等线" w:eastAsia="仿宋" w:cs="仿宋"/>
          <w:b/>
          <w:bCs/>
          <w:color w:val="000000"/>
          <w:sz w:val="30"/>
          <w:szCs w:val="30"/>
          <w:highlight w:val="none"/>
          <w:lang w:val="en-US" w:eastAsia="zh-CN"/>
        </w:rPr>
      </w:pPr>
      <w:r>
        <w:rPr>
          <w:rFonts w:hint="eastAsia" w:ascii="等线" w:hAnsi="等线" w:eastAsia="仿宋" w:cs="仿宋"/>
          <w:b/>
          <w:bCs/>
          <w:color w:val="000000"/>
          <w:sz w:val="30"/>
          <w:szCs w:val="30"/>
          <w:highlight w:val="none"/>
          <w:lang w:eastAsia="zh-CN"/>
        </w:rPr>
        <w:t>河北省职业院校</w:t>
      </w:r>
      <w:r>
        <w:rPr>
          <w:rFonts w:hint="eastAsia" w:ascii="等线" w:hAnsi="等线" w:eastAsia="仿宋" w:cs="仿宋"/>
          <w:b/>
          <w:bCs/>
          <w:color w:val="000000"/>
          <w:sz w:val="30"/>
          <w:szCs w:val="30"/>
          <w:highlight w:val="none"/>
          <w:lang w:val="en-US" w:eastAsia="zh-CN"/>
        </w:rPr>
        <w:t>技能大赛</w:t>
      </w:r>
    </w:p>
    <w:p w14:paraId="68979079">
      <w:pPr>
        <w:pStyle w:val="27"/>
        <w:spacing w:before="0" w:after="0" w:line="720" w:lineRule="exact"/>
        <w:jc w:val="center"/>
        <w:outlineLvl w:val="0"/>
        <w:rPr>
          <w:rFonts w:hint="eastAsia" w:ascii="等线" w:hAnsi="等线" w:eastAsia="仿宋" w:cs="仿宋"/>
          <w:b/>
          <w:bCs/>
          <w:color w:val="000000"/>
          <w:sz w:val="30"/>
          <w:szCs w:val="30"/>
          <w:highlight w:val="none"/>
          <w:lang w:eastAsia="zh-CN"/>
        </w:rPr>
      </w:pPr>
      <w:r>
        <w:rPr>
          <w:rFonts w:hint="eastAsia" w:ascii="等线" w:hAnsi="等线" w:eastAsia="仿宋" w:cs="仿宋"/>
          <w:b/>
          <w:bCs/>
          <w:color w:val="000000"/>
          <w:sz w:val="30"/>
          <w:szCs w:val="30"/>
          <w:highlight w:val="none"/>
          <w:lang w:eastAsia="zh-CN"/>
        </w:rPr>
        <w:t>高职组“轨道车辆技术”赛项规程</w:t>
      </w:r>
    </w:p>
    <w:p w14:paraId="699E64D0">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0"/>
        <w:rPr>
          <w:rFonts w:hint="eastAsia" w:ascii="黑体" w:hAnsi="黑体" w:eastAsia="黑体" w:cs="黑体"/>
          <w:b/>
          <w:bCs/>
          <w:color w:val="000000"/>
          <w:sz w:val="24"/>
          <w:szCs w:val="24"/>
          <w:highlight w:val="none"/>
        </w:rPr>
      </w:pPr>
      <w:r>
        <w:rPr>
          <w:rFonts w:hint="eastAsia" w:ascii="黑体" w:hAnsi="黑体" w:eastAsia="黑体" w:cs="黑体"/>
          <w:b/>
          <w:bCs/>
          <w:color w:val="000000"/>
          <w:sz w:val="24"/>
          <w:szCs w:val="24"/>
          <w:highlight w:val="none"/>
        </w:rPr>
        <w:t>一、比赛的职业</w:t>
      </w:r>
      <w:r>
        <w:rPr>
          <w:rFonts w:hint="eastAsia" w:ascii="黑体" w:hAnsi="黑体" w:eastAsia="黑体" w:cs="黑体"/>
          <w:b/>
          <w:bCs/>
          <w:color w:val="000000"/>
          <w:sz w:val="24"/>
          <w:szCs w:val="24"/>
          <w:highlight w:val="none"/>
          <w:lang w:val="en-US" w:eastAsia="zh-CN"/>
        </w:rPr>
        <w:t>技能</w:t>
      </w:r>
      <w:r>
        <w:rPr>
          <w:rFonts w:hint="eastAsia" w:ascii="黑体" w:hAnsi="黑体" w:eastAsia="黑体" w:cs="黑体"/>
          <w:b/>
          <w:bCs/>
          <w:color w:val="000000"/>
          <w:sz w:val="24"/>
          <w:szCs w:val="24"/>
          <w:highlight w:val="none"/>
        </w:rPr>
        <w:t>、标准、形式和内容</w:t>
      </w:r>
    </w:p>
    <w:p w14:paraId="0EF49612">
      <w:pPr>
        <w:spacing w:line="360" w:lineRule="auto"/>
        <w:ind w:firstLine="470" w:firstLineChars="195"/>
        <w:rPr>
          <w:rFonts w:hint="eastAsia" w:ascii="等线" w:hAnsi="等线" w:eastAsia="仿宋_GB2312" w:cs="仿宋_GB2312"/>
          <w:b/>
          <w:bCs/>
          <w:color w:val="000000"/>
          <w:sz w:val="24"/>
          <w:szCs w:val="24"/>
          <w:highlight w:val="none"/>
          <w:lang w:val="en-US" w:eastAsia="zh-CN"/>
        </w:rPr>
      </w:pPr>
      <w:r>
        <w:rPr>
          <w:rFonts w:hint="eastAsia" w:ascii="等线" w:hAnsi="等线" w:eastAsia="仿宋_GB2312" w:cs="仿宋_GB2312"/>
          <w:b/>
          <w:bCs/>
          <w:color w:val="000000"/>
          <w:sz w:val="24"/>
          <w:szCs w:val="24"/>
          <w:highlight w:val="none"/>
        </w:rPr>
        <w:t>（一）职业</w:t>
      </w:r>
      <w:r>
        <w:rPr>
          <w:rFonts w:hint="eastAsia" w:ascii="等线" w:hAnsi="等线" w:eastAsia="仿宋_GB2312" w:cs="仿宋_GB2312"/>
          <w:b/>
          <w:bCs/>
          <w:color w:val="000000"/>
          <w:sz w:val="24"/>
          <w:szCs w:val="24"/>
          <w:highlight w:val="none"/>
          <w:lang w:val="en-US" w:eastAsia="zh-CN"/>
        </w:rPr>
        <w:t>技能</w:t>
      </w:r>
    </w:p>
    <w:p w14:paraId="10424609">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赛项面向轨道车辆装备制造、运用与检修领域，根据车辆制造、运用与检修实际需要及相关作业流程，掌握车辆装配与检修设备、工器具、仪表使用、安全防护方法，具备协作完成轨道车辆装配、运用和检修作业技能，包含具体典型工作任务：整车检查、试验、故障判断及处理；受电弓等电气设备的装配、安装布线、检修、维护、调试、故障判断及处理；客室车门等机械系统的装配、检修、维护、调试、故障判断处理及控制电路设计。通过该赛项的技术平台承载的实训和考核内容，可培养选手掌握轨道车辆性能及装配、检修、维护、试验、电路设计、故障处理标准和操作规范，以及良好的故障判断及处理能力。选手应具备扎实的车辆装配、调试与检修知识，重点掌握作业防护、车辆状态功能检查、维护保养、填写维修记录，掌握故障处理流程、报单填写、反馈方法等。</w:t>
      </w:r>
    </w:p>
    <w:p w14:paraId="40F02D8F">
      <w:pPr>
        <w:spacing w:line="360" w:lineRule="auto"/>
        <w:ind w:firstLine="470" w:firstLineChars="195"/>
        <w:rPr>
          <w:rFonts w:hint="eastAsia" w:ascii="等线" w:hAnsi="等线" w:eastAsia="仿宋_GB2312" w:cs="仿宋_GB2312"/>
          <w:b/>
          <w:bCs/>
          <w:color w:val="000000"/>
          <w:sz w:val="24"/>
          <w:szCs w:val="24"/>
          <w:highlight w:val="none"/>
        </w:rPr>
      </w:pPr>
      <w:r>
        <w:rPr>
          <w:rFonts w:hint="eastAsia" w:ascii="等线" w:hAnsi="等线" w:eastAsia="仿宋_GB2312" w:cs="仿宋_GB2312"/>
          <w:b/>
          <w:bCs/>
          <w:color w:val="000000"/>
          <w:sz w:val="24"/>
          <w:szCs w:val="24"/>
          <w:highlight w:val="none"/>
        </w:rPr>
        <w:t>（二）标准</w:t>
      </w:r>
    </w:p>
    <w:p w14:paraId="5D428E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等线" w:hAnsi="等线" w:eastAsia="仿宋_GB2312" w:cs="仿宋_GB2312"/>
          <w:color w:val="000000"/>
          <w:sz w:val="24"/>
          <w:szCs w:val="24"/>
          <w:highlight w:val="none"/>
          <w:lang w:eastAsia="zh-CN"/>
        </w:rPr>
      </w:pPr>
      <w:r>
        <w:rPr>
          <w:rFonts w:hint="eastAsia" w:ascii="等线" w:hAnsi="等线" w:eastAsia="仿宋_GB2312" w:cs="仿宋_GB2312"/>
          <w:color w:val="000000"/>
          <w:sz w:val="24"/>
          <w:szCs w:val="24"/>
          <w:highlight w:val="none"/>
        </w:rPr>
        <w:t>赛项应符合</w:t>
      </w:r>
      <w:bookmarkStart w:id="0" w:name="_Toc491101540"/>
      <w:bookmarkStart w:id="1" w:name="_Toc522008101"/>
      <w:r>
        <w:rPr>
          <w:rFonts w:hint="eastAsia" w:ascii="等线" w:hAnsi="等线" w:eastAsia="仿宋_GB2312" w:cs="仿宋_GB2312"/>
          <w:color w:val="000000"/>
          <w:sz w:val="24"/>
          <w:szCs w:val="24"/>
          <w:highlight w:val="none"/>
        </w:rPr>
        <w:t>行业</w:t>
      </w:r>
      <w:r>
        <w:rPr>
          <w:rFonts w:hint="eastAsia" w:ascii="等线" w:hAnsi="等线" w:eastAsia="仿宋_GB2312" w:cs="仿宋_GB2312"/>
          <w:color w:val="000000"/>
          <w:sz w:val="24"/>
          <w:szCs w:val="24"/>
          <w:highlight w:val="none"/>
          <w:lang w:val="en-US" w:eastAsia="zh-CN"/>
        </w:rPr>
        <w:t>以及</w:t>
      </w:r>
      <w:r>
        <w:rPr>
          <w:rFonts w:hint="eastAsia" w:ascii="等线" w:hAnsi="等线" w:eastAsia="仿宋_GB2312" w:cs="仿宋_GB2312"/>
          <w:color w:val="000000"/>
          <w:sz w:val="24"/>
          <w:szCs w:val="24"/>
          <w:highlight w:val="none"/>
        </w:rPr>
        <w:t>职业技术标准</w:t>
      </w:r>
      <w:bookmarkEnd w:id="0"/>
      <w:bookmarkEnd w:id="1"/>
      <w:r>
        <w:rPr>
          <w:rFonts w:hint="eastAsia" w:ascii="等线" w:hAnsi="等线" w:eastAsia="仿宋_GB2312" w:cs="仿宋_GB2312"/>
          <w:color w:val="000000"/>
          <w:sz w:val="24"/>
          <w:szCs w:val="24"/>
          <w:highlight w:val="none"/>
          <w:lang w:eastAsia="zh-CN"/>
        </w:rPr>
        <w:t>：</w:t>
      </w:r>
    </w:p>
    <w:p w14:paraId="4F0A9798">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1．G2/T 7928-2003 地铁车辆通用技术条件</w:t>
      </w:r>
    </w:p>
    <w:p w14:paraId="5D5B29F8">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2．G2/T 26718-2011 城市轨道交通安全防范系统技术要求</w:t>
      </w:r>
    </w:p>
    <w:p w14:paraId="2A313062">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3．G2/T 34571-2017 轨道交通机车车辆布线规则</w:t>
      </w:r>
    </w:p>
    <w:p w14:paraId="224D74E0">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4．G2/T 14894-2005 城市轨道交通车辆组装后的检查与试验规则</w:t>
      </w:r>
    </w:p>
    <w:p w14:paraId="7C6296AC">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5．G2/T 21562-2008 轨道交通可靠性、可用性、可维修性和安全性规范及示例</w:t>
      </w:r>
    </w:p>
    <w:p w14:paraId="6565E4C3">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6．G2/T 37486-2019 城市轨道交通设施设备分类与代码</w:t>
      </w:r>
    </w:p>
    <w:p w14:paraId="4FDA973E">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7．G2 50490-2016</w:t>
      </w:r>
      <w:r>
        <w:rPr>
          <w:rFonts w:hint="eastAsia" w:ascii="仿宋_GB2312" w:hAnsi="仿宋_GB2312" w:eastAsia="仿宋_GB2312" w:cs="仿宋_GB2312"/>
          <w:spacing w:val="-8"/>
          <w:sz w:val="24"/>
          <w:szCs w:val="24"/>
          <w:highlight w:val="none"/>
        </w:rPr>
        <w:tab/>
      </w:r>
      <w:r>
        <w:rPr>
          <w:rFonts w:hint="eastAsia" w:ascii="仿宋_GB2312" w:hAnsi="仿宋_GB2312" w:eastAsia="仿宋_GB2312" w:cs="仿宋_GB2312"/>
          <w:spacing w:val="-8"/>
          <w:sz w:val="24"/>
          <w:szCs w:val="24"/>
          <w:highlight w:val="none"/>
        </w:rPr>
        <w:t>《城市轨道交通技术规范》</w:t>
      </w:r>
    </w:p>
    <w:p w14:paraId="23D489DE">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8．G2/T 30012-2013</w:t>
      </w:r>
      <w:r>
        <w:rPr>
          <w:rFonts w:hint="eastAsia" w:ascii="仿宋_GB2312" w:hAnsi="仿宋_GB2312" w:eastAsia="仿宋_GB2312" w:cs="仿宋_GB2312"/>
          <w:spacing w:val="-8"/>
          <w:sz w:val="24"/>
          <w:szCs w:val="24"/>
          <w:highlight w:val="none"/>
        </w:rPr>
        <w:tab/>
      </w:r>
      <w:r>
        <w:rPr>
          <w:rFonts w:hint="eastAsia" w:ascii="仿宋_GB2312" w:hAnsi="仿宋_GB2312" w:eastAsia="仿宋_GB2312" w:cs="仿宋_GB2312"/>
          <w:spacing w:val="-8"/>
          <w:sz w:val="24"/>
          <w:szCs w:val="24"/>
          <w:highlight w:val="none"/>
        </w:rPr>
        <w:t>《城市轨道交通运营管理规范》</w:t>
      </w:r>
    </w:p>
    <w:p w14:paraId="77CA8DF5">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9．G2 50054-2011 低压配电设计规范</w:t>
      </w:r>
    </w:p>
    <w:p w14:paraId="2B68AD6A">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10．G2 50052-2009 供配电系统设计规范</w:t>
      </w:r>
    </w:p>
    <w:p w14:paraId="0B71EAD6">
      <w:pPr>
        <w:spacing w:line="360" w:lineRule="auto"/>
        <w:ind w:firstLine="448" w:firstLineChars="200"/>
        <w:rPr>
          <w:rFonts w:hint="eastAsia"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rPr>
        <w:t>11．LD/T 81.1-2006 职业技能实训和鉴定设备技术规范</w:t>
      </w:r>
    </w:p>
    <w:p w14:paraId="4DDC769C">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lang w:val="en-US" w:eastAsia="zh-CN"/>
        </w:rPr>
        <w:t>12</w:t>
      </w:r>
      <w:r>
        <w:rPr>
          <w:rFonts w:hint="eastAsia" w:ascii="仿宋_GB2312" w:hAnsi="仿宋_GB2312" w:eastAsia="仿宋_GB2312" w:cs="仿宋_GB2312"/>
          <w:spacing w:val="-8"/>
          <w:sz w:val="24"/>
          <w:szCs w:val="24"/>
          <w:highlight w:val="none"/>
        </w:rPr>
        <w:t>．1+X证书《城市轨道交通车辆维护和保养》职业标准</w:t>
      </w:r>
    </w:p>
    <w:p w14:paraId="2274EEC6">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lang w:val="en-US" w:eastAsia="zh-CN"/>
        </w:rPr>
        <w:t>13</w:t>
      </w:r>
      <w:r>
        <w:rPr>
          <w:rFonts w:hint="eastAsia" w:ascii="仿宋_GB2312" w:hAnsi="仿宋_GB2312" w:eastAsia="仿宋_GB2312" w:cs="仿宋_GB2312"/>
          <w:spacing w:val="-8"/>
          <w:sz w:val="24"/>
          <w:szCs w:val="24"/>
          <w:highlight w:val="none"/>
        </w:rPr>
        <w:t>．轨道交通运营企业车辆检修标准</w:t>
      </w:r>
    </w:p>
    <w:p w14:paraId="55F6E51E">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lang w:val="en-US" w:eastAsia="zh-CN"/>
        </w:rPr>
        <w:t>14</w:t>
      </w:r>
      <w:r>
        <w:rPr>
          <w:rFonts w:hint="eastAsia" w:ascii="仿宋_GB2312" w:hAnsi="仿宋_GB2312" w:eastAsia="仿宋_GB2312" w:cs="仿宋_GB2312"/>
          <w:spacing w:val="-8"/>
          <w:sz w:val="24"/>
          <w:szCs w:val="24"/>
          <w:highlight w:val="none"/>
        </w:rPr>
        <w:t>．轨道交通运营企业车辆检修、列车驾驶职业技能标准</w:t>
      </w:r>
    </w:p>
    <w:p w14:paraId="2000907F">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lang w:val="en-US" w:eastAsia="zh-CN"/>
        </w:rPr>
        <w:t>15</w:t>
      </w:r>
      <w:r>
        <w:rPr>
          <w:rFonts w:hint="eastAsia" w:ascii="仿宋_GB2312" w:hAnsi="仿宋_GB2312" w:eastAsia="仿宋_GB2312" w:cs="仿宋_GB2312"/>
          <w:spacing w:val="-8"/>
          <w:sz w:val="24"/>
          <w:szCs w:val="24"/>
          <w:highlight w:val="none"/>
        </w:rPr>
        <w:t>．《国家职业技能标准-城市轨道交通列车司机》</w:t>
      </w:r>
    </w:p>
    <w:p w14:paraId="09F501C0">
      <w:pPr>
        <w:spacing w:line="360" w:lineRule="auto"/>
        <w:ind w:firstLine="448" w:firstLineChars="200"/>
        <w:rPr>
          <w:rFonts w:ascii="仿宋_GB2312" w:hAnsi="仿宋_GB2312" w:eastAsia="仿宋_GB2312" w:cs="仿宋_GB2312"/>
          <w:spacing w:val="-8"/>
          <w:sz w:val="24"/>
          <w:szCs w:val="24"/>
          <w:highlight w:val="none"/>
        </w:rPr>
      </w:pPr>
      <w:r>
        <w:rPr>
          <w:rFonts w:hint="eastAsia" w:ascii="仿宋_GB2312" w:hAnsi="仿宋_GB2312" w:eastAsia="仿宋_GB2312" w:cs="仿宋_GB2312"/>
          <w:spacing w:val="-8"/>
          <w:sz w:val="24"/>
          <w:szCs w:val="24"/>
          <w:highlight w:val="none"/>
          <w:lang w:val="en-US" w:eastAsia="zh-CN"/>
        </w:rPr>
        <w:t>16</w:t>
      </w:r>
      <w:r>
        <w:rPr>
          <w:rFonts w:hint="eastAsia" w:ascii="仿宋_GB2312" w:hAnsi="仿宋_GB2312" w:eastAsia="仿宋_GB2312" w:cs="仿宋_GB2312"/>
          <w:spacing w:val="-8"/>
          <w:sz w:val="24"/>
          <w:szCs w:val="24"/>
          <w:highlight w:val="none"/>
        </w:rPr>
        <w:t>．《国家职业技能标准-电力机车司机》</w:t>
      </w:r>
    </w:p>
    <w:p w14:paraId="53BBF921">
      <w:pPr>
        <w:spacing w:line="360" w:lineRule="auto"/>
        <w:ind w:firstLine="448" w:firstLineChars="200"/>
        <w:rPr>
          <w:highlight w:val="none"/>
        </w:rPr>
      </w:pPr>
      <w:r>
        <w:rPr>
          <w:rFonts w:hint="eastAsia" w:ascii="仿宋_GB2312" w:hAnsi="仿宋_GB2312" w:eastAsia="仿宋_GB2312" w:cs="仿宋_GB2312"/>
          <w:spacing w:val="-8"/>
          <w:sz w:val="24"/>
          <w:szCs w:val="24"/>
          <w:highlight w:val="none"/>
          <w:lang w:val="en-US" w:eastAsia="zh-CN"/>
        </w:rPr>
        <w:t>17</w:t>
      </w:r>
      <w:r>
        <w:rPr>
          <w:rFonts w:hint="eastAsia" w:ascii="仿宋_GB2312" w:hAnsi="仿宋_GB2312" w:eastAsia="仿宋_GB2312" w:cs="仿宋_GB2312"/>
          <w:spacing w:val="-8"/>
          <w:sz w:val="24"/>
          <w:szCs w:val="24"/>
          <w:highlight w:val="none"/>
        </w:rPr>
        <w:t>．《国家职业技能标准-内燃机车司机》</w:t>
      </w:r>
    </w:p>
    <w:p w14:paraId="1D6A3F44">
      <w:pPr>
        <w:spacing w:line="360" w:lineRule="auto"/>
        <w:ind w:firstLine="470" w:firstLineChars="195"/>
        <w:rPr>
          <w:rFonts w:hint="eastAsia" w:ascii="等线" w:hAnsi="等线" w:eastAsia="仿宋_GB2312" w:cs="仿宋_GB2312"/>
          <w:b/>
          <w:bCs/>
          <w:color w:val="000000"/>
          <w:sz w:val="24"/>
          <w:szCs w:val="24"/>
          <w:highlight w:val="none"/>
        </w:rPr>
      </w:pPr>
      <w:r>
        <w:rPr>
          <w:rFonts w:hint="eastAsia" w:ascii="等线" w:hAnsi="等线" w:eastAsia="仿宋_GB2312" w:cs="仿宋_GB2312"/>
          <w:b/>
          <w:bCs/>
          <w:color w:val="000000"/>
          <w:sz w:val="24"/>
          <w:szCs w:val="24"/>
          <w:highlight w:val="none"/>
        </w:rPr>
        <w:t>（三）比赛形式</w:t>
      </w:r>
    </w:p>
    <w:p w14:paraId="67E351B1">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1.竞赛形式为线下比赛。</w:t>
      </w:r>
    </w:p>
    <w:p w14:paraId="12886B69">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2.本赛项为团体赛，每个参赛队由2名选手（1名教师，1名学生，教师为场上队长）组成，不允许跨校组队。</w:t>
      </w:r>
    </w:p>
    <w:p w14:paraId="7872403A">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3.参赛选手</w:t>
      </w:r>
      <w:r>
        <w:rPr>
          <w:rFonts w:hint="eastAsia" w:ascii="仿宋_GB2312" w:hAnsi="仿宋_GB2312" w:eastAsia="仿宋_GB2312" w:cs="仿宋_GB2312"/>
          <w:sz w:val="24"/>
          <w:szCs w:val="24"/>
          <w:highlight w:val="none"/>
          <w:lang w:eastAsia="zh-CN"/>
        </w:rPr>
        <w:t>为学生的，须为</w:t>
      </w:r>
      <w:r>
        <w:rPr>
          <w:rFonts w:hint="eastAsia" w:ascii="仿宋_GB2312" w:hAnsi="仿宋_GB2312" w:eastAsia="仿宋_GB2312" w:cs="仿宋_GB2312"/>
          <w:sz w:val="24"/>
          <w:szCs w:val="24"/>
          <w:highlight w:val="none"/>
        </w:rPr>
        <w:t>普通高等职业学校全日制在籍学生</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参赛选手</w:t>
      </w:r>
      <w:r>
        <w:rPr>
          <w:rFonts w:hint="eastAsia" w:ascii="仿宋_GB2312" w:hAnsi="仿宋_GB2312" w:eastAsia="仿宋_GB2312" w:cs="仿宋_GB2312"/>
          <w:sz w:val="24"/>
          <w:szCs w:val="24"/>
          <w:highlight w:val="none"/>
          <w:lang w:eastAsia="zh-CN"/>
        </w:rPr>
        <w:t>为教师的，须为职业院校教龄</w:t>
      </w:r>
      <w:r>
        <w:rPr>
          <w:rFonts w:hint="eastAsia" w:ascii="仿宋_GB2312" w:hAnsi="仿宋_GB2312" w:eastAsia="仿宋_GB2312" w:cs="仿宋_GB2312"/>
          <w:sz w:val="24"/>
          <w:szCs w:val="24"/>
          <w:highlight w:val="none"/>
          <w:lang w:val="en-US" w:eastAsia="zh-CN"/>
        </w:rPr>
        <w:t>2年以上（含）的在职</w:t>
      </w:r>
      <w:r>
        <w:rPr>
          <w:rFonts w:hint="eastAsia" w:ascii="仿宋_GB2312" w:hAnsi="仿宋_GB2312" w:eastAsia="仿宋_GB2312" w:cs="仿宋_GB2312"/>
          <w:sz w:val="24"/>
          <w:szCs w:val="24"/>
          <w:highlight w:val="none"/>
        </w:rPr>
        <w:t>教师。</w:t>
      </w:r>
      <w:r>
        <w:rPr>
          <w:rFonts w:hint="eastAsia" w:ascii="仿宋_GB2312" w:hAnsi="仿宋_GB2312" w:eastAsia="仿宋_GB2312" w:cs="仿宋_GB2312"/>
          <w:sz w:val="24"/>
          <w:szCs w:val="24"/>
          <w:highlight w:val="none"/>
          <w:lang w:eastAsia="zh-CN"/>
        </w:rPr>
        <w:t>凡</w:t>
      </w:r>
      <w:r>
        <w:rPr>
          <w:rFonts w:hint="eastAsia" w:ascii="仿宋_GB2312" w:hAnsi="仿宋_GB2312" w:eastAsia="仿宋_GB2312" w:cs="仿宋_GB2312"/>
          <w:sz w:val="24"/>
          <w:szCs w:val="24"/>
          <w:highlight w:val="none"/>
        </w:rPr>
        <w:t>在往届全国职业院校技能大赛中获一等奖的选手，不能再参加今年同一专业类赛项的比赛。</w:t>
      </w:r>
    </w:p>
    <w:p w14:paraId="1607A2CA">
      <w:pPr>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4.参赛选手获得确认后不得随意更换。如备赛过程中，因故更换参赛选手或指导教师，须由学校于相应赛项开赛5 个工作日之前出具书面说明，经大赛组委会办公室核实后予以更换。竞赛开始后，参赛队不得更换参赛选手，若有参赛队员缺席，则视为自动放弃比赛。</w:t>
      </w:r>
    </w:p>
    <w:p w14:paraId="0E339790">
      <w:pPr>
        <w:spacing w:line="288" w:lineRule="auto"/>
        <w:ind w:firstLine="482" w:firstLineChars="200"/>
        <w:contextualSpacing/>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（四）比赛内容</w:t>
      </w:r>
    </w:p>
    <w:p w14:paraId="13047136">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本赛项包含</w:t>
      </w:r>
      <w:r>
        <w:rPr>
          <w:rFonts w:hint="eastAsia" w:ascii="仿宋_GB2312" w:hAnsi="仿宋_GB2312" w:eastAsia="仿宋_GB2312" w:cs="仿宋_GB2312"/>
          <w:sz w:val="24"/>
          <w:szCs w:val="24"/>
          <w:highlight w:val="none"/>
          <w:lang w:eastAsia="zh-CN"/>
        </w:rPr>
        <w:t>两</w:t>
      </w:r>
      <w:r>
        <w:rPr>
          <w:rFonts w:hint="eastAsia" w:ascii="仿宋_GB2312" w:hAnsi="仿宋_GB2312" w:eastAsia="仿宋_GB2312" w:cs="仿宋_GB2312"/>
          <w:sz w:val="24"/>
          <w:szCs w:val="24"/>
          <w:highlight w:val="none"/>
        </w:rPr>
        <w:t>个模块：模块1列车整车检查与试验；模块2受电弓的安装与调试</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涵盖轨道车辆整车及部件外观检查维护与试验、控制电路设计与安装检测、设备参数调节与整定、机械部件拆卸与安装、系统功能调试、故障排查与处理等内容，综合考查参赛选手轨道车辆技术的检修作业能力。</w:t>
      </w:r>
    </w:p>
    <w:p w14:paraId="37E5750F">
      <w:pPr>
        <w:spacing w:line="360" w:lineRule="auto"/>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模块1列车整车检查与试验成绩占比</w:t>
      </w:r>
      <w:r>
        <w:rPr>
          <w:rFonts w:hint="eastAsia" w:ascii="仿宋_GB2312" w:hAnsi="仿宋_GB2312" w:eastAsia="仿宋_GB2312" w:cs="仿宋_GB2312"/>
          <w:sz w:val="24"/>
          <w:szCs w:val="24"/>
          <w:highlight w:val="none"/>
          <w:lang w:val="en-US" w:eastAsia="zh-CN"/>
        </w:rPr>
        <w:t>50</w:t>
      </w:r>
      <w:r>
        <w:rPr>
          <w:rFonts w:hint="eastAsia" w:ascii="仿宋_GB2312" w:hAnsi="仿宋_GB2312" w:eastAsia="仿宋_GB2312" w:cs="仿宋_GB2312"/>
          <w:sz w:val="24"/>
          <w:szCs w:val="24"/>
          <w:highlight w:val="none"/>
        </w:rPr>
        <w:t>%，以车辆日常检查、电气功能试验为考核重点；模块2受电弓的安装与调试成绩占比</w:t>
      </w:r>
      <w:r>
        <w:rPr>
          <w:rFonts w:hint="eastAsia" w:ascii="仿宋_GB2312" w:hAnsi="仿宋_GB2312" w:eastAsia="仿宋_GB2312" w:cs="仿宋_GB2312"/>
          <w:sz w:val="24"/>
          <w:szCs w:val="24"/>
          <w:highlight w:val="none"/>
          <w:lang w:val="en-US" w:eastAsia="zh-CN"/>
        </w:rPr>
        <w:t>50</w:t>
      </w:r>
      <w:r>
        <w:rPr>
          <w:rFonts w:hint="eastAsia" w:ascii="仿宋_GB2312" w:hAnsi="仿宋_GB2312" w:eastAsia="仿宋_GB2312" w:cs="仿宋_GB2312"/>
          <w:sz w:val="24"/>
          <w:szCs w:val="24"/>
          <w:highlight w:val="none"/>
        </w:rPr>
        <w:t>%，以受电弓日常维护、电气控制系统的安装与调试为考核重点</w:t>
      </w:r>
      <w:r>
        <w:rPr>
          <w:rFonts w:hint="eastAsia" w:ascii="仿宋_GB2312" w:hAnsi="仿宋_GB2312" w:eastAsia="仿宋_GB2312" w:cs="仿宋_GB2312"/>
          <w:sz w:val="24"/>
          <w:szCs w:val="24"/>
          <w:highlight w:val="none"/>
          <w:lang w:eastAsia="zh-CN"/>
        </w:rPr>
        <w:t>.</w:t>
      </w:r>
    </w:p>
    <w:p w14:paraId="0B62AB9E">
      <w:pPr>
        <w:spacing w:line="360" w:lineRule="auto"/>
        <w:ind w:firstLine="482" w:firstLineChars="200"/>
        <w:jc w:val="center"/>
        <w:rPr>
          <w:rFonts w:hint="eastAsia" w:ascii="仿宋_GB2312" w:hAnsi="仿宋_GB2312" w:eastAsia="仿宋_GB2312" w:cs="仿宋_GB2312"/>
          <w:b/>
          <w:bCs/>
          <w:sz w:val="24"/>
          <w:szCs w:val="24"/>
          <w:highlight w:val="none"/>
        </w:rPr>
      </w:pPr>
    </w:p>
    <w:p w14:paraId="7501C19E">
      <w:pPr>
        <w:spacing w:line="360" w:lineRule="auto"/>
        <w:ind w:firstLine="482" w:firstLineChars="200"/>
        <w:jc w:val="center"/>
        <w:rPr>
          <w:rFonts w:hint="eastAsia"/>
          <w:b/>
          <w:bCs/>
          <w:sz w:val="24"/>
          <w:szCs w:val="24"/>
          <w:highlight w:val="none"/>
        </w:rPr>
      </w:pPr>
    </w:p>
    <w:p w14:paraId="22058AED">
      <w:pPr>
        <w:spacing w:line="360" w:lineRule="auto"/>
        <w:ind w:firstLine="482" w:firstLineChars="200"/>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表1竞赛内容、时长、分值配比表</w:t>
      </w:r>
    </w:p>
    <w:tbl>
      <w:tblPr>
        <w:tblStyle w:val="13"/>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470"/>
        <w:gridCol w:w="4065"/>
        <w:gridCol w:w="1290"/>
        <w:gridCol w:w="1066"/>
      </w:tblGrid>
      <w:tr w14:paraId="5FB4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557" w:type="dxa"/>
            <w:gridSpan w:val="2"/>
            <w:vAlign w:val="center"/>
          </w:tcPr>
          <w:p w14:paraId="5AADC7DC">
            <w:pPr>
              <w:spacing w:line="360" w:lineRule="auto"/>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模块</w:t>
            </w:r>
          </w:p>
        </w:tc>
        <w:tc>
          <w:tcPr>
            <w:tcW w:w="4065" w:type="dxa"/>
            <w:vAlign w:val="center"/>
          </w:tcPr>
          <w:p w14:paraId="4E60B4DA">
            <w:pPr>
              <w:spacing w:line="360" w:lineRule="auto"/>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主要内容</w:t>
            </w:r>
          </w:p>
        </w:tc>
        <w:tc>
          <w:tcPr>
            <w:tcW w:w="1290" w:type="dxa"/>
            <w:vAlign w:val="center"/>
          </w:tcPr>
          <w:p w14:paraId="041E3383">
            <w:pPr>
              <w:spacing w:line="360" w:lineRule="auto"/>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比赛时长</w:t>
            </w:r>
          </w:p>
        </w:tc>
        <w:tc>
          <w:tcPr>
            <w:tcW w:w="1066" w:type="dxa"/>
            <w:vAlign w:val="center"/>
          </w:tcPr>
          <w:p w14:paraId="30E5B20A">
            <w:pPr>
              <w:spacing w:line="360" w:lineRule="auto"/>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分值</w:t>
            </w:r>
          </w:p>
        </w:tc>
      </w:tr>
      <w:tr w14:paraId="17FF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87" w:type="dxa"/>
            <w:vAlign w:val="center"/>
          </w:tcPr>
          <w:p w14:paraId="5EB63C47">
            <w:pPr>
              <w:spacing w:line="360" w:lineRule="auto"/>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模块1</w:t>
            </w:r>
          </w:p>
        </w:tc>
        <w:tc>
          <w:tcPr>
            <w:tcW w:w="1470" w:type="dxa"/>
            <w:vAlign w:val="center"/>
          </w:tcPr>
          <w:p w14:paraId="6EEDC103">
            <w:pPr>
              <w:spacing w:line="360" w:lineRule="auto"/>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车辆整车检查与试验</w:t>
            </w:r>
          </w:p>
        </w:tc>
        <w:tc>
          <w:tcPr>
            <w:tcW w:w="4065" w:type="dxa"/>
            <w:vAlign w:val="center"/>
          </w:tcPr>
          <w:p w14:paraId="3A3630A9">
            <w:pPr>
              <w:spacing w:line="360" w:lineRule="auto"/>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1-1.车外检查</w:t>
            </w:r>
          </w:p>
          <w:p w14:paraId="3201DB1F">
            <w:pPr>
              <w:spacing w:line="360" w:lineRule="auto"/>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1-2.车内检查</w:t>
            </w:r>
          </w:p>
          <w:p w14:paraId="6ECD8F69">
            <w:pPr>
              <w:spacing w:line="360" w:lineRule="auto"/>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1-3.车辆电气试验及故障处理</w:t>
            </w:r>
          </w:p>
        </w:tc>
        <w:tc>
          <w:tcPr>
            <w:tcW w:w="1290" w:type="dxa"/>
            <w:vAlign w:val="center"/>
          </w:tcPr>
          <w:p w14:paraId="06388BE3">
            <w:pPr>
              <w:spacing w:line="360" w:lineRule="auto"/>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lang w:val="en-US" w:eastAsia="zh-CN"/>
              </w:rPr>
              <w:t>5</w:t>
            </w:r>
            <w:r>
              <w:rPr>
                <w:rFonts w:hint="eastAsia" w:ascii="仿宋_GB2312" w:hAnsi="仿宋_GB2312" w:eastAsia="仿宋_GB2312" w:cs="仿宋_GB2312"/>
                <w:bCs/>
                <w:sz w:val="24"/>
                <w:szCs w:val="24"/>
                <w:highlight w:val="none"/>
              </w:rPr>
              <w:t>0分钟</w:t>
            </w:r>
          </w:p>
        </w:tc>
        <w:tc>
          <w:tcPr>
            <w:tcW w:w="1066" w:type="dxa"/>
            <w:vAlign w:val="center"/>
          </w:tcPr>
          <w:p w14:paraId="45CB0F86">
            <w:pPr>
              <w:spacing w:line="360" w:lineRule="auto"/>
              <w:jc w:val="center"/>
              <w:rPr>
                <w:rFonts w:hint="default"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50</w:t>
            </w:r>
          </w:p>
        </w:tc>
      </w:tr>
      <w:tr w14:paraId="0467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87" w:type="dxa"/>
            <w:vAlign w:val="center"/>
          </w:tcPr>
          <w:p w14:paraId="3FB5D260">
            <w:pPr>
              <w:spacing w:line="360" w:lineRule="auto"/>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模块2</w:t>
            </w:r>
          </w:p>
        </w:tc>
        <w:tc>
          <w:tcPr>
            <w:tcW w:w="1470" w:type="dxa"/>
            <w:vAlign w:val="center"/>
          </w:tcPr>
          <w:p w14:paraId="2B833BBB">
            <w:pPr>
              <w:spacing w:line="360" w:lineRule="auto"/>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受电弓的安装与调试</w:t>
            </w:r>
          </w:p>
        </w:tc>
        <w:tc>
          <w:tcPr>
            <w:tcW w:w="4065" w:type="dxa"/>
            <w:vAlign w:val="center"/>
          </w:tcPr>
          <w:p w14:paraId="29263304">
            <w:pPr>
              <w:spacing w:line="360" w:lineRule="auto"/>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2-1.受电弓机械部件的外观检查</w:t>
            </w:r>
          </w:p>
          <w:p w14:paraId="19BDFD92">
            <w:pPr>
              <w:spacing w:line="360" w:lineRule="auto"/>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w:t>
            </w:r>
            <w:r>
              <w:rPr>
                <w:rFonts w:hint="eastAsia" w:ascii="仿宋_GB2312" w:hAnsi="仿宋_GB2312" w:eastAsia="仿宋_GB2312" w:cs="仿宋_GB2312"/>
                <w:bCs/>
                <w:sz w:val="24"/>
                <w:szCs w:val="24"/>
                <w:highlight w:val="none"/>
                <w:lang w:val="en-US" w:eastAsia="zh-CN"/>
              </w:rPr>
              <w:t>2</w:t>
            </w:r>
            <w:r>
              <w:rPr>
                <w:rFonts w:hint="eastAsia" w:ascii="仿宋_GB2312" w:hAnsi="仿宋_GB2312" w:eastAsia="仿宋_GB2312" w:cs="仿宋_GB2312"/>
                <w:bCs/>
                <w:sz w:val="24"/>
                <w:szCs w:val="24"/>
                <w:highlight w:val="none"/>
              </w:rPr>
              <w:t>.受电弓动作参数调节与整定</w:t>
            </w:r>
          </w:p>
          <w:p w14:paraId="3212F3BC">
            <w:pPr>
              <w:spacing w:line="360" w:lineRule="auto"/>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rPr>
              <w:t>2-</w:t>
            </w:r>
            <w:r>
              <w:rPr>
                <w:rFonts w:hint="eastAsia" w:ascii="仿宋_GB2312" w:hAnsi="仿宋_GB2312" w:eastAsia="仿宋_GB2312" w:cs="仿宋_GB2312"/>
                <w:bCs/>
                <w:sz w:val="24"/>
                <w:szCs w:val="24"/>
                <w:highlight w:val="none"/>
                <w:lang w:val="en-US" w:eastAsia="zh-CN"/>
              </w:rPr>
              <w:t>3</w:t>
            </w:r>
            <w:r>
              <w:rPr>
                <w:rFonts w:hint="eastAsia" w:ascii="仿宋_GB2312" w:hAnsi="仿宋_GB2312" w:eastAsia="仿宋_GB2312" w:cs="仿宋_GB2312"/>
                <w:bCs/>
                <w:sz w:val="24"/>
                <w:szCs w:val="24"/>
                <w:highlight w:val="none"/>
              </w:rPr>
              <w:t>.受电弓电气功能测试与故障处理</w:t>
            </w:r>
          </w:p>
        </w:tc>
        <w:tc>
          <w:tcPr>
            <w:tcW w:w="1290" w:type="dxa"/>
            <w:vAlign w:val="center"/>
          </w:tcPr>
          <w:p w14:paraId="7A0F18EE">
            <w:pPr>
              <w:spacing w:line="360" w:lineRule="auto"/>
              <w:jc w:val="center"/>
              <w:rPr>
                <w:rFonts w:ascii="仿宋_GB2312" w:hAnsi="仿宋_GB2312" w:eastAsia="仿宋_GB2312" w:cs="仿宋_GB2312"/>
                <w:bCs/>
                <w:sz w:val="24"/>
                <w:szCs w:val="24"/>
                <w:highlight w:val="none"/>
              </w:rPr>
            </w:pPr>
            <w:r>
              <w:rPr>
                <w:rFonts w:hint="eastAsia" w:ascii="仿宋_GB2312" w:hAnsi="仿宋_GB2312" w:eastAsia="仿宋_GB2312" w:cs="仿宋_GB2312"/>
                <w:bCs/>
                <w:sz w:val="24"/>
                <w:szCs w:val="24"/>
                <w:highlight w:val="none"/>
                <w:lang w:val="en-US" w:eastAsia="zh-CN"/>
              </w:rPr>
              <w:t>3</w:t>
            </w:r>
            <w:bookmarkStart w:id="2" w:name="_GoBack"/>
            <w:bookmarkEnd w:id="2"/>
            <w:r>
              <w:rPr>
                <w:rFonts w:hint="eastAsia" w:ascii="仿宋_GB2312" w:hAnsi="仿宋_GB2312" w:eastAsia="仿宋_GB2312" w:cs="仿宋_GB2312"/>
                <w:bCs/>
                <w:sz w:val="24"/>
                <w:szCs w:val="24"/>
                <w:highlight w:val="none"/>
              </w:rPr>
              <w:t>0分钟</w:t>
            </w:r>
          </w:p>
        </w:tc>
        <w:tc>
          <w:tcPr>
            <w:tcW w:w="1066" w:type="dxa"/>
            <w:vAlign w:val="center"/>
          </w:tcPr>
          <w:p w14:paraId="6ED67D93">
            <w:pPr>
              <w:spacing w:line="360" w:lineRule="auto"/>
              <w:jc w:val="center"/>
              <w:rPr>
                <w:rFonts w:hint="default" w:ascii="仿宋_GB2312" w:hAnsi="仿宋_GB2312" w:eastAsia="仿宋_GB2312" w:cs="仿宋_GB2312"/>
                <w:bCs/>
                <w:sz w:val="24"/>
                <w:szCs w:val="24"/>
                <w:highlight w:val="none"/>
                <w:lang w:val="en-US" w:eastAsia="zh-CN"/>
              </w:rPr>
            </w:pPr>
            <w:r>
              <w:rPr>
                <w:rFonts w:hint="eastAsia" w:ascii="仿宋_GB2312" w:hAnsi="仿宋_GB2312" w:eastAsia="仿宋_GB2312" w:cs="仿宋_GB2312"/>
                <w:bCs/>
                <w:sz w:val="24"/>
                <w:szCs w:val="24"/>
                <w:highlight w:val="none"/>
                <w:lang w:val="en-US" w:eastAsia="zh-CN"/>
              </w:rPr>
              <w:t>50</w:t>
            </w:r>
          </w:p>
        </w:tc>
      </w:tr>
    </w:tbl>
    <w:p w14:paraId="19C5F5B4">
      <w:pPr>
        <w:spacing w:line="360" w:lineRule="auto"/>
        <w:ind w:firstLine="480" w:firstLineChars="200"/>
        <w:jc w:val="left"/>
        <w:rPr>
          <w:rFonts w:hint="eastAsia" w:ascii="仿宋" w:hAnsi="仿宋" w:eastAsia="仿宋" w:cs="仿宋"/>
          <w:color w:val="000000"/>
          <w:sz w:val="24"/>
          <w:szCs w:val="24"/>
          <w:highlight w:val="none"/>
        </w:rPr>
      </w:pPr>
    </w:p>
    <w:p w14:paraId="55F3ED0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outlineLvl w:val="0"/>
        <w:rPr>
          <w:rFonts w:hint="eastAsia" w:ascii="黑体" w:hAnsi="黑体" w:eastAsia="黑体" w:cs="黑体"/>
          <w:b/>
          <w:bCs/>
          <w:color w:val="000000"/>
          <w:sz w:val="24"/>
          <w:szCs w:val="24"/>
          <w:highlight w:val="none"/>
        </w:rPr>
      </w:pPr>
      <w:r>
        <w:rPr>
          <w:rFonts w:hint="eastAsia" w:ascii="黑体" w:hAnsi="黑体" w:eastAsia="黑体" w:cs="黑体"/>
          <w:b/>
          <w:bCs/>
          <w:color w:val="000000"/>
          <w:kern w:val="2"/>
          <w:sz w:val="24"/>
          <w:szCs w:val="24"/>
          <w:highlight w:val="none"/>
          <w:lang w:val="en-US" w:eastAsia="zh-CN" w:bidi="ar-SA"/>
        </w:rPr>
        <w:t>二、</w:t>
      </w:r>
      <w:r>
        <w:rPr>
          <w:rFonts w:hint="eastAsia" w:ascii="黑体" w:hAnsi="黑体" w:eastAsia="黑体" w:cs="黑体"/>
          <w:b/>
          <w:bCs/>
          <w:color w:val="000000"/>
          <w:sz w:val="24"/>
          <w:szCs w:val="24"/>
          <w:highlight w:val="none"/>
        </w:rPr>
        <w:t>比赛的</w:t>
      </w:r>
      <w:r>
        <w:rPr>
          <w:rFonts w:hint="eastAsia" w:ascii="黑体" w:hAnsi="黑体" w:eastAsia="黑体" w:cs="黑体"/>
          <w:b/>
          <w:bCs/>
          <w:sz w:val="24"/>
          <w:szCs w:val="24"/>
          <w:highlight w:val="none"/>
        </w:rPr>
        <w:t>技术平台</w:t>
      </w:r>
    </w:p>
    <w:p w14:paraId="0C03609C">
      <w:pPr>
        <w:pStyle w:val="4"/>
        <w:spacing w:line="360" w:lineRule="auto"/>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赛位设备清单</w:t>
      </w:r>
    </w:p>
    <w:tbl>
      <w:tblPr>
        <w:tblStyle w:val="12"/>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43"/>
        <w:gridCol w:w="1290"/>
        <w:gridCol w:w="4130"/>
        <w:gridCol w:w="717"/>
        <w:gridCol w:w="728"/>
      </w:tblGrid>
      <w:tr w14:paraId="2600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Align w:val="center"/>
          </w:tcPr>
          <w:p w14:paraId="134D4138">
            <w:pPr>
              <w:spacing w:line="360" w:lineRule="auto"/>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序号</w:t>
            </w:r>
          </w:p>
        </w:tc>
        <w:tc>
          <w:tcPr>
            <w:tcW w:w="1243" w:type="dxa"/>
            <w:vAlign w:val="center"/>
          </w:tcPr>
          <w:p w14:paraId="63A4AFB9">
            <w:pPr>
              <w:spacing w:line="360" w:lineRule="auto"/>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模块</w:t>
            </w:r>
          </w:p>
        </w:tc>
        <w:tc>
          <w:tcPr>
            <w:tcW w:w="1290" w:type="dxa"/>
            <w:vAlign w:val="center"/>
          </w:tcPr>
          <w:p w14:paraId="7A06719E">
            <w:pPr>
              <w:spacing w:line="360" w:lineRule="auto"/>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产品名称</w:t>
            </w:r>
          </w:p>
        </w:tc>
        <w:tc>
          <w:tcPr>
            <w:tcW w:w="4130" w:type="dxa"/>
            <w:vAlign w:val="center"/>
          </w:tcPr>
          <w:p w14:paraId="1015A1E6">
            <w:pPr>
              <w:spacing w:line="360" w:lineRule="auto"/>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技术参数</w:t>
            </w:r>
          </w:p>
        </w:tc>
        <w:tc>
          <w:tcPr>
            <w:tcW w:w="717" w:type="dxa"/>
            <w:vAlign w:val="center"/>
          </w:tcPr>
          <w:p w14:paraId="2830A569">
            <w:pPr>
              <w:spacing w:line="360" w:lineRule="auto"/>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单位</w:t>
            </w:r>
          </w:p>
        </w:tc>
        <w:tc>
          <w:tcPr>
            <w:tcW w:w="728" w:type="dxa"/>
            <w:vAlign w:val="center"/>
          </w:tcPr>
          <w:p w14:paraId="570C7657">
            <w:pPr>
              <w:spacing w:line="360" w:lineRule="auto"/>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数量</w:t>
            </w:r>
          </w:p>
        </w:tc>
      </w:tr>
      <w:tr w14:paraId="0AA1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Align w:val="center"/>
          </w:tcPr>
          <w:p w14:paraId="002215BB">
            <w:pPr>
              <w:pStyle w:val="26"/>
              <w:spacing w:line="360" w:lineRule="auto"/>
              <w:ind w:left="0" w:leftChars="0" w:firstLine="0" w:firstLineChars="0"/>
              <w:jc w:val="center"/>
              <w:textAlignment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1</w:t>
            </w:r>
          </w:p>
        </w:tc>
        <w:tc>
          <w:tcPr>
            <w:tcW w:w="1243" w:type="dxa"/>
            <w:vAlign w:val="center"/>
          </w:tcPr>
          <w:p w14:paraId="2DA6A99C">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rPr>
              <w:t>模块</w:t>
            </w:r>
            <w:r>
              <w:rPr>
                <w:rFonts w:hint="eastAsia" w:ascii="仿宋_GB2312" w:hAnsi="仿宋_GB2312" w:eastAsia="仿宋_GB2312" w:cs="仿宋_GB2312"/>
                <w:kern w:val="0"/>
                <w:sz w:val="24"/>
                <w:szCs w:val="24"/>
                <w:highlight w:val="none"/>
              </w:rPr>
              <w:t>1：车辆整车检查与试验</w:t>
            </w:r>
          </w:p>
        </w:tc>
        <w:tc>
          <w:tcPr>
            <w:tcW w:w="1290" w:type="dxa"/>
            <w:vAlign w:val="center"/>
          </w:tcPr>
          <w:p w14:paraId="40284E17">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rPr>
              <w:t>车辆整车检查与试验</w:t>
            </w:r>
            <w:r>
              <w:rPr>
                <w:rFonts w:hint="eastAsia" w:ascii="仿宋_GB2312" w:hAnsi="仿宋_GB2312" w:eastAsia="仿宋_GB2312" w:cs="仿宋_GB2312"/>
                <w:kern w:val="0"/>
                <w:sz w:val="24"/>
                <w:szCs w:val="24"/>
                <w:highlight w:val="none"/>
              </w:rPr>
              <w:t>终端</w:t>
            </w:r>
          </w:p>
        </w:tc>
        <w:tc>
          <w:tcPr>
            <w:tcW w:w="4130" w:type="dxa"/>
            <w:vAlign w:val="center"/>
          </w:tcPr>
          <w:p w14:paraId="1951CF1B">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rPr>
              <w:t>包含搭载</w:t>
            </w:r>
            <w:r>
              <w:rPr>
                <w:rFonts w:hint="eastAsia" w:ascii="仿宋_GB2312" w:hAnsi="仿宋_GB2312" w:eastAsia="仿宋_GB2312" w:cs="仿宋_GB2312"/>
                <w:kern w:val="0"/>
                <w:sz w:val="24"/>
                <w:szCs w:val="24"/>
                <w:highlight w:val="none"/>
                <w:lang w:val="en-GB"/>
              </w:rPr>
              <w:t>基于计算机虚拟仿真技术、三维建模与渲染技术搭建的纯三维车辆整车检查与试验软件系统</w:t>
            </w:r>
          </w:p>
        </w:tc>
        <w:tc>
          <w:tcPr>
            <w:tcW w:w="717" w:type="dxa"/>
            <w:vAlign w:val="center"/>
          </w:tcPr>
          <w:p w14:paraId="209D341B">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rPr>
              <w:t>套</w:t>
            </w:r>
          </w:p>
        </w:tc>
        <w:tc>
          <w:tcPr>
            <w:tcW w:w="728" w:type="dxa"/>
            <w:vAlign w:val="center"/>
          </w:tcPr>
          <w:p w14:paraId="5612BDDD">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rPr>
              <w:t>1</w:t>
            </w:r>
          </w:p>
        </w:tc>
      </w:tr>
      <w:tr w14:paraId="04FE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restart"/>
            <w:vAlign w:val="center"/>
          </w:tcPr>
          <w:p w14:paraId="6C83711C">
            <w:pPr>
              <w:pStyle w:val="26"/>
              <w:spacing w:line="360" w:lineRule="auto"/>
              <w:ind w:left="0" w:leftChars="0" w:firstLine="0" w:firstLineChars="0"/>
              <w:jc w:val="center"/>
              <w:textAlignment w:val="center"/>
              <w:rPr>
                <w:rFonts w:ascii="仿宋_GB2312" w:hAnsi="仿宋_GB2312" w:eastAsia="仿宋_GB2312" w:cs="仿宋_GB2312"/>
                <w:color w:val="000000"/>
                <w:kern w:val="0"/>
                <w:sz w:val="24"/>
                <w:szCs w:val="24"/>
                <w:highlight w:val="none"/>
                <w:lang w:bidi="ar"/>
              </w:rPr>
            </w:pPr>
            <w:r>
              <w:rPr>
                <w:rFonts w:hint="eastAsia" w:ascii="仿宋_GB2312" w:hAnsi="仿宋_GB2312" w:eastAsia="仿宋_GB2312" w:cs="仿宋_GB2312"/>
                <w:color w:val="000000"/>
                <w:kern w:val="0"/>
                <w:sz w:val="24"/>
                <w:szCs w:val="24"/>
                <w:highlight w:val="none"/>
                <w:lang w:bidi="ar"/>
              </w:rPr>
              <w:t>2</w:t>
            </w:r>
          </w:p>
        </w:tc>
        <w:tc>
          <w:tcPr>
            <w:tcW w:w="1243" w:type="dxa"/>
            <w:vMerge w:val="restart"/>
            <w:vAlign w:val="center"/>
          </w:tcPr>
          <w:p w14:paraId="75742C1D">
            <w:pPr>
              <w:widowControl/>
              <w:tabs>
                <w:tab w:val="left" w:pos="1348"/>
              </w:tabs>
              <w:spacing w:before="60" w:after="60" w:line="360" w:lineRule="auto"/>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模块2：受电弓的安装与调试</w:t>
            </w:r>
          </w:p>
        </w:tc>
        <w:tc>
          <w:tcPr>
            <w:tcW w:w="1290" w:type="dxa"/>
            <w:vAlign w:val="center"/>
          </w:tcPr>
          <w:p w14:paraId="46D75C08">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受电弓及安装平台</w:t>
            </w:r>
          </w:p>
        </w:tc>
        <w:tc>
          <w:tcPr>
            <w:tcW w:w="4130" w:type="dxa"/>
            <w:vAlign w:val="center"/>
          </w:tcPr>
          <w:p w14:paraId="43602050">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rPr>
              <w:t>受电弓应采用单臂气囊式轨道车辆受电弓；</w:t>
            </w:r>
            <w:r>
              <w:rPr>
                <w:rFonts w:hint="eastAsia" w:ascii="仿宋_GB2312" w:hAnsi="仿宋_GB2312" w:eastAsia="仿宋_GB2312" w:cs="仿宋_GB2312"/>
                <w:kern w:val="0"/>
                <w:sz w:val="24"/>
                <w:szCs w:val="24"/>
                <w:highlight w:val="none"/>
              </w:rPr>
              <w:t>安装平台应</w:t>
            </w:r>
            <w:r>
              <w:rPr>
                <w:rFonts w:hint="eastAsia" w:ascii="仿宋_GB2312" w:hAnsi="仿宋_GB2312" w:eastAsia="仿宋_GB2312" w:cs="仿宋_GB2312"/>
                <w:kern w:val="0"/>
                <w:sz w:val="24"/>
                <w:szCs w:val="24"/>
                <w:highlight w:val="none"/>
                <w:lang w:val="en-GB"/>
              </w:rPr>
              <w:t>满足受电弓的检修与控制模块的实训和考核需要</w:t>
            </w:r>
          </w:p>
        </w:tc>
        <w:tc>
          <w:tcPr>
            <w:tcW w:w="717" w:type="dxa"/>
            <w:vAlign w:val="center"/>
          </w:tcPr>
          <w:p w14:paraId="3509DC5D">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14:paraId="13312322">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1</w:t>
            </w:r>
          </w:p>
        </w:tc>
      </w:tr>
      <w:tr w14:paraId="00E9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14:paraId="1316BC19">
            <w:pPr>
              <w:pStyle w:val="26"/>
              <w:spacing w:line="360" w:lineRule="auto"/>
              <w:ind w:firstLine="0"/>
              <w:jc w:val="center"/>
              <w:textAlignment w:val="center"/>
              <w:rPr>
                <w:rFonts w:ascii="仿宋_GB2312" w:hAnsi="仿宋_GB2312" w:eastAsia="仿宋_GB2312" w:cs="仿宋_GB2312"/>
                <w:color w:val="000000"/>
                <w:kern w:val="0"/>
                <w:sz w:val="24"/>
                <w:szCs w:val="24"/>
                <w:highlight w:val="none"/>
                <w:lang w:bidi="ar"/>
              </w:rPr>
            </w:pPr>
          </w:p>
        </w:tc>
        <w:tc>
          <w:tcPr>
            <w:tcW w:w="1243" w:type="dxa"/>
            <w:vMerge w:val="continue"/>
            <w:vAlign w:val="center"/>
          </w:tcPr>
          <w:p w14:paraId="2B23AFB9">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p>
        </w:tc>
        <w:tc>
          <w:tcPr>
            <w:tcW w:w="1290" w:type="dxa"/>
            <w:vAlign w:val="center"/>
          </w:tcPr>
          <w:p w14:paraId="4C684E28">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风源模块</w:t>
            </w:r>
          </w:p>
        </w:tc>
        <w:tc>
          <w:tcPr>
            <w:tcW w:w="4130" w:type="dxa"/>
            <w:vAlign w:val="center"/>
          </w:tcPr>
          <w:p w14:paraId="2C599991">
            <w:pPr>
              <w:widowControl/>
              <w:tabs>
                <w:tab w:val="left" w:pos="1348"/>
              </w:tabs>
              <w:spacing w:before="60" w:after="60" w:line="360" w:lineRule="auto"/>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满足受电弓升降弓供风要求</w:t>
            </w:r>
          </w:p>
        </w:tc>
        <w:tc>
          <w:tcPr>
            <w:tcW w:w="717" w:type="dxa"/>
            <w:vAlign w:val="center"/>
          </w:tcPr>
          <w:p w14:paraId="26630AE6">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14:paraId="0B423F3F">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rPr>
              <w:t>1</w:t>
            </w:r>
          </w:p>
        </w:tc>
      </w:tr>
      <w:tr w14:paraId="62A5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14:paraId="20AFA2F2">
            <w:pPr>
              <w:pStyle w:val="26"/>
              <w:spacing w:line="360" w:lineRule="auto"/>
              <w:ind w:firstLine="0"/>
              <w:jc w:val="center"/>
              <w:textAlignment w:val="center"/>
              <w:rPr>
                <w:rFonts w:ascii="仿宋_GB2312" w:hAnsi="仿宋_GB2312" w:eastAsia="仿宋_GB2312" w:cs="仿宋_GB2312"/>
                <w:color w:val="000000"/>
                <w:kern w:val="0"/>
                <w:sz w:val="24"/>
                <w:szCs w:val="24"/>
                <w:highlight w:val="none"/>
                <w:lang w:bidi="ar"/>
              </w:rPr>
            </w:pPr>
          </w:p>
        </w:tc>
        <w:tc>
          <w:tcPr>
            <w:tcW w:w="1243" w:type="dxa"/>
            <w:vMerge w:val="continue"/>
            <w:vAlign w:val="center"/>
          </w:tcPr>
          <w:p w14:paraId="7CA6E9D9">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p>
        </w:tc>
        <w:tc>
          <w:tcPr>
            <w:tcW w:w="1290" w:type="dxa"/>
            <w:vAlign w:val="center"/>
          </w:tcPr>
          <w:p w14:paraId="22B8E757">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继电器柜</w:t>
            </w:r>
          </w:p>
        </w:tc>
        <w:tc>
          <w:tcPr>
            <w:tcW w:w="4130" w:type="dxa"/>
            <w:vAlign w:val="center"/>
          </w:tcPr>
          <w:p w14:paraId="2F9D218A">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rPr>
              <w:t>含电气元器件及相关电气控制回路，满足受电弓控制与监视电路安装布线需要。具备完成受电弓的各项电气调试控制功能</w:t>
            </w:r>
          </w:p>
        </w:tc>
        <w:tc>
          <w:tcPr>
            <w:tcW w:w="717" w:type="dxa"/>
            <w:vAlign w:val="center"/>
          </w:tcPr>
          <w:p w14:paraId="45BEFC43">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14:paraId="2BF04586">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1</w:t>
            </w:r>
          </w:p>
        </w:tc>
      </w:tr>
      <w:tr w14:paraId="64FD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14:paraId="75FA8467">
            <w:pPr>
              <w:pStyle w:val="26"/>
              <w:spacing w:line="360" w:lineRule="auto"/>
              <w:ind w:firstLine="0"/>
              <w:jc w:val="center"/>
              <w:textAlignment w:val="center"/>
              <w:rPr>
                <w:rFonts w:ascii="仿宋_GB2312" w:hAnsi="仿宋_GB2312" w:eastAsia="仿宋_GB2312" w:cs="仿宋_GB2312"/>
                <w:color w:val="000000"/>
                <w:kern w:val="0"/>
                <w:sz w:val="24"/>
                <w:szCs w:val="24"/>
                <w:highlight w:val="none"/>
                <w:lang w:bidi="ar"/>
              </w:rPr>
            </w:pPr>
          </w:p>
        </w:tc>
        <w:tc>
          <w:tcPr>
            <w:tcW w:w="1243" w:type="dxa"/>
            <w:vMerge w:val="continue"/>
            <w:vAlign w:val="center"/>
          </w:tcPr>
          <w:p w14:paraId="3A37FC35">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p>
        </w:tc>
        <w:tc>
          <w:tcPr>
            <w:tcW w:w="1290" w:type="dxa"/>
            <w:vAlign w:val="center"/>
          </w:tcPr>
          <w:p w14:paraId="34627FF0">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配电箱</w:t>
            </w:r>
          </w:p>
        </w:tc>
        <w:tc>
          <w:tcPr>
            <w:tcW w:w="4130" w:type="dxa"/>
            <w:vAlign w:val="center"/>
          </w:tcPr>
          <w:p w14:paraId="1AEE4D31">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rPr>
              <w:t>为</w:t>
            </w:r>
            <w:r>
              <w:rPr>
                <w:rFonts w:hint="eastAsia" w:ascii="仿宋_GB2312" w:hAnsi="仿宋_GB2312" w:eastAsia="仿宋_GB2312" w:cs="仿宋_GB2312"/>
                <w:kern w:val="0"/>
                <w:sz w:val="24"/>
                <w:szCs w:val="24"/>
                <w:highlight w:val="none"/>
              </w:rPr>
              <w:t>各设备</w:t>
            </w:r>
            <w:r>
              <w:rPr>
                <w:rFonts w:hint="eastAsia" w:ascii="仿宋_GB2312" w:hAnsi="仿宋_GB2312" w:eastAsia="仿宋_GB2312" w:cs="仿宋_GB2312"/>
                <w:kern w:val="0"/>
                <w:sz w:val="24"/>
                <w:szCs w:val="24"/>
                <w:highlight w:val="none"/>
                <w:lang w:val="en-GB"/>
              </w:rPr>
              <w:t>提供工作电源，保证总体用电安全</w:t>
            </w:r>
          </w:p>
        </w:tc>
        <w:tc>
          <w:tcPr>
            <w:tcW w:w="717" w:type="dxa"/>
            <w:vAlign w:val="center"/>
          </w:tcPr>
          <w:p w14:paraId="4D0FC370">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14:paraId="04F3E1C4">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1</w:t>
            </w:r>
          </w:p>
        </w:tc>
      </w:tr>
      <w:tr w14:paraId="3A4B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14:paraId="638B987A">
            <w:pPr>
              <w:pStyle w:val="26"/>
              <w:spacing w:line="360" w:lineRule="auto"/>
              <w:ind w:firstLine="0"/>
              <w:jc w:val="center"/>
              <w:textAlignment w:val="center"/>
              <w:rPr>
                <w:rFonts w:ascii="仿宋_GB2312" w:hAnsi="仿宋_GB2312" w:eastAsia="仿宋_GB2312" w:cs="仿宋_GB2312"/>
                <w:color w:val="000000"/>
                <w:kern w:val="0"/>
                <w:sz w:val="24"/>
                <w:szCs w:val="24"/>
                <w:highlight w:val="none"/>
                <w:lang w:bidi="ar"/>
              </w:rPr>
            </w:pPr>
          </w:p>
        </w:tc>
        <w:tc>
          <w:tcPr>
            <w:tcW w:w="1243" w:type="dxa"/>
            <w:vMerge w:val="continue"/>
            <w:vAlign w:val="center"/>
          </w:tcPr>
          <w:p w14:paraId="57C5F4F8">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p>
        </w:tc>
        <w:tc>
          <w:tcPr>
            <w:tcW w:w="1290" w:type="dxa"/>
            <w:vAlign w:val="center"/>
          </w:tcPr>
          <w:p w14:paraId="3309E784">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受电弓可更换组件</w:t>
            </w:r>
          </w:p>
        </w:tc>
        <w:tc>
          <w:tcPr>
            <w:tcW w:w="4130" w:type="dxa"/>
            <w:vAlign w:val="center"/>
          </w:tcPr>
          <w:p w14:paraId="35A88006">
            <w:pPr>
              <w:widowControl/>
              <w:tabs>
                <w:tab w:val="left" w:pos="1348"/>
              </w:tabs>
              <w:spacing w:before="60" w:after="60" w:line="360" w:lineRule="auto"/>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满足受电弓的部件更换操作，包含</w:t>
            </w:r>
            <w:r>
              <w:rPr>
                <w:rFonts w:hint="eastAsia" w:ascii="仿宋_GB2312" w:hAnsi="仿宋_GB2312" w:eastAsia="仿宋_GB2312" w:cs="仿宋_GB2312"/>
                <w:kern w:val="0"/>
                <w:sz w:val="24"/>
                <w:szCs w:val="24"/>
                <w:highlight w:val="none"/>
                <w:lang w:val="en-GB"/>
              </w:rPr>
              <w:t>碳滑板</w:t>
            </w:r>
            <w:r>
              <w:rPr>
                <w:rFonts w:hint="eastAsia" w:ascii="仿宋_GB2312" w:hAnsi="仿宋_GB2312" w:eastAsia="仿宋_GB2312" w:cs="仿宋_GB2312"/>
                <w:kern w:val="0"/>
                <w:sz w:val="24"/>
                <w:szCs w:val="24"/>
                <w:highlight w:val="none"/>
              </w:rPr>
              <w:t>1块</w:t>
            </w:r>
            <w:r>
              <w:rPr>
                <w:rFonts w:hint="eastAsia" w:ascii="仿宋_GB2312" w:hAnsi="仿宋_GB2312" w:eastAsia="仿宋_GB2312" w:cs="仿宋_GB2312"/>
                <w:kern w:val="0"/>
                <w:sz w:val="24"/>
                <w:szCs w:val="24"/>
                <w:highlight w:val="none"/>
                <w:lang w:val="en-GB"/>
              </w:rPr>
              <w:t>、</w:t>
            </w:r>
            <w:r>
              <w:rPr>
                <w:rFonts w:hint="eastAsia" w:ascii="仿宋_GB2312" w:hAnsi="仿宋_GB2312" w:eastAsia="仿宋_GB2312" w:cs="仿宋_GB2312"/>
                <w:kern w:val="0"/>
                <w:sz w:val="24"/>
                <w:szCs w:val="24"/>
                <w:highlight w:val="none"/>
              </w:rPr>
              <w:t>导流线2根</w:t>
            </w:r>
          </w:p>
        </w:tc>
        <w:tc>
          <w:tcPr>
            <w:tcW w:w="717" w:type="dxa"/>
            <w:vAlign w:val="center"/>
          </w:tcPr>
          <w:p w14:paraId="2B6BCFB0">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14:paraId="6EE11D62">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1</w:t>
            </w:r>
          </w:p>
        </w:tc>
      </w:tr>
      <w:tr w14:paraId="57D7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14:paraId="01295121">
            <w:pPr>
              <w:pStyle w:val="26"/>
              <w:spacing w:line="360" w:lineRule="auto"/>
              <w:ind w:firstLine="0"/>
              <w:jc w:val="center"/>
              <w:textAlignment w:val="center"/>
              <w:rPr>
                <w:rFonts w:ascii="仿宋_GB2312" w:hAnsi="仿宋_GB2312" w:eastAsia="仿宋_GB2312" w:cs="仿宋_GB2312"/>
                <w:color w:val="000000"/>
                <w:kern w:val="0"/>
                <w:sz w:val="24"/>
                <w:szCs w:val="24"/>
                <w:highlight w:val="none"/>
                <w:lang w:bidi="ar"/>
              </w:rPr>
            </w:pPr>
          </w:p>
        </w:tc>
        <w:tc>
          <w:tcPr>
            <w:tcW w:w="1243" w:type="dxa"/>
            <w:vMerge w:val="continue"/>
            <w:vAlign w:val="center"/>
          </w:tcPr>
          <w:p w14:paraId="0F7EF86F">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p>
        </w:tc>
        <w:tc>
          <w:tcPr>
            <w:tcW w:w="1290" w:type="dxa"/>
            <w:vAlign w:val="center"/>
          </w:tcPr>
          <w:p w14:paraId="6841DCAE">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工具、辅料、耗材</w:t>
            </w:r>
          </w:p>
        </w:tc>
        <w:tc>
          <w:tcPr>
            <w:tcW w:w="4130" w:type="dxa"/>
            <w:vAlign w:val="center"/>
          </w:tcPr>
          <w:p w14:paraId="10F4841F">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rPr>
              <w:t>物料存放架、工具车、折叠梯、检修工具紧固件、耗材等</w:t>
            </w:r>
          </w:p>
        </w:tc>
        <w:tc>
          <w:tcPr>
            <w:tcW w:w="717" w:type="dxa"/>
            <w:vAlign w:val="center"/>
          </w:tcPr>
          <w:p w14:paraId="316D9696">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14:paraId="2812301B">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rPr>
              <w:t>1</w:t>
            </w:r>
          </w:p>
        </w:tc>
      </w:tr>
      <w:tr w14:paraId="3534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14:paraId="65058F72">
            <w:pPr>
              <w:pStyle w:val="26"/>
              <w:spacing w:line="360" w:lineRule="auto"/>
              <w:ind w:firstLine="0"/>
              <w:jc w:val="center"/>
              <w:textAlignment w:val="center"/>
              <w:rPr>
                <w:rFonts w:ascii="仿宋_GB2312" w:hAnsi="仿宋_GB2312" w:eastAsia="仿宋_GB2312" w:cs="仿宋_GB2312"/>
                <w:color w:val="000000"/>
                <w:kern w:val="0"/>
                <w:sz w:val="24"/>
                <w:szCs w:val="24"/>
                <w:highlight w:val="none"/>
                <w:lang w:bidi="ar"/>
              </w:rPr>
            </w:pPr>
          </w:p>
        </w:tc>
        <w:tc>
          <w:tcPr>
            <w:tcW w:w="1243" w:type="dxa"/>
            <w:vMerge w:val="continue"/>
            <w:vAlign w:val="center"/>
          </w:tcPr>
          <w:p w14:paraId="625533A6">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p>
        </w:tc>
        <w:tc>
          <w:tcPr>
            <w:tcW w:w="1290" w:type="dxa"/>
            <w:vAlign w:val="center"/>
          </w:tcPr>
          <w:p w14:paraId="70103CE0">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调试台</w:t>
            </w:r>
          </w:p>
        </w:tc>
        <w:tc>
          <w:tcPr>
            <w:tcW w:w="4130" w:type="dxa"/>
            <w:vAlign w:val="center"/>
          </w:tcPr>
          <w:p w14:paraId="57C55204">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rPr>
              <w:t>用于完成</w:t>
            </w:r>
            <w:r>
              <w:rPr>
                <w:rFonts w:hint="eastAsia" w:ascii="仿宋_GB2312" w:hAnsi="仿宋_GB2312" w:eastAsia="仿宋_GB2312" w:cs="仿宋_GB2312"/>
                <w:kern w:val="0"/>
                <w:sz w:val="24"/>
                <w:szCs w:val="24"/>
                <w:highlight w:val="none"/>
                <w:lang w:val="en-US" w:eastAsia="zh-CN"/>
              </w:rPr>
              <w:t>受电弓</w:t>
            </w:r>
            <w:r>
              <w:rPr>
                <w:rFonts w:hint="eastAsia" w:ascii="仿宋_GB2312" w:hAnsi="仿宋_GB2312" w:eastAsia="仿宋_GB2312" w:cs="仿宋_GB2312"/>
                <w:kern w:val="0"/>
                <w:sz w:val="24"/>
                <w:szCs w:val="24"/>
                <w:highlight w:val="none"/>
                <w:lang w:val="en-GB"/>
              </w:rPr>
              <w:t>的各项电气调试</w:t>
            </w:r>
          </w:p>
        </w:tc>
        <w:tc>
          <w:tcPr>
            <w:tcW w:w="717" w:type="dxa"/>
            <w:vAlign w:val="center"/>
          </w:tcPr>
          <w:p w14:paraId="666D8D3E">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14:paraId="3329A826">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1</w:t>
            </w:r>
          </w:p>
        </w:tc>
      </w:tr>
      <w:tr w14:paraId="78C9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3" w:type="dxa"/>
            <w:vMerge w:val="continue"/>
            <w:vAlign w:val="center"/>
          </w:tcPr>
          <w:p w14:paraId="1E9429A2">
            <w:pPr>
              <w:pStyle w:val="26"/>
              <w:spacing w:line="360" w:lineRule="auto"/>
              <w:ind w:firstLine="0"/>
              <w:jc w:val="center"/>
              <w:textAlignment w:val="center"/>
              <w:rPr>
                <w:rFonts w:ascii="仿宋_GB2312" w:hAnsi="仿宋_GB2312" w:eastAsia="仿宋_GB2312" w:cs="仿宋_GB2312"/>
                <w:color w:val="000000"/>
                <w:kern w:val="0"/>
                <w:sz w:val="24"/>
                <w:szCs w:val="24"/>
                <w:highlight w:val="none"/>
                <w:lang w:bidi="ar"/>
              </w:rPr>
            </w:pPr>
          </w:p>
        </w:tc>
        <w:tc>
          <w:tcPr>
            <w:tcW w:w="1243" w:type="dxa"/>
            <w:vMerge w:val="continue"/>
            <w:vAlign w:val="center"/>
          </w:tcPr>
          <w:p w14:paraId="37B0117B">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p>
        </w:tc>
        <w:tc>
          <w:tcPr>
            <w:tcW w:w="1290" w:type="dxa"/>
            <w:vAlign w:val="center"/>
          </w:tcPr>
          <w:p w14:paraId="33DEC258">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配电箱</w:t>
            </w:r>
          </w:p>
        </w:tc>
        <w:tc>
          <w:tcPr>
            <w:tcW w:w="4130" w:type="dxa"/>
            <w:vAlign w:val="center"/>
          </w:tcPr>
          <w:p w14:paraId="58211F53">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rPr>
            </w:pPr>
            <w:r>
              <w:rPr>
                <w:rFonts w:hint="eastAsia" w:ascii="仿宋_GB2312" w:hAnsi="仿宋_GB2312" w:eastAsia="仿宋_GB2312" w:cs="仿宋_GB2312"/>
                <w:kern w:val="0"/>
                <w:sz w:val="24"/>
                <w:szCs w:val="24"/>
                <w:highlight w:val="none"/>
                <w:lang w:val="en-GB"/>
              </w:rPr>
              <w:t>为</w:t>
            </w:r>
            <w:r>
              <w:rPr>
                <w:rFonts w:hint="eastAsia" w:ascii="仿宋_GB2312" w:hAnsi="仿宋_GB2312" w:eastAsia="仿宋_GB2312" w:cs="仿宋_GB2312"/>
                <w:kern w:val="0"/>
                <w:sz w:val="24"/>
                <w:szCs w:val="24"/>
                <w:highlight w:val="none"/>
              </w:rPr>
              <w:t>各设备</w:t>
            </w:r>
            <w:r>
              <w:rPr>
                <w:rFonts w:hint="eastAsia" w:ascii="仿宋_GB2312" w:hAnsi="仿宋_GB2312" w:eastAsia="仿宋_GB2312" w:cs="仿宋_GB2312"/>
                <w:kern w:val="0"/>
                <w:sz w:val="24"/>
                <w:szCs w:val="24"/>
                <w:highlight w:val="none"/>
                <w:lang w:val="en-GB"/>
              </w:rPr>
              <w:t>提供工作电源，保证总体用电安全</w:t>
            </w:r>
          </w:p>
        </w:tc>
        <w:tc>
          <w:tcPr>
            <w:tcW w:w="717" w:type="dxa"/>
            <w:vAlign w:val="center"/>
          </w:tcPr>
          <w:p w14:paraId="7AAF63F3">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套</w:t>
            </w:r>
          </w:p>
        </w:tc>
        <w:tc>
          <w:tcPr>
            <w:tcW w:w="728" w:type="dxa"/>
            <w:vAlign w:val="center"/>
          </w:tcPr>
          <w:p w14:paraId="0A1D79BA">
            <w:pPr>
              <w:widowControl/>
              <w:tabs>
                <w:tab w:val="left" w:pos="1348"/>
              </w:tabs>
              <w:spacing w:before="60" w:after="60" w:line="360" w:lineRule="auto"/>
              <w:jc w:val="center"/>
              <w:rPr>
                <w:rFonts w:ascii="仿宋_GB2312" w:hAnsi="仿宋_GB2312" w:eastAsia="仿宋_GB2312" w:cs="仿宋_GB2312"/>
                <w:kern w:val="0"/>
                <w:sz w:val="24"/>
                <w:szCs w:val="24"/>
                <w:highlight w:val="none"/>
                <w:lang w:val="en-GB" w:eastAsia="en-US"/>
              </w:rPr>
            </w:pPr>
            <w:r>
              <w:rPr>
                <w:rFonts w:hint="eastAsia" w:ascii="仿宋_GB2312" w:hAnsi="仿宋_GB2312" w:eastAsia="仿宋_GB2312" w:cs="仿宋_GB2312"/>
                <w:kern w:val="0"/>
                <w:sz w:val="24"/>
                <w:szCs w:val="24"/>
                <w:highlight w:val="none"/>
                <w:lang w:val="en-GB" w:eastAsia="en-US"/>
              </w:rPr>
              <w:t>1</w:t>
            </w:r>
          </w:p>
        </w:tc>
      </w:tr>
    </w:tbl>
    <w:p w14:paraId="2165E31C">
      <w:pPr>
        <w:keepNext w:val="0"/>
        <w:keepLines w:val="0"/>
        <w:pageBreakBefore w:val="0"/>
        <w:widowControl w:val="0"/>
        <w:kinsoku/>
        <w:wordWrap/>
        <w:overflowPunct/>
        <w:topLinePunct w:val="0"/>
        <w:autoSpaceDE/>
        <w:autoSpaceDN/>
        <w:bidi w:val="0"/>
        <w:adjustRightInd/>
        <w:snapToGrid/>
        <w:spacing w:line="480" w:lineRule="auto"/>
        <w:textAlignment w:val="auto"/>
        <w:outlineLvl w:val="0"/>
        <w:rPr>
          <w:rFonts w:hint="eastAsia" w:ascii="黑体" w:hAnsi="黑体" w:eastAsia="黑体" w:cs="黑体"/>
          <w:b/>
          <w:bCs/>
          <w:color w:val="000000"/>
          <w:sz w:val="24"/>
          <w:szCs w:val="24"/>
          <w:highlight w:val="none"/>
          <w:lang w:val="en-US" w:eastAsia="zh-CN"/>
        </w:rPr>
      </w:pPr>
    </w:p>
    <w:p w14:paraId="0DB646FD">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0"/>
        <w:rPr>
          <w:rFonts w:hint="eastAsia" w:ascii="黑体" w:hAnsi="黑体" w:eastAsia="黑体" w:cs="黑体"/>
          <w:b/>
          <w:bCs/>
          <w:color w:val="000000"/>
          <w:sz w:val="24"/>
          <w:szCs w:val="24"/>
          <w:highlight w:val="none"/>
        </w:rPr>
      </w:pPr>
      <w:r>
        <w:rPr>
          <w:rFonts w:hint="eastAsia" w:ascii="黑体" w:hAnsi="黑体" w:eastAsia="黑体" w:cs="黑体"/>
          <w:b/>
          <w:bCs/>
          <w:color w:val="000000"/>
          <w:sz w:val="24"/>
          <w:szCs w:val="24"/>
          <w:highlight w:val="none"/>
          <w:lang w:val="en-US" w:eastAsia="zh-CN"/>
        </w:rPr>
        <w:t>三</w:t>
      </w:r>
      <w:r>
        <w:rPr>
          <w:rFonts w:hint="eastAsia" w:ascii="黑体" w:hAnsi="黑体" w:eastAsia="黑体" w:cs="黑体"/>
          <w:b/>
          <w:bCs/>
          <w:color w:val="000000"/>
          <w:sz w:val="24"/>
          <w:szCs w:val="24"/>
          <w:highlight w:val="none"/>
        </w:rPr>
        <w:t>、比赛流程</w:t>
      </w:r>
    </w:p>
    <w:p w14:paraId="02303291">
      <w:pPr>
        <w:spacing w:line="288" w:lineRule="auto"/>
        <w:ind w:firstLine="482" w:firstLineChars="200"/>
        <w:contextualSpacing/>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（一）竞赛流程</w:t>
      </w:r>
    </w:p>
    <w:p w14:paraId="2D177E23">
      <w:pPr>
        <w:snapToGrid w:val="0"/>
        <w:spacing w:line="360" w:lineRule="auto"/>
        <w:jc w:val="center"/>
        <w:rPr>
          <w:rFonts w:hint="eastAsia" w:ascii="仿宋" w:hAnsi="仿宋" w:eastAsia="仿宋" w:cs="仿宋"/>
          <w:sz w:val="24"/>
          <w:highlight w:val="none"/>
        </w:rPr>
      </w:pPr>
      <w:r>
        <w:rPr>
          <w:rFonts w:hint="eastAsia" w:ascii="仿宋_GB2312" w:hAnsi="仿宋_GB2312" w:eastAsia="仿宋_GB2312" w:cs="仿宋_GB2312"/>
          <w:sz w:val="24"/>
          <w:szCs w:val="24"/>
          <w:highlight w:val="none"/>
        </w:rPr>
        <mc:AlternateContent>
          <mc:Choice Requires="wpg">
            <w:drawing>
              <wp:inline distT="0" distB="0" distL="114300" distR="114300">
                <wp:extent cx="5146040" cy="7118350"/>
                <wp:effectExtent l="6350" t="6350" r="16510" b="12700"/>
                <wp:docPr id="230" name="组合 90"/>
                <wp:cNvGraphicFramePr/>
                <a:graphic xmlns:a="http://schemas.openxmlformats.org/drawingml/2006/main">
                  <a:graphicData uri="http://schemas.microsoft.com/office/word/2010/wordprocessingGroup">
                    <wpg:wgp>
                      <wpg:cNvGrpSpPr/>
                      <wpg:grpSpPr>
                        <a:xfrm>
                          <a:off x="0" y="0"/>
                          <a:ext cx="5146040" cy="7118350"/>
                          <a:chOff x="3382" y="1389"/>
                          <a:chExt cx="5031" cy="10579"/>
                        </a:xfrm>
                      </wpg:grpSpPr>
                      <wpg:grpSp>
                        <wpg:cNvPr id="231" name="组合 89"/>
                        <wpg:cNvGrpSpPr/>
                        <wpg:grpSpPr>
                          <a:xfrm>
                            <a:off x="3382" y="8821"/>
                            <a:ext cx="5031" cy="3147"/>
                            <a:chOff x="3424" y="8808"/>
                            <a:chExt cx="5031" cy="3147"/>
                          </a:xfrm>
                        </wpg:grpSpPr>
                        <wpg:grpSp>
                          <wpg:cNvPr id="232" name="组合 86"/>
                          <wpg:cNvGrpSpPr/>
                          <wpg:grpSpPr>
                            <a:xfrm>
                              <a:off x="3424" y="8808"/>
                              <a:ext cx="5031" cy="1719"/>
                              <a:chOff x="3424" y="8808"/>
                              <a:chExt cx="5031" cy="1719"/>
                            </a:xfrm>
                          </wpg:grpSpPr>
                          <wps:wsp>
                            <wps:cNvPr id="233" name="箭头 21"/>
                            <wps:cNvCnPr/>
                            <wps:spPr>
                              <a:xfrm>
                                <a:off x="6820" y="8854"/>
                                <a:ext cx="2" cy="400"/>
                              </a:xfrm>
                              <a:prstGeom prst="line">
                                <a:avLst/>
                              </a:prstGeom>
                              <a:ln w="12700" cap="flat" cmpd="sng">
                                <a:solidFill>
                                  <a:srgbClr val="000000"/>
                                </a:solidFill>
                                <a:prstDash val="solid"/>
                                <a:headEnd type="none" w="med" len="med"/>
                                <a:tailEnd type="triangle" w="med" len="med"/>
                              </a:ln>
                            </wps:spPr>
                            <wps:bodyPr/>
                          </wps:wsp>
                          <wpg:grpSp>
                            <wpg:cNvPr id="234" name="组合 80"/>
                            <wpg:cNvGrpSpPr/>
                            <wpg:grpSpPr>
                              <a:xfrm>
                                <a:off x="3424" y="9274"/>
                                <a:ext cx="5031" cy="533"/>
                                <a:chOff x="3626" y="9406"/>
                                <a:chExt cx="5031" cy="474"/>
                              </a:xfrm>
                            </wpg:grpSpPr>
                            <wps:wsp>
                              <wps:cNvPr id="235" name="流程图: 可选过程 20"/>
                              <wps:cNvSpPr/>
                              <wps:spPr>
                                <a:xfrm>
                                  <a:off x="3626" y="9407"/>
                                  <a:ext cx="2450" cy="45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379C0C48">
                                    <w:pPr>
                                      <w:spacing w:line="320" w:lineRule="exact"/>
                                      <w:ind w:firstLine="420"/>
                                      <w:jc w:val="center"/>
                                      <w:rPr>
                                        <w:rFonts w:hAnsi="仿宋"/>
                                        <w:bCs/>
                                      </w:rPr>
                                    </w:pPr>
                                    <w:r>
                                      <w:rPr>
                                        <w:rFonts w:hint="eastAsia" w:hAnsi="仿宋"/>
                                        <w:bCs/>
                                        <w:kern w:val="0"/>
                                      </w:rPr>
                                      <w:t>结果评分（评分裁判）</w:t>
                                    </w:r>
                                  </w:p>
                                </w:txbxContent>
                              </wps:txbx>
                              <wps:bodyPr lIns="91440" tIns="0" rIns="91440" bIns="0" upright="1"/>
                            </wps:wsp>
                            <wps:wsp>
                              <wps:cNvPr id="236" name="流程图: 可选过程 20"/>
                              <wps:cNvSpPr/>
                              <wps:spPr>
                                <a:xfrm>
                                  <a:off x="6318" y="9406"/>
                                  <a:ext cx="2339" cy="47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3ED81FF5">
                                    <w:pPr>
                                      <w:spacing w:line="320" w:lineRule="exact"/>
                                      <w:ind w:firstLine="420"/>
                                      <w:jc w:val="center"/>
                                      <w:rPr>
                                        <w:rFonts w:hAnsi="仿宋"/>
                                        <w:bCs/>
                                      </w:rPr>
                                    </w:pPr>
                                    <w:r>
                                      <w:rPr>
                                        <w:rFonts w:hint="eastAsia" w:hAnsi="仿宋"/>
                                        <w:bCs/>
                                        <w:kern w:val="0"/>
                                      </w:rPr>
                                      <w:t>职业素养评分（评分裁判）</w:t>
                                    </w:r>
                                  </w:p>
                                </w:txbxContent>
                              </wps:txbx>
                              <wps:bodyPr lIns="91440" tIns="0" rIns="91440" bIns="0" upright="1"/>
                            </wps:wsp>
                          </wpg:grpSp>
                          <wps:wsp>
                            <wps:cNvPr id="237" name="箭头 21"/>
                            <wps:cNvCnPr/>
                            <wps:spPr>
                              <a:xfrm>
                                <a:off x="5137" y="8808"/>
                                <a:ext cx="2" cy="400"/>
                              </a:xfrm>
                              <a:prstGeom prst="line">
                                <a:avLst/>
                              </a:prstGeom>
                              <a:ln w="12700" cap="flat" cmpd="sng">
                                <a:solidFill>
                                  <a:srgbClr val="000000"/>
                                </a:solidFill>
                                <a:prstDash val="solid"/>
                                <a:headEnd type="none" w="med" len="med"/>
                                <a:tailEnd type="triangle" w="med" len="med"/>
                              </a:ln>
                            </wps:spPr>
                            <wps:bodyPr/>
                          </wps:wsp>
                          <wpg:grpSp>
                            <wpg:cNvPr id="238" name="组合 85"/>
                            <wpg:cNvGrpSpPr/>
                            <wpg:grpSpPr>
                              <a:xfrm>
                                <a:off x="5139" y="9800"/>
                                <a:ext cx="1700" cy="727"/>
                                <a:chOff x="5454" y="11282"/>
                                <a:chExt cx="1700" cy="727"/>
                              </a:xfrm>
                            </wpg:grpSpPr>
                            <wps:wsp>
                              <wps:cNvPr id="239" name="直线 47"/>
                              <wps:cNvCnPr/>
                              <wps:spPr>
                                <a:xfrm flipV="1">
                                  <a:off x="5454" y="11282"/>
                                  <a:ext cx="1" cy="480"/>
                                </a:xfrm>
                                <a:prstGeom prst="line">
                                  <a:avLst/>
                                </a:prstGeom>
                                <a:ln w="12700" cap="flat" cmpd="sng">
                                  <a:solidFill>
                                    <a:srgbClr val="000000"/>
                                  </a:solidFill>
                                  <a:prstDash val="solid"/>
                                  <a:headEnd type="none" w="med" len="med"/>
                                  <a:tailEnd type="none" w="med" len="med"/>
                                </a:ln>
                              </wps:spPr>
                              <wps:bodyPr/>
                            </wps:wsp>
                            <wps:wsp>
                              <wps:cNvPr id="240" name="直线 47"/>
                              <wps:cNvCnPr/>
                              <wps:spPr>
                                <a:xfrm flipV="1">
                                  <a:off x="7153" y="11282"/>
                                  <a:ext cx="1" cy="480"/>
                                </a:xfrm>
                                <a:prstGeom prst="line">
                                  <a:avLst/>
                                </a:prstGeom>
                                <a:ln w="12700" cap="flat" cmpd="sng">
                                  <a:solidFill>
                                    <a:srgbClr val="000000"/>
                                  </a:solidFill>
                                  <a:prstDash val="solid"/>
                                  <a:headEnd type="none" w="med" len="med"/>
                                  <a:tailEnd type="none" w="med" len="med"/>
                                </a:ln>
                              </wps:spPr>
                              <wps:bodyPr/>
                            </wps:wsp>
                            <wps:wsp>
                              <wps:cNvPr id="241" name="箭头 21"/>
                              <wps:cNvCnPr/>
                              <wps:spPr>
                                <a:xfrm>
                                  <a:off x="6305" y="11757"/>
                                  <a:ext cx="0" cy="252"/>
                                </a:xfrm>
                                <a:prstGeom prst="line">
                                  <a:avLst/>
                                </a:prstGeom>
                                <a:ln w="12700" cap="flat" cmpd="sng">
                                  <a:solidFill>
                                    <a:srgbClr val="000000"/>
                                  </a:solidFill>
                                  <a:prstDash val="solid"/>
                                  <a:headEnd type="none" w="med" len="med"/>
                                  <a:tailEnd type="triangle" w="med" len="med"/>
                                </a:ln>
                              </wps:spPr>
                              <wps:bodyPr/>
                            </wps:wsp>
                            <wps:wsp>
                              <wps:cNvPr id="242" name="直线 45"/>
                              <wps:cNvCnPr/>
                              <wps:spPr>
                                <a:xfrm flipH="1">
                                  <a:off x="5457" y="11761"/>
                                  <a:ext cx="836" cy="1"/>
                                </a:xfrm>
                                <a:prstGeom prst="line">
                                  <a:avLst/>
                                </a:prstGeom>
                                <a:ln w="12700" cap="flat" cmpd="sng">
                                  <a:solidFill>
                                    <a:srgbClr val="000000"/>
                                  </a:solidFill>
                                  <a:prstDash val="solid"/>
                                  <a:headEnd type="none" w="med" len="med"/>
                                  <a:tailEnd type="none" w="med" len="med"/>
                                </a:ln>
                              </wps:spPr>
                              <wps:bodyPr/>
                            </wps:wsp>
                            <wps:wsp>
                              <wps:cNvPr id="243" name="直线 45"/>
                              <wps:cNvCnPr/>
                              <wps:spPr>
                                <a:xfrm flipH="1">
                                  <a:off x="6317" y="11761"/>
                                  <a:ext cx="836" cy="1"/>
                                </a:xfrm>
                                <a:prstGeom prst="line">
                                  <a:avLst/>
                                </a:prstGeom>
                                <a:ln w="12700" cap="flat" cmpd="sng">
                                  <a:solidFill>
                                    <a:srgbClr val="000000"/>
                                  </a:solidFill>
                                  <a:prstDash val="solid"/>
                                  <a:headEnd type="none" w="med" len="med"/>
                                  <a:tailEnd type="none" w="med" len="med"/>
                                </a:ln>
                              </wps:spPr>
                              <wps:bodyPr/>
                            </wps:wsp>
                          </wpg:grpSp>
                        </wpg:grpSp>
                        <wpg:grpSp>
                          <wpg:cNvPr id="244" name="组合 88"/>
                          <wpg:cNvGrpSpPr/>
                          <wpg:grpSpPr>
                            <a:xfrm>
                              <a:off x="4237" y="10571"/>
                              <a:ext cx="3515" cy="1384"/>
                              <a:chOff x="4176" y="10571"/>
                              <a:chExt cx="3515" cy="1384"/>
                            </a:xfrm>
                          </wpg:grpSpPr>
                          <wps:wsp>
                            <wps:cNvPr id="245" name="流程图: 可选过程 20"/>
                            <wps:cNvSpPr/>
                            <wps:spPr>
                              <a:xfrm>
                                <a:off x="4176" y="10571"/>
                                <a:ext cx="3515" cy="5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22540527">
                                  <w:pPr>
                                    <w:spacing w:line="320" w:lineRule="exact"/>
                                    <w:ind w:firstLine="420"/>
                                    <w:jc w:val="center"/>
                                    <w:rPr>
                                      <w:rFonts w:hAnsi="仿宋"/>
                                      <w:bCs/>
                                    </w:rPr>
                                  </w:pPr>
                                  <w:r>
                                    <w:rPr>
                                      <w:rFonts w:hint="eastAsia" w:hAnsi="仿宋"/>
                                      <w:bCs/>
                                      <w:kern w:val="0"/>
                                    </w:rPr>
                                    <w:t>比赛结束（选手离场）</w:t>
                                  </w:r>
                                </w:p>
                              </w:txbxContent>
                            </wps:txbx>
                            <wps:bodyPr upright="1"/>
                          </wps:wsp>
                          <wps:wsp>
                            <wps:cNvPr id="246" name="流程图: 可选过程 20"/>
                            <wps:cNvSpPr/>
                            <wps:spPr>
                              <a:xfrm>
                                <a:off x="4176" y="11445"/>
                                <a:ext cx="3515" cy="5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16A79587">
                                  <w:pPr>
                                    <w:spacing w:line="320" w:lineRule="exact"/>
                                    <w:ind w:firstLine="420"/>
                                    <w:jc w:val="center"/>
                                    <w:rPr>
                                      <w:rFonts w:hAnsi="仿宋"/>
                                      <w:bCs/>
                                    </w:rPr>
                                  </w:pPr>
                                  <w:r>
                                    <w:rPr>
                                      <w:rFonts w:hint="eastAsia" w:hAnsi="仿宋"/>
                                      <w:bCs/>
                                      <w:kern w:val="0"/>
                                    </w:rPr>
                                    <w:t>解密、成绩公布（比赛结束后1</w:t>
                                  </w:r>
                                  <w:r>
                                    <w:rPr>
                                      <w:rFonts w:hAnsi="仿宋"/>
                                      <w:bCs/>
                                      <w:kern w:val="0"/>
                                    </w:rPr>
                                    <w:t>2</w:t>
                                  </w:r>
                                  <w:r>
                                    <w:rPr>
                                      <w:rFonts w:hint="eastAsia" w:hAnsi="仿宋"/>
                                      <w:bCs/>
                                      <w:kern w:val="0"/>
                                    </w:rPr>
                                    <w:t>小时</w:t>
                                  </w:r>
                                  <w:r>
                                    <w:rPr>
                                      <w:rFonts w:hint="eastAsia" w:ascii="宋体" w:hAnsi="宋体" w:cs="宋体"/>
                                      <w:bCs/>
                                      <w:kern w:val="0"/>
                                    </w:rPr>
                                    <w:t>）</w:t>
                                  </w:r>
                                  <w:r>
                                    <w:rPr>
                                      <w:rFonts w:hint="eastAsia" w:hAnsi="仿宋"/>
                                      <w:bCs/>
                                      <w:kern w:val="0"/>
                                    </w:rPr>
                                    <w:t>内）</w:t>
                                  </w:r>
                                </w:p>
                              </w:txbxContent>
                            </wps:txbx>
                            <wps:bodyPr upright="1"/>
                          </wps:wsp>
                          <wps:wsp>
                            <wps:cNvPr id="247" name="箭头 21"/>
                            <wps:cNvCnPr/>
                            <wps:spPr>
                              <a:xfrm>
                                <a:off x="5933" y="11137"/>
                                <a:ext cx="1" cy="253"/>
                              </a:xfrm>
                              <a:prstGeom prst="line">
                                <a:avLst/>
                              </a:prstGeom>
                              <a:ln w="12700" cap="flat" cmpd="sng">
                                <a:solidFill>
                                  <a:srgbClr val="000000"/>
                                </a:solidFill>
                                <a:prstDash val="solid"/>
                                <a:headEnd type="none" w="med" len="med"/>
                                <a:tailEnd type="triangle" w="med" len="med"/>
                              </a:ln>
                            </wps:spPr>
                            <wps:bodyPr/>
                          </wps:wsp>
                        </wpg:grpSp>
                      </wpg:grpSp>
                      <wpg:grpSp>
                        <wpg:cNvPr id="248" name="组合 87"/>
                        <wpg:cNvGrpSpPr/>
                        <wpg:grpSpPr>
                          <a:xfrm>
                            <a:off x="4195" y="1389"/>
                            <a:ext cx="3516" cy="7579"/>
                            <a:chOff x="4295" y="1389"/>
                            <a:chExt cx="3516" cy="7579"/>
                          </a:xfrm>
                        </wpg:grpSpPr>
                        <wps:wsp>
                          <wps:cNvPr id="249" name="流程图: 可选过程 20"/>
                          <wps:cNvSpPr/>
                          <wps:spPr>
                            <a:xfrm>
                              <a:off x="4296" y="1389"/>
                              <a:ext cx="3515" cy="113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2BD050AC">
                                <w:pPr>
                                  <w:spacing w:line="360" w:lineRule="exact"/>
                                  <w:ind w:firstLine="420"/>
                                  <w:jc w:val="center"/>
                                  <w:rPr>
                                    <w:rFonts w:hAnsi="仿宋"/>
                                    <w:bCs/>
                                  </w:rPr>
                                </w:pPr>
                                <w:r>
                                  <w:rPr>
                                    <w:rFonts w:hint="eastAsia" w:hAnsi="仿宋"/>
                                    <w:bCs/>
                                    <w:kern w:val="0"/>
                                  </w:rPr>
                                  <w:t>检录</w:t>
                                </w:r>
                              </w:p>
                              <w:p w14:paraId="4E2F40E2">
                                <w:pPr>
                                  <w:spacing w:line="360" w:lineRule="exact"/>
                                  <w:ind w:firstLine="420"/>
                                  <w:jc w:val="center"/>
                                </w:pPr>
                                <w:r>
                                  <w:rPr>
                                    <w:rFonts w:hint="eastAsia" w:hAnsi="仿宋"/>
                                    <w:bCs/>
                                    <w:kern w:val="0"/>
                                  </w:rPr>
                                  <w:t>（选手持参赛证、学生证（教师资格证）、身份证在规定时间及指定地点经赛场工作人员检录后进入抽签区）</w:t>
                                </w:r>
                              </w:p>
                            </w:txbxContent>
                          </wps:txbx>
                          <wps:bodyPr lIns="91440" tIns="0" rIns="91440" bIns="0" upright="1"/>
                        </wps:wsp>
                        <wps:wsp>
                          <wps:cNvPr id="250" name="流程图: 可选过程 20"/>
                          <wps:cNvSpPr/>
                          <wps:spPr>
                            <a:xfrm>
                              <a:off x="4296" y="2976"/>
                              <a:ext cx="3515" cy="73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09F9BD7E">
                                <w:pPr>
                                  <w:spacing w:line="320" w:lineRule="exact"/>
                                  <w:ind w:firstLine="420"/>
                                  <w:jc w:val="center"/>
                                  <w:rPr>
                                    <w:rFonts w:hAnsi="仿宋"/>
                                    <w:bCs/>
                                    <w:color w:val="FF0000"/>
                                  </w:rPr>
                                </w:pPr>
                                <w:r>
                                  <w:rPr>
                                    <w:rFonts w:hint="eastAsia" w:hAnsi="仿宋"/>
                                    <w:bCs/>
                                    <w:kern w:val="0"/>
                                  </w:rPr>
                                  <w:t>第一次抽签确定参赛编号</w:t>
                                </w:r>
                              </w:p>
                              <w:p w14:paraId="035F47DC">
                                <w:pPr>
                                  <w:spacing w:line="320" w:lineRule="exact"/>
                                  <w:ind w:firstLine="420"/>
                                  <w:jc w:val="center"/>
                                  <w:rPr>
                                    <w:rFonts w:hAnsi="仿宋"/>
                                    <w:bCs/>
                                  </w:rPr>
                                </w:pPr>
                                <w:r>
                                  <w:rPr>
                                    <w:rFonts w:hint="eastAsia" w:hAnsi="仿宋"/>
                                    <w:bCs/>
                                    <w:kern w:val="0"/>
                                  </w:rPr>
                                  <w:t>（比赛前加密裁判第一次加密）</w:t>
                                </w:r>
                              </w:p>
                            </w:txbxContent>
                          </wps:txbx>
                          <wps:bodyPr lIns="91440" tIns="0" rIns="91440" bIns="0" upright="1"/>
                        </wps:wsp>
                        <wps:wsp>
                          <wps:cNvPr id="251" name="流程图: 可选过程 119"/>
                          <wps:cNvSpPr/>
                          <wps:spPr>
                            <a:xfrm>
                              <a:off x="4296" y="3988"/>
                              <a:ext cx="3515" cy="73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3485227D">
                                <w:pPr>
                                  <w:spacing w:line="320" w:lineRule="exact"/>
                                  <w:ind w:firstLine="420"/>
                                  <w:jc w:val="center"/>
                                  <w:rPr>
                                    <w:rFonts w:hAnsi="仿宋"/>
                                    <w:bCs/>
                                  </w:rPr>
                                </w:pPr>
                                <w:r>
                                  <w:rPr>
                                    <w:rFonts w:hint="eastAsia" w:hAnsi="仿宋"/>
                                    <w:bCs/>
                                    <w:kern w:val="0"/>
                                  </w:rPr>
                                  <w:t>第二次抽签确定赛位号</w:t>
                                </w:r>
                              </w:p>
                              <w:p w14:paraId="64341388">
                                <w:pPr>
                                  <w:spacing w:line="320" w:lineRule="exact"/>
                                  <w:ind w:firstLine="420"/>
                                  <w:jc w:val="center"/>
                                  <w:rPr>
                                    <w:rFonts w:hAnsi="仿宋"/>
                                    <w:bCs/>
                                  </w:rPr>
                                </w:pPr>
                                <w:r>
                                  <w:rPr>
                                    <w:rFonts w:hint="eastAsia" w:hAnsi="仿宋"/>
                                    <w:bCs/>
                                    <w:kern w:val="0"/>
                                  </w:rPr>
                                  <w:t>（比赛前加密裁判第二次加密）</w:t>
                                </w:r>
                              </w:p>
                              <w:p w14:paraId="0112C300">
                                <w:pPr>
                                  <w:spacing w:line="320" w:lineRule="exact"/>
                                  <w:ind w:firstLine="420"/>
                                  <w:jc w:val="center"/>
                                  <w:rPr>
                                    <w:rFonts w:hAnsi="仿宋"/>
                                    <w:bCs/>
                                  </w:rPr>
                                </w:pPr>
                              </w:p>
                            </w:txbxContent>
                          </wps:txbx>
                          <wps:bodyPr lIns="91440" tIns="0" rIns="91440" bIns="0" upright="1"/>
                        </wps:wsp>
                        <wps:wsp>
                          <wps:cNvPr id="252" name="流程图: 可选过程 20"/>
                          <wps:cNvSpPr/>
                          <wps:spPr>
                            <a:xfrm>
                              <a:off x="4296" y="4980"/>
                              <a:ext cx="3515" cy="45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49C32683">
                                <w:pPr>
                                  <w:spacing w:line="320" w:lineRule="exact"/>
                                  <w:ind w:firstLine="420"/>
                                  <w:jc w:val="center"/>
                                  <w:rPr>
                                    <w:rFonts w:hAnsi="仿宋"/>
                                    <w:bCs/>
                                  </w:rPr>
                                </w:pPr>
                                <w:r>
                                  <w:rPr>
                                    <w:rFonts w:hint="eastAsia" w:hAnsi="仿宋"/>
                                    <w:bCs/>
                                    <w:kern w:val="0"/>
                                  </w:rPr>
                                  <w:t>有序进入赛场</w:t>
                                </w:r>
                              </w:p>
                            </w:txbxContent>
                          </wps:txbx>
                          <wps:bodyPr lIns="91440" tIns="0" rIns="91440" bIns="0" upright="1"/>
                        </wps:wsp>
                        <wps:wsp>
                          <wps:cNvPr id="253" name="流程图: 可选过程 20"/>
                          <wps:cNvSpPr/>
                          <wps:spPr>
                            <a:xfrm>
                              <a:off x="4296" y="5683"/>
                              <a:ext cx="3515" cy="45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6BA83A75">
                                <w:pPr>
                                  <w:spacing w:line="320" w:lineRule="exact"/>
                                  <w:ind w:firstLine="420"/>
                                  <w:jc w:val="center"/>
                                  <w:rPr>
                                    <w:rFonts w:hAnsi="仿宋"/>
                                    <w:bCs/>
                                  </w:rPr>
                                </w:pPr>
                                <w:r>
                                  <w:rPr>
                                    <w:rFonts w:hint="eastAsia" w:hAnsi="仿宋"/>
                                    <w:bCs/>
                                    <w:kern w:val="0"/>
                                  </w:rPr>
                                  <w:t>统一分发竞赛任务书</w:t>
                                </w:r>
                              </w:p>
                            </w:txbxContent>
                          </wps:txbx>
                          <wps:bodyPr upright="1"/>
                        </wps:wsp>
                        <wps:wsp>
                          <wps:cNvPr id="254" name="流程图: 可选过程 20"/>
                          <wps:cNvSpPr/>
                          <wps:spPr>
                            <a:xfrm>
                              <a:off x="4296" y="6389"/>
                              <a:ext cx="3515" cy="73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64DD4DE1">
                                <w:pPr>
                                  <w:spacing w:line="320" w:lineRule="exact"/>
                                  <w:ind w:firstLine="420"/>
                                  <w:jc w:val="center"/>
                                  <w:rPr>
                                    <w:rFonts w:hAnsi="仿宋"/>
                                    <w:bCs/>
                                  </w:rPr>
                                </w:pPr>
                                <w:r>
                                  <w:rPr>
                                    <w:rFonts w:hint="eastAsia" w:hAnsi="仿宋"/>
                                    <w:bCs/>
                                    <w:kern w:val="0"/>
                                  </w:rPr>
                                  <w:t>赛前准备、清点检查设备</w:t>
                                </w:r>
                              </w:p>
                              <w:p w14:paraId="00BC2D47">
                                <w:pPr>
                                  <w:spacing w:line="320" w:lineRule="exact"/>
                                  <w:ind w:firstLine="420"/>
                                  <w:jc w:val="center"/>
                                  <w:rPr>
                                    <w:rFonts w:hAnsi="仿宋"/>
                                    <w:bCs/>
                                  </w:rPr>
                                </w:pPr>
                                <w:r>
                                  <w:rPr>
                                    <w:rFonts w:hint="eastAsia" w:hAnsi="仿宋"/>
                                    <w:bCs/>
                                    <w:kern w:val="0"/>
                                  </w:rPr>
                                  <w:t>器件与耗材（1</w:t>
                                </w:r>
                                <w:r>
                                  <w:rPr>
                                    <w:rFonts w:hAnsi="仿宋"/>
                                    <w:bCs/>
                                    <w:kern w:val="0"/>
                                  </w:rPr>
                                  <w:t>5</w:t>
                                </w:r>
                                <w:r>
                                  <w:rPr>
                                    <w:rFonts w:hint="eastAsia" w:hAnsi="仿宋"/>
                                    <w:bCs/>
                                    <w:kern w:val="0"/>
                                  </w:rPr>
                                  <w:t>分钟）</w:t>
                                </w:r>
                              </w:p>
                            </w:txbxContent>
                          </wps:txbx>
                          <wps:bodyPr lIns="91440" tIns="0" rIns="91440" bIns="0" upright="1"/>
                        </wps:wsp>
                        <wps:wsp>
                          <wps:cNvPr id="255" name="流程图: 可选过程 20"/>
                          <wps:cNvSpPr/>
                          <wps:spPr>
                            <a:xfrm>
                              <a:off x="4295" y="8231"/>
                              <a:ext cx="3515" cy="73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1B3C8D70">
                                <w:pPr>
                                  <w:spacing w:line="320" w:lineRule="exact"/>
                                  <w:ind w:firstLine="420"/>
                                  <w:jc w:val="center"/>
                                  <w:rPr>
                                    <w:rFonts w:hAnsi="仿宋"/>
                                    <w:bCs/>
                                  </w:rPr>
                                </w:pPr>
                                <w:r>
                                  <w:rPr>
                                    <w:rFonts w:hint="eastAsia" w:hAnsi="仿宋"/>
                                    <w:bCs/>
                                    <w:kern w:val="0"/>
                                  </w:rPr>
                                  <w:t>统一离开赛场</w:t>
                                </w:r>
                              </w:p>
                              <w:p w14:paraId="7C92C5A7">
                                <w:pPr>
                                  <w:spacing w:line="320" w:lineRule="exact"/>
                                  <w:ind w:firstLine="420"/>
                                  <w:jc w:val="center"/>
                                  <w:rPr>
                                    <w:rFonts w:hAnsi="仿宋"/>
                                    <w:bCs/>
                                  </w:rPr>
                                </w:pPr>
                                <w:r>
                                  <w:rPr>
                                    <w:rFonts w:hint="eastAsia" w:hAnsi="仿宋"/>
                                    <w:bCs/>
                                    <w:kern w:val="0"/>
                                  </w:rPr>
                                  <w:t>到指定候评区</w:t>
                                </w:r>
                              </w:p>
                              <w:p w14:paraId="778C075D">
                                <w:pPr>
                                  <w:ind w:firstLine="420"/>
                                </w:pPr>
                              </w:p>
                            </w:txbxContent>
                          </wps:txbx>
                          <wps:bodyPr lIns="91440" tIns="0" rIns="91440" bIns="0" upright="1"/>
                        </wps:wsp>
                        <wps:wsp>
                          <wps:cNvPr id="256" name="箭头 21"/>
                          <wps:cNvCnPr/>
                          <wps:spPr>
                            <a:xfrm>
                              <a:off x="6053" y="3713"/>
                              <a:ext cx="1" cy="252"/>
                            </a:xfrm>
                            <a:prstGeom prst="line">
                              <a:avLst/>
                            </a:prstGeom>
                            <a:ln w="12700" cap="flat" cmpd="sng">
                              <a:solidFill>
                                <a:srgbClr val="000000"/>
                              </a:solidFill>
                              <a:prstDash val="solid"/>
                              <a:headEnd type="none" w="med" len="med"/>
                              <a:tailEnd type="triangle" w="med" len="med"/>
                            </a:ln>
                          </wps:spPr>
                          <wps:bodyPr/>
                        </wps:wsp>
                        <wps:wsp>
                          <wps:cNvPr id="257" name="箭头 21"/>
                          <wps:cNvCnPr/>
                          <wps:spPr>
                            <a:xfrm>
                              <a:off x="6053" y="5431"/>
                              <a:ext cx="1" cy="252"/>
                            </a:xfrm>
                            <a:prstGeom prst="line">
                              <a:avLst/>
                            </a:prstGeom>
                            <a:ln w="12700" cap="flat" cmpd="sng">
                              <a:solidFill>
                                <a:srgbClr val="000000"/>
                              </a:solidFill>
                              <a:prstDash val="solid"/>
                              <a:headEnd type="none" w="med" len="med"/>
                              <a:tailEnd type="triangle" w="med" len="med"/>
                            </a:ln>
                          </wps:spPr>
                          <wps:bodyPr/>
                        </wps:wsp>
                        <wps:wsp>
                          <wps:cNvPr id="258" name="箭头 21"/>
                          <wps:cNvCnPr/>
                          <wps:spPr>
                            <a:xfrm>
                              <a:off x="6029" y="6150"/>
                              <a:ext cx="1" cy="252"/>
                            </a:xfrm>
                            <a:prstGeom prst="line">
                              <a:avLst/>
                            </a:prstGeom>
                            <a:ln w="12700" cap="flat" cmpd="sng">
                              <a:solidFill>
                                <a:srgbClr val="000000"/>
                              </a:solidFill>
                              <a:prstDash val="solid"/>
                              <a:headEnd type="none" w="med" len="med"/>
                              <a:tailEnd type="triangle" w="med" len="med"/>
                            </a:ln>
                          </wps:spPr>
                          <wps:bodyPr/>
                        </wps:wsp>
                        <wps:wsp>
                          <wps:cNvPr id="259" name="箭头 21"/>
                          <wps:cNvCnPr/>
                          <wps:spPr>
                            <a:xfrm>
                              <a:off x="6053" y="7126"/>
                              <a:ext cx="0" cy="252"/>
                            </a:xfrm>
                            <a:prstGeom prst="line">
                              <a:avLst/>
                            </a:prstGeom>
                            <a:ln w="12700" cap="flat" cmpd="sng">
                              <a:solidFill>
                                <a:srgbClr val="000000"/>
                              </a:solidFill>
                              <a:prstDash val="solid"/>
                              <a:headEnd type="none" w="med" len="med"/>
                              <a:tailEnd type="triangle" w="med" len="med"/>
                            </a:ln>
                          </wps:spPr>
                          <wps:bodyPr/>
                        </wps:wsp>
                        <wps:wsp>
                          <wps:cNvPr id="260" name="箭头 21"/>
                          <wps:cNvCnPr/>
                          <wps:spPr>
                            <a:xfrm>
                              <a:off x="6053" y="4728"/>
                              <a:ext cx="1" cy="252"/>
                            </a:xfrm>
                            <a:prstGeom prst="line">
                              <a:avLst/>
                            </a:prstGeom>
                            <a:ln w="12700" cap="flat" cmpd="sng">
                              <a:solidFill>
                                <a:srgbClr val="000000"/>
                              </a:solidFill>
                              <a:prstDash val="solid"/>
                              <a:headEnd type="none" w="med" len="med"/>
                              <a:tailEnd type="triangle" w="med" len="med"/>
                            </a:ln>
                          </wps:spPr>
                          <wps:bodyPr/>
                        </wps:wsp>
                        <wps:wsp>
                          <wps:cNvPr id="261" name="箭头 21"/>
                          <wps:cNvCnPr/>
                          <wps:spPr>
                            <a:xfrm>
                              <a:off x="6030" y="7979"/>
                              <a:ext cx="1" cy="252"/>
                            </a:xfrm>
                            <a:prstGeom prst="line">
                              <a:avLst/>
                            </a:prstGeom>
                            <a:ln w="12700" cap="flat" cmpd="sng">
                              <a:solidFill>
                                <a:srgbClr val="000000"/>
                              </a:solidFill>
                              <a:prstDash val="solid"/>
                              <a:headEnd type="none" w="med" len="med"/>
                              <a:tailEnd type="triangle" w="med" len="med"/>
                            </a:ln>
                          </wps:spPr>
                          <wps:bodyPr/>
                        </wps:wsp>
                        <wps:wsp>
                          <wps:cNvPr id="262" name="流程图: 可选过程 20"/>
                          <wps:cNvSpPr/>
                          <wps:spPr>
                            <a:xfrm>
                              <a:off x="4296" y="7378"/>
                              <a:ext cx="3515" cy="652"/>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14:paraId="035A24B1">
                                <w:pPr>
                                  <w:spacing w:line="320" w:lineRule="exact"/>
                                  <w:ind w:firstLine="174" w:firstLineChars="83"/>
                                  <w:jc w:val="center"/>
                                  <w:rPr>
                                    <w:rFonts w:hAnsi="仿宋"/>
                                    <w:bCs/>
                                  </w:rPr>
                                </w:pPr>
                                <w:r>
                                  <w:rPr>
                                    <w:rFonts w:hint="eastAsia" w:hAnsi="仿宋"/>
                                    <w:bCs/>
                                    <w:kern w:val="0"/>
                                  </w:rPr>
                                  <w:t>比赛</w:t>
                                </w:r>
                              </w:p>
                              <w:p w14:paraId="70B63D23">
                                <w:pPr>
                                  <w:spacing w:line="320" w:lineRule="exact"/>
                                  <w:ind w:firstLine="420"/>
                                  <w:jc w:val="center"/>
                                  <w:rPr>
                                    <w:rFonts w:hAnsi="仿宋"/>
                                    <w:bCs/>
                                  </w:rPr>
                                </w:pPr>
                                <w:r>
                                  <w:rPr>
                                    <w:rFonts w:hint="eastAsia" w:hAnsi="仿宋"/>
                                    <w:bCs/>
                                    <w:kern w:val="0"/>
                                  </w:rPr>
                                  <w:t>过程评分（现场裁判）</w:t>
                                </w:r>
                              </w:p>
                              <w:p w14:paraId="45D1997D">
                                <w:pPr>
                                  <w:spacing w:line="320" w:lineRule="exact"/>
                                  <w:ind w:firstLine="174" w:firstLineChars="83"/>
                                  <w:jc w:val="center"/>
                                  <w:rPr>
                                    <w:rFonts w:hAnsi="仿宋"/>
                                    <w:bCs/>
                                  </w:rPr>
                                </w:pPr>
                              </w:p>
                            </w:txbxContent>
                          </wps:txbx>
                          <wps:bodyPr lIns="91440" tIns="0" rIns="91440" bIns="0" upright="1"/>
                        </wps:wsp>
                        <wps:wsp>
                          <wps:cNvPr id="269" name="箭头 21"/>
                          <wps:cNvCnPr>
                            <a:stCxn id="249" idx="2"/>
                            <a:endCxn id="250" idx="0"/>
                          </wps:cNvCnPr>
                          <wps:spPr>
                            <a:xfrm>
                              <a:off x="6053" y="2524"/>
                              <a:ext cx="0" cy="453"/>
                            </a:xfrm>
                            <a:prstGeom prst="line">
                              <a:avLst/>
                            </a:prstGeom>
                            <a:ln w="12700" cap="flat" cmpd="sng">
                              <a:solidFill>
                                <a:srgbClr val="000000"/>
                              </a:solidFill>
                              <a:prstDash val="solid"/>
                              <a:headEnd type="none" w="med" len="med"/>
                              <a:tailEnd type="triangle" w="med" len="med"/>
                            </a:ln>
                          </wps:spPr>
                          <wps:bodyPr/>
                        </wps:wsp>
                      </wpg:grpSp>
                    </wpg:wgp>
                  </a:graphicData>
                </a:graphic>
              </wp:inline>
            </w:drawing>
          </mc:Choice>
          <mc:Fallback>
            <w:pict>
              <v:group id="组合 90" o:spid="_x0000_s1026" o:spt="203" style="height:560.5pt;width:405.2pt;" coordorigin="3382,1389" coordsize="5031,10579" o:gfxdata="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">
                <o:lock v:ext="edit" aspectratio="f"/>
                <v:group id="组合 89" o:spid="_x0000_s1026" o:spt="203" style="position:absolute;left:3382;top:8821;height:3147;width:5031;" coordorigin="3424,8808" coordsize="5031,3147" o:gfxdata="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3n5OLvwAAANwAAAAPAAAAAAAAAAEAIAAAACIAAABkcnMvZG93bnJldi54&#10;bWxQSwECFAAUAAAACACHTuJAMy8FnjsAAAA5AAAAFQAAAAAAAAABACAAAAAOAQAAZHJzL2dyb3Vw&#10;c2hhcGV4bWwueG1sUEsFBgAAAAAGAAYAYAEAAMsDAAAAAA==&#10;">
                  <o:lock v:ext="edit" aspectratio="f"/>
                  <v:group id="组合 86" o:spid="_x0000_s1026" o:spt="203" style="position:absolute;left:3424;top:8808;height:1719;width:5031;" coordorigin="3424,8808" coordsize="5031,1719" o:gfxdata="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dNDfy+AAAA3AAAAA8AAAAAAAAAAQAgAAAAIgAAAGRycy9kb3ducmV2Lnht&#10;bFBLAQIUABQAAAAIAIdO4kAzLwWeOwAAADkAAAAVAAAAAAAAAAEAIAAAAA0BAABkcnMvZ3JvdXBz&#10;aGFwZXhtbC54bWxQSwUGAAAAAAYABgBgAQAAygMAAAAA&#10;">
                    <o:lock v:ext="edit" aspectratio="f"/>
                    <v:line id="箭头 21" o:spid="_x0000_s1026" o:spt="20" style="position:absolute;left:6820;top:8854;height:400;width:2;" filled="f" stroked="t" coordsize="21600,21600" o:gfxdata="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D4Hr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group id="组合 80" o:spid="_x0000_s1026" o:spt="203" style="position:absolute;left:3424;top:9274;height:533;width:5031;" coordorigin="3626,9406" coordsize="5031,474" o:gfxdata="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n6DATvwAAANwAAAAPAAAAAAAAAAEAIAAAACIAAABkcnMvZG93bnJldi54&#10;bWxQSwECFAAUAAAACACHTuJAMy8FnjsAAAA5AAAAFQAAAAAAAAABACAAAAAOAQAAZHJzL2dyb3Vw&#10;c2hhcGV4bWwueG1sUEsFBgAAAAAGAAYAYAEAAMsDAAAAAA==&#10;">
                      <o:lock v:ext="edit" aspectratio="f"/>
                      <v:shape id="流程图: 可选过程 20" o:spid="_x0000_s1026" o:spt="176" type="#_x0000_t176" style="position:absolute;left:3626;top:9407;height:454;width:2450;" fillcolor="#FFFFFF" filled="t" stroked="t" coordsize="21600,21600" o:gfxdata="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ecLy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2.54mm,0mm,2.54mm,0mm">
                          <w:txbxContent>
                            <w:p w14:paraId="379C0C48">
                              <w:pPr>
                                <w:spacing w:line="320" w:lineRule="exact"/>
                                <w:ind w:firstLine="420"/>
                                <w:jc w:val="center"/>
                                <w:rPr>
                                  <w:rFonts w:hAnsi="仿宋"/>
                                  <w:bCs/>
                                </w:rPr>
                              </w:pPr>
                              <w:r>
                                <w:rPr>
                                  <w:rFonts w:hint="eastAsia" w:hAnsi="仿宋"/>
                                  <w:bCs/>
                                  <w:kern w:val="0"/>
                                </w:rPr>
                                <w:t>结果评分（评分裁判）</w:t>
                              </w:r>
                            </w:p>
                          </w:txbxContent>
                        </v:textbox>
                      </v:shape>
                      <v:shape id="流程图: 可选过程 20" o:spid="_x0000_s1026" o:spt="176" type="#_x0000_t176" style="position:absolute;left:6318;top:9406;height:474;width:2339;" fillcolor="#FFFFFF" filled="t" stroked="t" coordsize="21600,21600" o:gfxdata="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kzuy7sAAADc&#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14:paraId="3ED81FF5">
                              <w:pPr>
                                <w:spacing w:line="320" w:lineRule="exact"/>
                                <w:ind w:firstLine="420"/>
                                <w:jc w:val="center"/>
                                <w:rPr>
                                  <w:rFonts w:hAnsi="仿宋"/>
                                  <w:bCs/>
                                </w:rPr>
                              </w:pPr>
                              <w:r>
                                <w:rPr>
                                  <w:rFonts w:hint="eastAsia" w:hAnsi="仿宋"/>
                                  <w:bCs/>
                                  <w:kern w:val="0"/>
                                </w:rPr>
                                <w:t>职业素养评分（评分裁判）</w:t>
                              </w:r>
                            </w:p>
                          </w:txbxContent>
                        </v:textbox>
                      </v:shape>
                    </v:group>
                    <v:line id="箭头 21" o:spid="_x0000_s1026" o:spt="20" style="position:absolute;left:5137;top:8808;height:400;width:2;" filled="f" stroked="t" coordsize="21600,21600" o:gfxdata="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h2/&#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group id="组合 85" o:spid="_x0000_s1026" o:spt="203" style="position:absolute;left:5139;top:9800;height:727;width:1700;" coordorigin="5454,11282" coordsize="1700,727" o:gfxdata="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alOha7AAAA3AAAAA8AAAAAAAAAAQAgAAAAIgAAAGRycy9kb3ducmV2LnhtbFBL&#10;AQIUABQAAAAIAIdO4kAzLwWeOwAAADkAAAAVAAAAAAAAAAEAIAAAAAoBAABkcnMvZ3JvdXBzaGFw&#10;ZXhtbC54bWxQSwUGAAAAAAYABgBgAQAAxwMAAAAA&#10;">
                      <o:lock v:ext="edit" aspectratio="f"/>
                      <v:line id="直线 47" o:spid="_x0000_s1026" o:spt="20" style="position:absolute;left:5454;top:11282;flip:y;height:480;width:1;" filled="f" stroked="t" coordsize="21600,21600" o:gfxdata="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R8EL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直线 47" o:spid="_x0000_s1026" o:spt="20" style="position:absolute;left:7153;top:11282;flip:y;height:480;width:1;" filled="f" stroked="t" coordsize="21600,21600" o:gfxdata="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V7G+u5AAAA3A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箭头 21" o:spid="_x0000_s1026" o:spt="20" style="position:absolute;left:6305;top:11757;height:252;width:0;" filled="f" stroked="t" coordsize="21600,21600" o:gfxdata="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iwj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直线 45" o:spid="_x0000_s1026" o:spt="20" style="position:absolute;left:5457;top:11761;flip:x;height:1;width:836;" filled="f" stroked="t" coordsize="21600,21600" o:gfxdata="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5SAH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直线 45" o:spid="_x0000_s1026" o:spt="20" style="position:absolute;left:6317;top:11761;flip:x;height:1;width:836;" filled="f" stroked="t" coordsize="21600,21600" o:gfxdata="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qYWc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v:group>
                  <v:group id="组合 88" o:spid="_x0000_s1026" o:spt="203" style="position:absolute;left:4237;top:10571;height:1384;width:3515;" coordorigin="4176,10571" coordsize="3515,1384" o:gfxdata="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uQ26+AAAA3AAAAA8AAAAAAAAAAQAgAAAAIgAAAGRycy9kb3ducmV2Lnht&#10;bFBLAQIUABQAAAAIAIdO4kAzLwWeOwAAADkAAAAVAAAAAAAAAAEAIAAAAA0BAABkcnMvZ3JvdXBz&#10;aGFwZXhtbC54bWxQSwUGAAAAAAYABgBgAQAAygMAAAAA&#10;">
                    <o:lock v:ext="edit" aspectratio="f"/>
                    <v:shape id="流程图: 可选过程 20" o:spid="_x0000_s1026" o:spt="176" type="#_x0000_t176" style="position:absolute;left:4176;top:10571;height:510;width:3515;" fillcolor="#FFFFFF" filled="t" stroked="t" coordsize="21600,21600" o:gfxdata="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nTPx&#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22540527">
                            <w:pPr>
                              <w:spacing w:line="320" w:lineRule="exact"/>
                              <w:ind w:firstLine="420"/>
                              <w:jc w:val="center"/>
                              <w:rPr>
                                <w:rFonts w:hAnsi="仿宋"/>
                                <w:bCs/>
                              </w:rPr>
                            </w:pPr>
                            <w:r>
                              <w:rPr>
                                <w:rFonts w:hint="eastAsia" w:hAnsi="仿宋"/>
                                <w:bCs/>
                                <w:kern w:val="0"/>
                              </w:rPr>
                              <w:t>比赛结束（选手离场）</w:t>
                            </w:r>
                          </w:p>
                        </w:txbxContent>
                      </v:textbox>
                    </v:shape>
                    <v:shape id="流程图: 可选过程 20" o:spid="_x0000_s1026" o:spt="176" type="#_x0000_t176" style="position:absolute;left:4176;top:11445;height:510;width:3515;" fillcolor="#FFFFFF" filled="t" stroked="t" coordsize="21600,21600" o:gfxdata="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k+t&#10;hsEAAADcAAAADwAAAAAAAAABACAAAAAiAAAAZHJzL2Rvd25yZXYueG1sUEsBAhQAFAAAAAgAh07i&#10;QDMvBZ47AAAAOQAAABAAAAAAAAAAAQAgAAAAEAEAAGRycy9zaGFwZXhtbC54bWxQSwUGAAAAAAYA&#10;BgBbAQAAugMAAAAA&#10;">
                      <v:fill on="t" focussize="0,0"/>
                      <v:stroke weight="1pt" color="#000000" joinstyle="miter"/>
                      <v:imagedata o:title=""/>
                      <o:lock v:ext="edit" aspectratio="f"/>
                      <v:textbox>
                        <w:txbxContent>
                          <w:p w14:paraId="16A79587">
                            <w:pPr>
                              <w:spacing w:line="320" w:lineRule="exact"/>
                              <w:ind w:firstLine="420"/>
                              <w:jc w:val="center"/>
                              <w:rPr>
                                <w:rFonts w:hAnsi="仿宋"/>
                                <w:bCs/>
                              </w:rPr>
                            </w:pPr>
                            <w:r>
                              <w:rPr>
                                <w:rFonts w:hint="eastAsia" w:hAnsi="仿宋"/>
                                <w:bCs/>
                                <w:kern w:val="0"/>
                              </w:rPr>
                              <w:t>解密、成绩公布（比赛结束后1</w:t>
                            </w:r>
                            <w:r>
                              <w:rPr>
                                <w:rFonts w:hAnsi="仿宋"/>
                                <w:bCs/>
                                <w:kern w:val="0"/>
                              </w:rPr>
                              <w:t>2</w:t>
                            </w:r>
                            <w:r>
                              <w:rPr>
                                <w:rFonts w:hint="eastAsia" w:hAnsi="仿宋"/>
                                <w:bCs/>
                                <w:kern w:val="0"/>
                              </w:rPr>
                              <w:t>小时</w:t>
                            </w:r>
                            <w:r>
                              <w:rPr>
                                <w:rFonts w:hint="eastAsia" w:ascii="宋体" w:hAnsi="宋体" w:cs="宋体"/>
                                <w:bCs/>
                                <w:kern w:val="0"/>
                              </w:rPr>
                              <w:t>）</w:t>
                            </w:r>
                            <w:r>
                              <w:rPr>
                                <w:rFonts w:hint="eastAsia" w:hAnsi="仿宋"/>
                                <w:bCs/>
                                <w:kern w:val="0"/>
                              </w:rPr>
                              <w:t>内）</w:t>
                            </w:r>
                          </w:p>
                        </w:txbxContent>
                      </v:textbox>
                    </v:shape>
                    <v:line id="箭头 21" o:spid="_x0000_s1026" o:spt="20" style="position:absolute;left:5933;top:11137;height:253;width:1;" filled="f" stroked="t" coordsize="21600,21600" o:gfxdata="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tjWC/&#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group>
                </v:group>
                <v:group id="组合 87" o:spid="_x0000_s1026" o:spt="203" style="position:absolute;left:4195;top:1389;height:7579;width:3516;" coordorigin="4295,1389" coordsize="3516,7579" o:gfxdata="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0lrvAAAANwAAAAPAAAAAAAAAAEAIAAAACIAAABkcnMvZG93bnJldi54bWxQ&#10;SwECFAAUAAAACACHTuJAMy8FnjsAAAA5AAAAFQAAAAAAAAABACAAAAALAQAAZHJzL2dyb3Vwc2hh&#10;cGV4bWwueG1sUEsFBgAAAAAGAAYAYAEAAMgDAAAAAA==&#10;">
                  <o:lock v:ext="edit" aspectratio="f"/>
                  <v:shape id="流程图: 可选过程 20" o:spid="_x0000_s1026" o:spt="176" type="#_x0000_t176" style="position:absolute;left:4296;top:1389;height:1134;width:3515;" fillcolor="#FFFFFF" filled="t" stroked="t" coordsize="21600,21600" o:gfxdata="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9UJxLsAAADc&#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14:paraId="2BD050AC">
                          <w:pPr>
                            <w:spacing w:line="360" w:lineRule="exact"/>
                            <w:ind w:firstLine="420"/>
                            <w:jc w:val="center"/>
                            <w:rPr>
                              <w:rFonts w:hAnsi="仿宋"/>
                              <w:bCs/>
                            </w:rPr>
                          </w:pPr>
                          <w:r>
                            <w:rPr>
                              <w:rFonts w:hint="eastAsia" w:hAnsi="仿宋"/>
                              <w:bCs/>
                              <w:kern w:val="0"/>
                            </w:rPr>
                            <w:t>检录</w:t>
                          </w:r>
                        </w:p>
                        <w:p w14:paraId="4E2F40E2">
                          <w:pPr>
                            <w:spacing w:line="360" w:lineRule="exact"/>
                            <w:ind w:firstLine="420"/>
                            <w:jc w:val="center"/>
                          </w:pPr>
                          <w:r>
                            <w:rPr>
                              <w:rFonts w:hint="eastAsia" w:hAnsi="仿宋"/>
                              <w:bCs/>
                              <w:kern w:val="0"/>
                            </w:rPr>
                            <w:t>（选手持参赛证、学生证（教师资格证）、身份证在规定时间及指定地点经赛场工作人员检录后进入抽签区）</w:t>
                          </w:r>
                        </w:p>
                      </w:txbxContent>
                    </v:textbox>
                  </v:shape>
                  <v:shape id="流程图: 可选过程 20" o:spid="_x0000_s1026" o:spt="176" type="#_x0000_t176" style="position:absolute;left:4296;top:2976;height:737;width:3515;" fillcolor="#FFFFFF" filled="t" stroked="t" coordsize="21600,21600" o:gfxdata="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zY2hLgAAADcAAAA&#10;DwAAAAAAAAABACAAAAAiAAAAZHJzL2Rvd25yZXYueG1sUEsBAhQAFAAAAAgAh07iQDMvBZ47AAAA&#10;OQAAABAAAAAAAAAAAQAgAAAABwEAAGRycy9zaGFwZXhtbC54bWxQSwUGAAAAAAYABgBbAQAAsQMA&#10;AAAA&#10;">
                    <v:fill on="t" focussize="0,0"/>
                    <v:stroke weight="1pt" color="#000000" joinstyle="miter"/>
                    <v:imagedata o:title=""/>
                    <o:lock v:ext="edit" aspectratio="f"/>
                    <v:textbox inset="2.54mm,0mm,2.54mm,0mm">
                      <w:txbxContent>
                        <w:p w14:paraId="09F9BD7E">
                          <w:pPr>
                            <w:spacing w:line="320" w:lineRule="exact"/>
                            <w:ind w:firstLine="420"/>
                            <w:jc w:val="center"/>
                            <w:rPr>
                              <w:rFonts w:hAnsi="仿宋"/>
                              <w:bCs/>
                              <w:color w:val="FF0000"/>
                            </w:rPr>
                          </w:pPr>
                          <w:r>
                            <w:rPr>
                              <w:rFonts w:hint="eastAsia" w:hAnsi="仿宋"/>
                              <w:bCs/>
                              <w:kern w:val="0"/>
                            </w:rPr>
                            <w:t>第一次抽签确定参赛编号</w:t>
                          </w:r>
                        </w:p>
                        <w:p w14:paraId="035F47DC">
                          <w:pPr>
                            <w:spacing w:line="320" w:lineRule="exact"/>
                            <w:ind w:firstLine="420"/>
                            <w:jc w:val="center"/>
                            <w:rPr>
                              <w:rFonts w:hAnsi="仿宋"/>
                              <w:bCs/>
                            </w:rPr>
                          </w:pPr>
                          <w:r>
                            <w:rPr>
                              <w:rFonts w:hint="eastAsia" w:hAnsi="仿宋"/>
                              <w:bCs/>
                              <w:kern w:val="0"/>
                            </w:rPr>
                            <w:t>（比赛前加密裁判第一次加密）</w:t>
                          </w:r>
                        </w:p>
                      </w:txbxContent>
                    </v:textbox>
                  </v:shape>
                  <v:shape id="流程图: 可选过程 119" o:spid="_x0000_s1026" o:spt="176" type="#_x0000_t176" style="position:absolute;left:4296;top:3988;height:737;width:3515;" fillcolor="#FFFFFF" filled="t" stroked="t" coordsize="21600,21600" o:gfxdata="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6kx+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2.54mm,0mm,2.54mm,0mm">
                      <w:txbxContent>
                        <w:p w14:paraId="3485227D">
                          <w:pPr>
                            <w:spacing w:line="320" w:lineRule="exact"/>
                            <w:ind w:firstLine="420"/>
                            <w:jc w:val="center"/>
                            <w:rPr>
                              <w:rFonts w:hAnsi="仿宋"/>
                              <w:bCs/>
                            </w:rPr>
                          </w:pPr>
                          <w:r>
                            <w:rPr>
                              <w:rFonts w:hint="eastAsia" w:hAnsi="仿宋"/>
                              <w:bCs/>
                              <w:kern w:val="0"/>
                            </w:rPr>
                            <w:t>第二次抽签确定赛位号</w:t>
                          </w:r>
                        </w:p>
                        <w:p w14:paraId="64341388">
                          <w:pPr>
                            <w:spacing w:line="320" w:lineRule="exact"/>
                            <w:ind w:firstLine="420"/>
                            <w:jc w:val="center"/>
                            <w:rPr>
                              <w:rFonts w:hAnsi="仿宋"/>
                              <w:bCs/>
                            </w:rPr>
                          </w:pPr>
                          <w:r>
                            <w:rPr>
                              <w:rFonts w:hint="eastAsia" w:hAnsi="仿宋"/>
                              <w:bCs/>
                              <w:kern w:val="0"/>
                            </w:rPr>
                            <w:t>（比赛前加密裁判第二次加密）</w:t>
                          </w:r>
                        </w:p>
                        <w:p w14:paraId="0112C300">
                          <w:pPr>
                            <w:spacing w:line="320" w:lineRule="exact"/>
                            <w:ind w:firstLine="420"/>
                            <w:jc w:val="center"/>
                            <w:rPr>
                              <w:rFonts w:hAnsi="仿宋"/>
                              <w:bCs/>
                            </w:rPr>
                          </w:pPr>
                        </w:p>
                      </w:txbxContent>
                    </v:textbox>
                  </v:shape>
                  <v:shape id="流程图: 可选过程 20" o:spid="_x0000_s1026" o:spt="176" type="#_x0000_t176" style="position:absolute;left:4296;top:4980;height:454;width:3515;" fillcolor="#FFFFFF" filled="t" stroked="t" coordsize="21600,21600" o:gfxdata="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oDWi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2.54mm,0mm,2.54mm,0mm">
                      <w:txbxContent>
                        <w:p w14:paraId="49C32683">
                          <w:pPr>
                            <w:spacing w:line="320" w:lineRule="exact"/>
                            <w:ind w:firstLine="420"/>
                            <w:jc w:val="center"/>
                            <w:rPr>
                              <w:rFonts w:hAnsi="仿宋"/>
                              <w:bCs/>
                            </w:rPr>
                          </w:pPr>
                          <w:r>
                            <w:rPr>
                              <w:rFonts w:hint="eastAsia" w:hAnsi="仿宋"/>
                              <w:bCs/>
                              <w:kern w:val="0"/>
                            </w:rPr>
                            <w:t>有序进入赛场</w:t>
                          </w:r>
                        </w:p>
                      </w:txbxContent>
                    </v:textbox>
                  </v:shape>
                  <v:shape id="流程图: 可选过程 20" o:spid="_x0000_s1026" o:spt="176" type="#_x0000_t176" style="position:absolute;left:4296;top:5683;height:454;width:3515;" fillcolor="#FFFFFF" filled="t" stroked="t" coordsize="21600,21600" o:gfxdata="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4ZjD&#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6BA83A75">
                          <w:pPr>
                            <w:spacing w:line="320" w:lineRule="exact"/>
                            <w:ind w:firstLine="420"/>
                            <w:jc w:val="center"/>
                            <w:rPr>
                              <w:rFonts w:hAnsi="仿宋"/>
                              <w:bCs/>
                            </w:rPr>
                          </w:pPr>
                          <w:r>
                            <w:rPr>
                              <w:rFonts w:hint="eastAsia" w:hAnsi="仿宋"/>
                              <w:bCs/>
                              <w:kern w:val="0"/>
                            </w:rPr>
                            <w:t>统一分发竞赛任务书</w:t>
                          </w:r>
                        </w:p>
                      </w:txbxContent>
                    </v:textbox>
                  </v:shape>
                  <v:shape id="流程图: 可选过程 20" o:spid="_x0000_s1026" o:spt="176" type="#_x0000_t176" style="position:absolute;left:4296;top:6389;height:737;width:3515;" fillcolor="#FFFFFF" filled="t" stroked="t" coordsize="21600,21600" o:gfxdata="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NMIe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2.54mm,0mm,2.54mm,0mm">
                      <w:txbxContent>
                        <w:p w14:paraId="64DD4DE1">
                          <w:pPr>
                            <w:spacing w:line="320" w:lineRule="exact"/>
                            <w:ind w:firstLine="420"/>
                            <w:jc w:val="center"/>
                            <w:rPr>
                              <w:rFonts w:hAnsi="仿宋"/>
                              <w:bCs/>
                            </w:rPr>
                          </w:pPr>
                          <w:r>
                            <w:rPr>
                              <w:rFonts w:hint="eastAsia" w:hAnsi="仿宋"/>
                              <w:bCs/>
                              <w:kern w:val="0"/>
                            </w:rPr>
                            <w:t>赛前准备、清点检查设备</w:t>
                          </w:r>
                        </w:p>
                        <w:p w14:paraId="00BC2D47">
                          <w:pPr>
                            <w:spacing w:line="320" w:lineRule="exact"/>
                            <w:ind w:firstLine="420"/>
                            <w:jc w:val="center"/>
                            <w:rPr>
                              <w:rFonts w:hAnsi="仿宋"/>
                              <w:bCs/>
                            </w:rPr>
                          </w:pPr>
                          <w:r>
                            <w:rPr>
                              <w:rFonts w:hint="eastAsia" w:hAnsi="仿宋"/>
                              <w:bCs/>
                              <w:kern w:val="0"/>
                            </w:rPr>
                            <w:t>器件与耗材（1</w:t>
                          </w:r>
                          <w:r>
                            <w:rPr>
                              <w:rFonts w:hAnsi="仿宋"/>
                              <w:bCs/>
                              <w:kern w:val="0"/>
                            </w:rPr>
                            <w:t>5</w:t>
                          </w:r>
                          <w:r>
                            <w:rPr>
                              <w:rFonts w:hint="eastAsia" w:hAnsi="仿宋"/>
                              <w:bCs/>
                              <w:kern w:val="0"/>
                            </w:rPr>
                            <w:t>分钟）</w:t>
                          </w:r>
                        </w:p>
                      </w:txbxContent>
                    </v:textbox>
                  </v:shape>
                  <v:shape id="流程图: 可选过程 20" o:spid="_x0000_s1026" o:spt="176" type="#_x0000_t176" style="position:absolute;left:4295;top:8231;height:737;width:3515;" fillcolor="#FFFFFF" filled="t" stroked="t" coordsize="21600,21600" o:gfxdata="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0GVHLsAAADc&#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14:paraId="1B3C8D70">
                          <w:pPr>
                            <w:spacing w:line="320" w:lineRule="exact"/>
                            <w:ind w:firstLine="420"/>
                            <w:jc w:val="center"/>
                            <w:rPr>
                              <w:rFonts w:hAnsi="仿宋"/>
                              <w:bCs/>
                            </w:rPr>
                          </w:pPr>
                          <w:r>
                            <w:rPr>
                              <w:rFonts w:hint="eastAsia" w:hAnsi="仿宋"/>
                              <w:bCs/>
                              <w:kern w:val="0"/>
                            </w:rPr>
                            <w:t>统一离开赛场</w:t>
                          </w:r>
                        </w:p>
                        <w:p w14:paraId="7C92C5A7">
                          <w:pPr>
                            <w:spacing w:line="320" w:lineRule="exact"/>
                            <w:ind w:firstLine="420"/>
                            <w:jc w:val="center"/>
                            <w:rPr>
                              <w:rFonts w:hAnsi="仿宋"/>
                              <w:bCs/>
                            </w:rPr>
                          </w:pPr>
                          <w:r>
                            <w:rPr>
                              <w:rFonts w:hint="eastAsia" w:hAnsi="仿宋"/>
                              <w:bCs/>
                              <w:kern w:val="0"/>
                            </w:rPr>
                            <w:t>到指定候评区</w:t>
                          </w:r>
                        </w:p>
                        <w:p w14:paraId="778C075D">
                          <w:pPr>
                            <w:ind w:firstLine="420"/>
                          </w:pPr>
                        </w:p>
                      </w:txbxContent>
                    </v:textbox>
                  </v:shape>
                  <v:line id="箭头 21" o:spid="_x0000_s1026" o:spt="20" style="position:absolute;left:6053;top:3713;height:252;width:1;" filled="f" stroked="t" coordsize="21600,21600" o:gfxdata="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04via/&#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箭头 21" o:spid="_x0000_s1026" o:spt="20" style="position:absolute;left:6053;top:5431;height:252;width:1;" filled="f" stroked="t" coordsize="21600,21600" o:gfxdata="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0G72/&#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箭头 21" o:spid="_x0000_s1026" o:spt="20" style="position:absolute;left:6029;top:6150;height:252;width:1;" filled="f" stroked="t" coordsize="21600,21600" o:gfxdata="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uPz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箭头 21" o:spid="_x0000_s1026" o:spt="20" style="position:absolute;left:6053;top:7126;height:252;width:0;" filled="f" stroked="t" coordsize="21600,21600" o:gfxdata="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nKlS/&#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箭头 21" o:spid="_x0000_s1026" o:spt="20" style="position:absolute;left:6053;top:4728;height:252;width:1;" filled="f" stroked="t" coordsize="21600,21600" o:gfxdata="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8Ul0vQAA&#10;ANw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箭头 21" o:spid="_x0000_s1026" o:spt="20" style="position:absolute;left:6030;top:7979;height:252;width:1;" filled="f" stroked="t" coordsize="21600,21600" o:gfxdata="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3s7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流程图: 可选过程 20" o:spid="_x0000_s1026" o:spt="176" type="#_x0000_t176" style="position:absolute;left:4296;top:7378;height:652;width:3515;" fillcolor="#FFFFFF" filled="t" stroked="t" coordsize="21600,21600" o:gfxdata="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Ex9W8AAAA&#10;3A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2.54mm,0mm,2.54mm,0mm">
                      <w:txbxContent>
                        <w:p w14:paraId="035A24B1">
                          <w:pPr>
                            <w:spacing w:line="320" w:lineRule="exact"/>
                            <w:ind w:firstLine="174" w:firstLineChars="83"/>
                            <w:jc w:val="center"/>
                            <w:rPr>
                              <w:rFonts w:hAnsi="仿宋"/>
                              <w:bCs/>
                            </w:rPr>
                          </w:pPr>
                          <w:r>
                            <w:rPr>
                              <w:rFonts w:hint="eastAsia" w:hAnsi="仿宋"/>
                              <w:bCs/>
                              <w:kern w:val="0"/>
                            </w:rPr>
                            <w:t>比赛</w:t>
                          </w:r>
                        </w:p>
                        <w:p w14:paraId="70B63D23">
                          <w:pPr>
                            <w:spacing w:line="320" w:lineRule="exact"/>
                            <w:ind w:firstLine="420"/>
                            <w:jc w:val="center"/>
                            <w:rPr>
                              <w:rFonts w:hAnsi="仿宋"/>
                              <w:bCs/>
                            </w:rPr>
                          </w:pPr>
                          <w:r>
                            <w:rPr>
                              <w:rFonts w:hint="eastAsia" w:hAnsi="仿宋"/>
                              <w:bCs/>
                              <w:kern w:val="0"/>
                            </w:rPr>
                            <w:t>过程评分（现场裁判）</w:t>
                          </w:r>
                        </w:p>
                        <w:p w14:paraId="45D1997D">
                          <w:pPr>
                            <w:spacing w:line="320" w:lineRule="exact"/>
                            <w:ind w:firstLine="174" w:firstLineChars="83"/>
                            <w:jc w:val="center"/>
                            <w:rPr>
                              <w:rFonts w:hAnsi="仿宋"/>
                              <w:bCs/>
                            </w:rPr>
                          </w:pPr>
                        </w:p>
                      </w:txbxContent>
                    </v:textbox>
                  </v:shape>
                  <v:line id="箭头 21" o:spid="_x0000_s1026" o:spt="20" style="position:absolute;left:6053;top:2524;height:453;width:0;" filled="f" stroked="t" coordsize="21600,21600" o:gfxdata="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L4Om/&#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group>
                <w10:wrap type="none"/>
                <w10:anchorlock/>
              </v:group>
            </w:pict>
          </mc:Fallback>
        </mc:AlternateContent>
      </w:r>
    </w:p>
    <w:p w14:paraId="1C4AF5B6">
      <w:pPr>
        <w:tabs>
          <w:tab w:val="left" w:pos="7310"/>
        </w:tabs>
        <w:spacing w:line="288" w:lineRule="auto"/>
        <w:contextualSpacing/>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图1 竞赛流程</w:t>
      </w:r>
    </w:p>
    <w:p w14:paraId="4093ED28">
      <w:pPr>
        <w:spacing w:line="288" w:lineRule="auto"/>
        <w:ind w:firstLine="482" w:firstLineChars="200"/>
        <w:contextualSpacing/>
        <w:rPr>
          <w:rFonts w:hint="eastAsia" w:ascii="仿宋" w:hAnsi="仿宋" w:eastAsia="仿宋" w:cs="仿宋"/>
          <w:b/>
          <w:bCs/>
          <w:sz w:val="24"/>
          <w:szCs w:val="24"/>
          <w:highlight w:val="none"/>
          <w:lang w:val="en-US" w:eastAsia="zh-CN"/>
        </w:rPr>
      </w:pPr>
    </w:p>
    <w:p w14:paraId="47F0E2BA">
      <w:pPr>
        <w:spacing w:line="288" w:lineRule="auto"/>
        <w:ind w:firstLine="482" w:firstLineChars="200"/>
        <w:contextualSpacing/>
        <w:rPr>
          <w:rFonts w:hint="eastAsia" w:ascii="仿宋" w:hAnsi="仿宋" w:eastAsia="仿宋" w:cs="仿宋"/>
          <w:b/>
          <w:bCs/>
          <w:sz w:val="24"/>
          <w:szCs w:val="24"/>
          <w:highlight w:val="none"/>
          <w:lang w:val="en-US" w:eastAsia="zh-CN"/>
        </w:rPr>
      </w:pPr>
    </w:p>
    <w:p w14:paraId="1143C6A0">
      <w:pPr>
        <w:spacing w:line="288" w:lineRule="auto"/>
        <w:ind w:firstLine="482" w:firstLineChars="200"/>
        <w:contextualSpacing/>
        <w:rPr>
          <w:rFonts w:hint="eastAsia" w:ascii="仿宋" w:hAnsi="仿宋" w:eastAsia="仿宋" w:cs="仿宋"/>
          <w:b/>
          <w:bCs/>
          <w:sz w:val="24"/>
          <w:szCs w:val="24"/>
          <w:highlight w:val="none"/>
          <w:lang w:val="en-US" w:eastAsia="zh-CN"/>
        </w:rPr>
      </w:pPr>
    </w:p>
    <w:p w14:paraId="60396020">
      <w:pPr>
        <w:spacing w:line="288" w:lineRule="auto"/>
        <w:ind w:firstLine="482" w:firstLineChars="200"/>
        <w:contextualSpacing/>
        <w:rPr>
          <w:rFonts w:hint="eastAsia" w:ascii="仿宋" w:hAnsi="仿宋" w:eastAsia="仿宋" w:cs="仿宋"/>
          <w:b/>
          <w:bCs/>
          <w:sz w:val="24"/>
          <w:szCs w:val="24"/>
          <w:highlight w:val="none"/>
          <w:lang w:val="en-US" w:eastAsia="zh-CN"/>
        </w:rPr>
      </w:pPr>
    </w:p>
    <w:p w14:paraId="066CDB4E">
      <w:pPr>
        <w:spacing w:line="288" w:lineRule="auto"/>
        <w:ind w:firstLine="482" w:firstLineChars="200"/>
        <w:contextualSpacing/>
        <w:rPr>
          <w:rFonts w:hint="eastAsia" w:ascii="仿宋" w:hAnsi="仿宋" w:eastAsia="仿宋" w:cs="仿宋"/>
          <w:b/>
          <w:bCs/>
          <w:sz w:val="24"/>
          <w:szCs w:val="24"/>
          <w:highlight w:val="none"/>
          <w:lang w:val="en-US" w:eastAsia="zh-CN"/>
        </w:rPr>
      </w:pPr>
    </w:p>
    <w:p w14:paraId="0EA92AC4">
      <w:pPr>
        <w:spacing w:line="288" w:lineRule="auto"/>
        <w:ind w:firstLine="482" w:firstLineChars="200"/>
        <w:contextualSpacing/>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（二）竞赛时间安排与流程</w:t>
      </w:r>
    </w:p>
    <w:tbl>
      <w:tblPr>
        <w:tblStyle w:val="12"/>
        <w:tblpPr w:leftFromText="180" w:rightFromText="180" w:vertAnchor="text" w:horzAnchor="page" w:tblpX="1637" w:tblpY="202"/>
        <w:tblOverlap w:val="never"/>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269"/>
        <w:gridCol w:w="5147"/>
      </w:tblGrid>
      <w:tr w14:paraId="3644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36" w:type="dxa"/>
            <w:shd w:val="clear" w:color="auto" w:fill="auto"/>
            <w:vAlign w:val="center"/>
          </w:tcPr>
          <w:p w14:paraId="6D630003">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b/>
                <w:bCs/>
                <w:szCs w:val="21"/>
                <w:highlight w:val="none"/>
              </w:rPr>
            </w:pPr>
            <w:r>
              <w:rPr>
                <w:rFonts w:ascii="Times New Roman" w:hAnsi="Times New Roman" w:eastAsia="仿宋_GB2312"/>
                <w:b/>
                <w:bCs/>
                <w:szCs w:val="21"/>
                <w:highlight w:val="none"/>
              </w:rPr>
              <w:t>日期</w:t>
            </w:r>
          </w:p>
        </w:tc>
        <w:tc>
          <w:tcPr>
            <w:tcW w:w="2269" w:type="dxa"/>
            <w:shd w:val="clear" w:color="auto" w:fill="auto"/>
            <w:vAlign w:val="center"/>
          </w:tcPr>
          <w:p w14:paraId="3B4C6F36">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b/>
                <w:bCs/>
                <w:szCs w:val="21"/>
                <w:highlight w:val="none"/>
              </w:rPr>
            </w:pPr>
            <w:r>
              <w:rPr>
                <w:rFonts w:ascii="Times New Roman" w:hAnsi="Times New Roman" w:eastAsia="仿宋_GB2312"/>
                <w:b/>
                <w:bCs/>
                <w:szCs w:val="21"/>
                <w:highlight w:val="none"/>
              </w:rPr>
              <w:t>时间</w:t>
            </w:r>
          </w:p>
        </w:tc>
        <w:tc>
          <w:tcPr>
            <w:tcW w:w="5147" w:type="dxa"/>
            <w:shd w:val="clear" w:color="auto" w:fill="auto"/>
            <w:vAlign w:val="center"/>
          </w:tcPr>
          <w:p w14:paraId="1B453A7A">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b/>
                <w:bCs/>
                <w:szCs w:val="21"/>
                <w:highlight w:val="none"/>
              </w:rPr>
            </w:pPr>
            <w:r>
              <w:rPr>
                <w:rFonts w:ascii="Times New Roman" w:hAnsi="Times New Roman" w:eastAsia="仿宋_GB2312"/>
                <w:b/>
                <w:bCs/>
                <w:szCs w:val="21"/>
                <w:highlight w:val="none"/>
              </w:rPr>
              <w:t>内容</w:t>
            </w:r>
          </w:p>
        </w:tc>
      </w:tr>
      <w:tr w14:paraId="50D9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236" w:type="dxa"/>
            <w:vMerge w:val="restart"/>
            <w:shd w:val="clear" w:color="auto" w:fill="auto"/>
            <w:vAlign w:val="center"/>
          </w:tcPr>
          <w:p w14:paraId="58747D54">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Times New Roman" w:hAnsi="Times New Roman" w:eastAsia="仿宋_GB2312"/>
                <w:sz w:val="24"/>
                <w:szCs w:val="20"/>
                <w:highlight w:val="none"/>
                <w:lang w:eastAsia="zh-CN"/>
              </w:rPr>
            </w:pPr>
            <w:r>
              <w:rPr>
                <w:rFonts w:hint="eastAsia" w:ascii="Times New Roman" w:hAnsi="Times New Roman" w:eastAsia="仿宋_GB2312"/>
                <w:sz w:val="24"/>
                <w:szCs w:val="20"/>
                <w:highlight w:val="none"/>
                <w:lang w:val="en-US" w:eastAsia="zh-CN"/>
              </w:rPr>
              <w:t>第一天</w:t>
            </w:r>
          </w:p>
        </w:tc>
        <w:tc>
          <w:tcPr>
            <w:tcW w:w="2269" w:type="dxa"/>
            <w:shd w:val="clear" w:color="auto" w:fill="auto"/>
            <w:vAlign w:val="center"/>
          </w:tcPr>
          <w:p w14:paraId="7911425C">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default" w:ascii="Times New Roman" w:hAnsi="Times New Roman" w:eastAsia="仿宋_GB2312"/>
                <w:sz w:val="24"/>
                <w:szCs w:val="20"/>
                <w:highlight w:val="none"/>
                <w:lang w:val="en-US" w:eastAsia="zh-CN"/>
              </w:rPr>
            </w:pPr>
            <w:r>
              <w:rPr>
                <w:rFonts w:ascii="Times New Roman" w:hAnsi="Times New Roman" w:eastAsia="仿宋_GB2312"/>
                <w:sz w:val="24"/>
                <w:szCs w:val="20"/>
                <w:highlight w:val="none"/>
              </w:rPr>
              <w:t>1</w:t>
            </w:r>
            <w:r>
              <w:rPr>
                <w:rFonts w:hint="eastAsia" w:ascii="Times New Roman" w:hAnsi="Times New Roman" w:eastAsia="仿宋_GB2312"/>
                <w:sz w:val="24"/>
                <w:szCs w:val="20"/>
                <w:highlight w:val="none"/>
                <w:lang w:val="en-US" w:eastAsia="zh-CN"/>
              </w:rPr>
              <w:t>3</w:t>
            </w:r>
            <w:r>
              <w:rPr>
                <w:rFonts w:ascii="Times New Roman" w:hAnsi="Times New Roman" w:eastAsia="仿宋_GB2312"/>
                <w:sz w:val="24"/>
                <w:szCs w:val="20"/>
                <w:highlight w:val="none"/>
              </w:rPr>
              <w:t>:</w:t>
            </w:r>
            <w:r>
              <w:rPr>
                <w:rFonts w:hint="eastAsia" w:ascii="Times New Roman" w:hAnsi="Times New Roman" w:eastAsia="仿宋_GB2312"/>
                <w:sz w:val="24"/>
                <w:szCs w:val="20"/>
                <w:highlight w:val="none"/>
                <w:lang w:val="en-US" w:eastAsia="zh-CN"/>
              </w:rPr>
              <w:t>0</w:t>
            </w:r>
            <w:r>
              <w:rPr>
                <w:rFonts w:ascii="Times New Roman" w:hAnsi="Times New Roman" w:eastAsia="仿宋_GB2312"/>
                <w:sz w:val="24"/>
                <w:szCs w:val="20"/>
                <w:highlight w:val="none"/>
              </w:rPr>
              <w:t>0-1</w:t>
            </w:r>
            <w:r>
              <w:rPr>
                <w:rFonts w:hint="eastAsia" w:ascii="Times New Roman" w:hAnsi="Times New Roman" w:eastAsia="仿宋_GB2312"/>
                <w:sz w:val="24"/>
                <w:szCs w:val="20"/>
                <w:highlight w:val="none"/>
                <w:lang w:val="en-US" w:eastAsia="zh-CN"/>
              </w:rPr>
              <w:t>4</w:t>
            </w:r>
            <w:r>
              <w:rPr>
                <w:rFonts w:ascii="Times New Roman" w:hAnsi="Times New Roman" w:eastAsia="仿宋_GB2312"/>
                <w:sz w:val="24"/>
                <w:szCs w:val="20"/>
                <w:highlight w:val="none"/>
              </w:rPr>
              <w:t>:</w:t>
            </w:r>
            <w:r>
              <w:rPr>
                <w:rFonts w:hint="eastAsia" w:ascii="Times New Roman" w:hAnsi="Times New Roman" w:eastAsia="仿宋_GB2312"/>
                <w:sz w:val="24"/>
                <w:szCs w:val="20"/>
                <w:highlight w:val="none"/>
                <w:lang w:val="en-US" w:eastAsia="zh-CN"/>
              </w:rPr>
              <w:t>0</w:t>
            </w:r>
            <w:r>
              <w:rPr>
                <w:rFonts w:ascii="Times New Roman" w:hAnsi="Times New Roman" w:eastAsia="仿宋_GB2312"/>
                <w:sz w:val="24"/>
                <w:szCs w:val="20"/>
                <w:highlight w:val="none"/>
              </w:rPr>
              <w:t>0</w:t>
            </w:r>
          </w:p>
        </w:tc>
        <w:tc>
          <w:tcPr>
            <w:tcW w:w="5147" w:type="dxa"/>
            <w:shd w:val="clear" w:color="auto" w:fill="auto"/>
            <w:vAlign w:val="center"/>
          </w:tcPr>
          <w:p w14:paraId="7A28416D">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highlight w:val="none"/>
              </w:rPr>
            </w:pPr>
            <w:r>
              <w:rPr>
                <w:rFonts w:ascii="Times New Roman" w:hAnsi="Times New Roman" w:eastAsia="仿宋_GB2312"/>
                <w:sz w:val="24"/>
                <w:szCs w:val="20"/>
                <w:highlight w:val="none"/>
              </w:rPr>
              <w:t>专家、裁判、各参赛队报到</w:t>
            </w:r>
          </w:p>
        </w:tc>
      </w:tr>
      <w:tr w14:paraId="7B52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continue"/>
            <w:shd w:val="clear" w:color="auto" w:fill="auto"/>
            <w:vAlign w:val="center"/>
          </w:tcPr>
          <w:p w14:paraId="1FA94A51">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highlight w:val="none"/>
              </w:rPr>
            </w:pPr>
          </w:p>
        </w:tc>
        <w:tc>
          <w:tcPr>
            <w:tcW w:w="2269" w:type="dxa"/>
            <w:shd w:val="clear" w:color="auto" w:fill="auto"/>
            <w:vAlign w:val="center"/>
          </w:tcPr>
          <w:p w14:paraId="13E764F1">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highlight w:val="none"/>
              </w:rPr>
            </w:pPr>
            <w:r>
              <w:rPr>
                <w:rFonts w:ascii="Times New Roman" w:hAnsi="Times New Roman" w:eastAsia="仿宋_GB2312"/>
                <w:sz w:val="24"/>
                <w:szCs w:val="20"/>
                <w:highlight w:val="none"/>
              </w:rPr>
              <w:t>1</w:t>
            </w:r>
            <w:r>
              <w:rPr>
                <w:rFonts w:hint="eastAsia" w:ascii="Times New Roman" w:hAnsi="Times New Roman" w:eastAsia="仿宋_GB2312"/>
                <w:sz w:val="24"/>
                <w:szCs w:val="20"/>
                <w:highlight w:val="none"/>
                <w:lang w:val="en-US" w:eastAsia="zh-CN"/>
              </w:rPr>
              <w:t>4</w:t>
            </w:r>
            <w:r>
              <w:rPr>
                <w:rFonts w:ascii="Times New Roman" w:hAnsi="Times New Roman" w:eastAsia="仿宋_GB2312"/>
                <w:sz w:val="24"/>
                <w:szCs w:val="20"/>
                <w:highlight w:val="none"/>
              </w:rPr>
              <w:t>:</w:t>
            </w:r>
            <w:r>
              <w:rPr>
                <w:rFonts w:hint="eastAsia" w:ascii="Times New Roman" w:hAnsi="Times New Roman" w:eastAsia="仿宋_GB2312"/>
                <w:sz w:val="24"/>
                <w:szCs w:val="20"/>
                <w:highlight w:val="none"/>
                <w:lang w:val="en-US" w:eastAsia="zh-CN"/>
              </w:rPr>
              <w:t>00</w:t>
            </w:r>
            <w:r>
              <w:rPr>
                <w:rFonts w:ascii="Times New Roman" w:hAnsi="Times New Roman" w:eastAsia="仿宋_GB2312"/>
                <w:sz w:val="24"/>
                <w:szCs w:val="20"/>
                <w:highlight w:val="none"/>
              </w:rPr>
              <w:t>-1</w:t>
            </w:r>
            <w:r>
              <w:rPr>
                <w:rFonts w:hint="eastAsia" w:ascii="Times New Roman" w:hAnsi="Times New Roman" w:eastAsia="仿宋_GB2312"/>
                <w:sz w:val="24"/>
                <w:szCs w:val="20"/>
                <w:highlight w:val="none"/>
                <w:lang w:val="en-US" w:eastAsia="zh-CN"/>
              </w:rPr>
              <w:t>6</w:t>
            </w:r>
            <w:r>
              <w:rPr>
                <w:rFonts w:ascii="Times New Roman" w:hAnsi="Times New Roman" w:eastAsia="仿宋_GB2312"/>
                <w:sz w:val="24"/>
                <w:szCs w:val="20"/>
                <w:highlight w:val="none"/>
              </w:rPr>
              <w:t>:</w:t>
            </w:r>
            <w:r>
              <w:rPr>
                <w:rFonts w:hint="eastAsia" w:ascii="Times New Roman" w:hAnsi="Times New Roman" w:eastAsia="仿宋_GB2312"/>
                <w:sz w:val="24"/>
                <w:szCs w:val="20"/>
                <w:highlight w:val="none"/>
                <w:lang w:val="en-US" w:eastAsia="zh-CN"/>
              </w:rPr>
              <w:t>0</w:t>
            </w:r>
            <w:r>
              <w:rPr>
                <w:rFonts w:ascii="Times New Roman" w:hAnsi="Times New Roman" w:eastAsia="仿宋_GB2312"/>
                <w:sz w:val="24"/>
                <w:szCs w:val="20"/>
                <w:highlight w:val="none"/>
              </w:rPr>
              <w:t>0</w:t>
            </w:r>
          </w:p>
        </w:tc>
        <w:tc>
          <w:tcPr>
            <w:tcW w:w="5147" w:type="dxa"/>
            <w:shd w:val="clear" w:color="auto" w:fill="auto"/>
            <w:vAlign w:val="center"/>
          </w:tcPr>
          <w:p w14:paraId="2E124820">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Times New Roman" w:hAnsi="Times New Roman" w:eastAsia="仿宋_GB2312"/>
                <w:sz w:val="24"/>
                <w:szCs w:val="20"/>
                <w:highlight w:val="none"/>
                <w:lang w:eastAsia="zh-CN"/>
              </w:rPr>
            </w:pPr>
            <w:r>
              <w:rPr>
                <w:rFonts w:hint="eastAsia" w:ascii="Times New Roman" w:hAnsi="Times New Roman" w:eastAsia="仿宋_GB2312"/>
                <w:sz w:val="24"/>
                <w:szCs w:val="20"/>
                <w:highlight w:val="none"/>
              </w:rPr>
              <w:t>裁判会、</w:t>
            </w:r>
            <w:r>
              <w:rPr>
                <w:rFonts w:ascii="Times New Roman" w:hAnsi="Times New Roman" w:eastAsia="仿宋_GB2312"/>
                <w:sz w:val="24"/>
                <w:szCs w:val="20"/>
                <w:highlight w:val="none"/>
              </w:rPr>
              <w:t>领队会、熟悉赛场环境</w:t>
            </w:r>
          </w:p>
        </w:tc>
      </w:tr>
      <w:tr w14:paraId="2731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36" w:type="dxa"/>
            <w:vMerge w:val="continue"/>
            <w:shd w:val="clear" w:color="auto" w:fill="auto"/>
            <w:vAlign w:val="center"/>
          </w:tcPr>
          <w:p w14:paraId="19081567">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highlight w:val="none"/>
              </w:rPr>
            </w:pPr>
          </w:p>
        </w:tc>
        <w:tc>
          <w:tcPr>
            <w:tcW w:w="2269" w:type="dxa"/>
            <w:shd w:val="clear" w:color="auto" w:fill="auto"/>
            <w:vAlign w:val="center"/>
          </w:tcPr>
          <w:p w14:paraId="08B8082E">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highlight w:val="none"/>
              </w:rPr>
            </w:pPr>
            <w:r>
              <w:rPr>
                <w:rFonts w:ascii="Times New Roman" w:hAnsi="Times New Roman" w:eastAsia="仿宋_GB2312"/>
                <w:sz w:val="24"/>
                <w:szCs w:val="20"/>
                <w:highlight w:val="none"/>
              </w:rPr>
              <w:t>1</w:t>
            </w:r>
            <w:r>
              <w:rPr>
                <w:rFonts w:hint="eastAsia" w:ascii="Times New Roman" w:hAnsi="Times New Roman" w:eastAsia="仿宋_GB2312"/>
                <w:sz w:val="24"/>
                <w:szCs w:val="20"/>
                <w:highlight w:val="none"/>
                <w:lang w:val="en-US" w:eastAsia="zh-CN"/>
              </w:rPr>
              <w:t>6</w:t>
            </w:r>
            <w:r>
              <w:rPr>
                <w:rFonts w:ascii="Times New Roman" w:hAnsi="Times New Roman" w:eastAsia="仿宋_GB2312"/>
                <w:sz w:val="24"/>
                <w:szCs w:val="20"/>
                <w:highlight w:val="none"/>
              </w:rPr>
              <w:t>:</w:t>
            </w:r>
            <w:r>
              <w:rPr>
                <w:rFonts w:hint="eastAsia" w:ascii="Times New Roman" w:hAnsi="Times New Roman" w:eastAsia="仿宋_GB2312"/>
                <w:sz w:val="24"/>
                <w:szCs w:val="20"/>
                <w:highlight w:val="none"/>
                <w:lang w:val="en-US" w:eastAsia="zh-CN"/>
              </w:rPr>
              <w:t>0</w:t>
            </w:r>
            <w:r>
              <w:rPr>
                <w:rFonts w:ascii="Times New Roman" w:hAnsi="Times New Roman" w:eastAsia="仿宋_GB2312"/>
                <w:sz w:val="24"/>
                <w:szCs w:val="20"/>
                <w:highlight w:val="none"/>
              </w:rPr>
              <w:t>0-1</w:t>
            </w:r>
            <w:r>
              <w:rPr>
                <w:rFonts w:hint="eastAsia" w:ascii="Times New Roman" w:hAnsi="Times New Roman" w:eastAsia="仿宋_GB2312"/>
                <w:sz w:val="24"/>
                <w:szCs w:val="20"/>
                <w:highlight w:val="none"/>
                <w:lang w:val="en-US" w:eastAsia="zh-CN"/>
              </w:rPr>
              <w:t>7</w:t>
            </w:r>
            <w:r>
              <w:rPr>
                <w:rFonts w:ascii="Times New Roman" w:hAnsi="Times New Roman" w:eastAsia="仿宋_GB2312"/>
                <w:sz w:val="24"/>
                <w:szCs w:val="20"/>
                <w:highlight w:val="none"/>
              </w:rPr>
              <w:t>:</w:t>
            </w:r>
            <w:r>
              <w:rPr>
                <w:rFonts w:hint="eastAsia" w:ascii="Times New Roman" w:hAnsi="Times New Roman" w:eastAsia="仿宋_GB2312"/>
                <w:sz w:val="24"/>
                <w:szCs w:val="20"/>
                <w:highlight w:val="none"/>
                <w:lang w:val="en-US" w:eastAsia="zh-CN"/>
              </w:rPr>
              <w:t>00</w:t>
            </w:r>
          </w:p>
        </w:tc>
        <w:tc>
          <w:tcPr>
            <w:tcW w:w="5147" w:type="dxa"/>
            <w:shd w:val="clear" w:color="auto" w:fill="auto"/>
            <w:vAlign w:val="center"/>
          </w:tcPr>
          <w:p w14:paraId="24B573D6">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highlight w:val="none"/>
              </w:rPr>
            </w:pPr>
            <w:r>
              <w:rPr>
                <w:rFonts w:hint="eastAsia" w:ascii="Times New Roman" w:hAnsi="Times New Roman" w:eastAsia="仿宋_GB2312"/>
                <w:sz w:val="24"/>
                <w:szCs w:val="20"/>
                <w:highlight w:val="none"/>
                <w:lang w:val="en-US" w:eastAsia="zh-CN"/>
              </w:rPr>
              <w:t>选手检录，模块1</w:t>
            </w:r>
            <w:r>
              <w:rPr>
                <w:rFonts w:hint="eastAsia" w:ascii="Times New Roman" w:hAnsi="Times New Roman" w:eastAsia="仿宋_GB2312"/>
                <w:sz w:val="24"/>
                <w:szCs w:val="20"/>
                <w:highlight w:val="none"/>
                <w:lang w:eastAsia="zh-CN"/>
              </w:rPr>
              <w:t>比赛</w:t>
            </w:r>
          </w:p>
        </w:tc>
      </w:tr>
      <w:tr w14:paraId="04C6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36" w:type="dxa"/>
            <w:vMerge w:val="restart"/>
            <w:shd w:val="clear" w:color="auto" w:fill="auto"/>
            <w:vAlign w:val="center"/>
          </w:tcPr>
          <w:p w14:paraId="0586BAC6">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highlight w:val="none"/>
              </w:rPr>
            </w:pPr>
            <w:r>
              <w:rPr>
                <w:rFonts w:hint="eastAsia" w:ascii="Times New Roman" w:hAnsi="Times New Roman" w:eastAsia="仿宋_GB2312"/>
                <w:sz w:val="24"/>
                <w:szCs w:val="20"/>
                <w:highlight w:val="none"/>
                <w:lang w:val="en-US" w:eastAsia="zh-CN"/>
              </w:rPr>
              <w:t>第二天</w:t>
            </w:r>
          </w:p>
        </w:tc>
        <w:tc>
          <w:tcPr>
            <w:tcW w:w="2269" w:type="dxa"/>
            <w:shd w:val="clear" w:color="auto" w:fill="auto"/>
            <w:vAlign w:val="center"/>
          </w:tcPr>
          <w:p w14:paraId="4A97B17E">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default" w:ascii="Times New Roman" w:hAnsi="Times New Roman" w:eastAsia="仿宋_GB2312"/>
                <w:sz w:val="24"/>
                <w:szCs w:val="20"/>
                <w:highlight w:val="none"/>
                <w:lang w:val="en-US" w:eastAsia="zh-CN"/>
              </w:rPr>
            </w:pPr>
            <w:r>
              <w:rPr>
                <w:rFonts w:hint="eastAsia" w:ascii="Times New Roman" w:hAnsi="Times New Roman" w:eastAsia="仿宋_GB2312"/>
                <w:sz w:val="24"/>
                <w:szCs w:val="20"/>
                <w:highlight w:val="none"/>
                <w:lang w:val="en-US" w:eastAsia="zh-CN"/>
              </w:rPr>
              <w:t>8：00-8：30</w:t>
            </w:r>
          </w:p>
        </w:tc>
        <w:tc>
          <w:tcPr>
            <w:tcW w:w="5147" w:type="dxa"/>
            <w:shd w:val="clear" w:color="auto" w:fill="auto"/>
            <w:vAlign w:val="center"/>
          </w:tcPr>
          <w:p w14:paraId="2AC96704">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highlight w:val="none"/>
              </w:rPr>
            </w:pPr>
            <w:r>
              <w:rPr>
                <w:rFonts w:ascii="Times New Roman" w:hAnsi="Times New Roman" w:eastAsia="仿宋_GB2312"/>
                <w:sz w:val="24"/>
                <w:szCs w:val="20"/>
                <w:highlight w:val="none"/>
              </w:rPr>
              <w:t>参赛队赛场检录</w:t>
            </w:r>
          </w:p>
        </w:tc>
      </w:tr>
      <w:tr w14:paraId="25FF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36" w:type="dxa"/>
            <w:vMerge w:val="continue"/>
            <w:shd w:val="clear" w:color="auto" w:fill="auto"/>
            <w:vAlign w:val="center"/>
          </w:tcPr>
          <w:p w14:paraId="56EC02C9">
            <w:pPr>
              <w:keepNext w:val="0"/>
              <w:keepLines w:val="0"/>
              <w:pageBreakBefore w:val="0"/>
              <w:widowControl w:val="0"/>
              <w:kinsoku/>
              <w:wordWrap/>
              <w:overflowPunct/>
              <w:topLinePunct w:val="0"/>
              <w:autoSpaceDE/>
              <w:autoSpaceDN/>
              <w:bidi w:val="0"/>
              <w:adjustRightInd/>
              <w:snapToGrid/>
              <w:spacing w:line="360" w:lineRule="auto"/>
              <w:ind w:right="210" w:rightChars="100" w:firstLine="0" w:firstLineChars="0"/>
              <w:jc w:val="center"/>
              <w:textAlignment w:val="auto"/>
              <w:rPr>
                <w:rFonts w:ascii="Times New Roman" w:hAnsi="Times New Roman" w:eastAsia="仿宋_GB2312"/>
                <w:sz w:val="24"/>
                <w:szCs w:val="20"/>
                <w:highlight w:val="none"/>
              </w:rPr>
            </w:pPr>
          </w:p>
        </w:tc>
        <w:tc>
          <w:tcPr>
            <w:tcW w:w="2269" w:type="dxa"/>
            <w:shd w:val="clear" w:color="auto" w:fill="auto"/>
            <w:vAlign w:val="center"/>
          </w:tcPr>
          <w:p w14:paraId="29C9A6B1">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ascii="Times New Roman" w:hAnsi="Times New Roman" w:eastAsia="仿宋_GB2312"/>
                <w:sz w:val="24"/>
                <w:szCs w:val="20"/>
                <w:highlight w:val="none"/>
              </w:rPr>
            </w:pPr>
            <w:r>
              <w:rPr>
                <w:rFonts w:ascii="Times New Roman" w:hAnsi="Times New Roman" w:eastAsia="仿宋_GB2312"/>
                <w:sz w:val="24"/>
                <w:szCs w:val="20"/>
                <w:highlight w:val="none"/>
              </w:rPr>
              <w:t>9:30-1</w:t>
            </w:r>
            <w:r>
              <w:rPr>
                <w:rFonts w:hint="eastAsia" w:ascii="Times New Roman" w:hAnsi="Times New Roman" w:eastAsia="仿宋_GB2312"/>
                <w:sz w:val="24"/>
                <w:szCs w:val="20"/>
                <w:highlight w:val="none"/>
                <w:lang w:val="en-US" w:eastAsia="zh-CN"/>
              </w:rPr>
              <w:t>7</w:t>
            </w:r>
            <w:r>
              <w:rPr>
                <w:rFonts w:ascii="Times New Roman" w:hAnsi="Times New Roman" w:eastAsia="仿宋_GB2312"/>
                <w:sz w:val="24"/>
                <w:szCs w:val="20"/>
                <w:highlight w:val="none"/>
              </w:rPr>
              <w:t>:30</w:t>
            </w:r>
          </w:p>
        </w:tc>
        <w:tc>
          <w:tcPr>
            <w:tcW w:w="5147" w:type="dxa"/>
            <w:shd w:val="clear" w:color="auto" w:fill="auto"/>
            <w:vAlign w:val="center"/>
          </w:tcPr>
          <w:p w14:paraId="00193EDA">
            <w:pPr>
              <w:keepNext w:val="0"/>
              <w:keepLines w:val="0"/>
              <w:pageBreakBefore w:val="0"/>
              <w:widowControl w:val="0"/>
              <w:kinsoku/>
              <w:wordWrap/>
              <w:overflowPunct/>
              <w:topLinePunct w:val="0"/>
              <w:autoSpaceDE/>
              <w:autoSpaceDN/>
              <w:bidi w:val="0"/>
              <w:adjustRightInd/>
              <w:snapToGrid/>
              <w:spacing w:line="360" w:lineRule="auto"/>
              <w:ind w:right="210" w:rightChars="100" w:firstLine="0" w:firstLineChars="0"/>
              <w:jc w:val="center"/>
              <w:textAlignment w:val="auto"/>
              <w:rPr>
                <w:rFonts w:ascii="Times New Roman" w:hAnsi="Times New Roman" w:eastAsia="仿宋_GB2312"/>
                <w:sz w:val="24"/>
                <w:szCs w:val="20"/>
                <w:highlight w:val="none"/>
              </w:rPr>
            </w:pPr>
            <w:r>
              <w:rPr>
                <w:rFonts w:ascii="Times New Roman" w:hAnsi="Times New Roman" w:eastAsia="仿宋_GB2312"/>
                <w:sz w:val="24"/>
                <w:szCs w:val="20"/>
                <w:highlight w:val="none"/>
              </w:rPr>
              <w:t>设备工具检查确认、题目发放、</w:t>
            </w:r>
            <w:r>
              <w:rPr>
                <w:rFonts w:hint="eastAsia" w:ascii="Times New Roman" w:hAnsi="Times New Roman" w:eastAsia="仿宋_GB2312"/>
                <w:sz w:val="24"/>
                <w:szCs w:val="20"/>
                <w:highlight w:val="none"/>
                <w:lang w:val="en-US" w:eastAsia="zh-CN"/>
              </w:rPr>
              <w:t>模块2</w:t>
            </w:r>
            <w:r>
              <w:rPr>
                <w:rFonts w:ascii="Times New Roman" w:hAnsi="Times New Roman" w:eastAsia="仿宋_GB2312"/>
                <w:sz w:val="24"/>
                <w:szCs w:val="20"/>
                <w:highlight w:val="none"/>
              </w:rPr>
              <w:t>竞赛</w:t>
            </w:r>
          </w:p>
        </w:tc>
      </w:tr>
      <w:tr w14:paraId="271E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36" w:type="dxa"/>
            <w:vMerge w:val="continue"/>
            <w:shd w:val="clear" w:color="auto" w:fill="auto"/>
            <w:vAlign w:val="center"/>
          </w:tcPr>
          <w:p w14:paraId="2C9DEE4A">
            <w:pPr>
              <w:keepNext w:val="0"/>
              <w:keepLines w:val="0"/>
              <w:pageBreakBefore w:val="0"/>
              <w:widowControl w:val="0"/>
              <w:kinsoku/>
              <w:wordWrap/>
              <w:overflowPunct/>
              <w:topLinePunct w:val="0"/>
              <w:autoSpaceDE/>
              <w:autoSpaceDN/>
              <w:bidi w:val="0"/>
              <w:adjustRightInd/>
              <w:snapToGrid/>
              <w:spacing w:line="360" w:lineRule="auto"/>
              <w:ind w:right="210" w:rightChars="100" w:firstLine="0" w:firstLineChars="0"/>
              <w:jc w:val="center"/>
              <w:textAlignment w:val="auto"/>
              <w:rPr>
                <w:rFonts w:ascii="Times New Roman" w:hAnsi="Times New Roman" w:eastAsia="仿宋_GB2312"/>
                <w:sz w:val="24"/>
                <w:szCs w:val="20"/>
                <w:highlight w:val="none"/>
              </w:rPr>
            </w:pPr>
          </w:p>
        </w:tc>
        <w:tc>
          <w:tcPr>
            <w:tcW w:w="2269" w:type="dxa"/>
            <w:shd w:val="clear" w:color="auto" w:fill="auto"/>
            <w:vAlign w:val="center"/>
          </w:tcPr>
          <w:p w14:paraId="4DB82E16">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default" w:ascii="Times New Roman" w:hAnsi="Times New Roman" w:eastAsia="仿宋_GB2312"/>
                <w:sz w:val="24"/>
                <w:szCs w:val="20"/>
                <w:highlight w:val="none"/>
                <w:lang w:val="en-US" w:eastAsia="zh-CN"/>
              </w:rPr>
            </w:pPr>
            <w:r>
              <w:rPr>
                <w:rFonts w:hint="eastAsia" w:ascii="Times New Roman" w:hAnsi="Times New Roman" w:eastAsia="仿宋_GB2312"/>
                <w:sz w:val="24"/>
                <w:szCs w:val="20"/>
                <w:highlight w:val="none"/>
                <w:lang w:val="en-US" w:eastAsia="zh-CN"/>
              </w:rPr>
              <w:t>20：00（暂定时间，根据实际情况而定）</w:t>
            </w:r>
          </w:p>
        </w:tc>
        <w:tc>
          <w:tcPr>
            <w:tcW w:w="5147" w:type="dxa"/>
            <w:shd w:val="clear" w:color="auto" w:fill="auto"/>
            <w:vAlign w:val="center"/>
          </w:tcPr>
          <w:p w14:paraId="34185C3F">
            <w:pPr>
              <w:keepNext w:val="0"/>
              <w:keepLines w:val="0"/>
              <w:pageBreakBefore w:val="0"/>
              <w:widowControl w:val="0"/>
              <w:kinsoku/>
              <w:wordWrap/>
              <w:overflowPunct/>
              <w:topLinePunct w:val="0"/>
              <w:autoSpaceDE/>
              <w:autoSpaceDN/>
              <w:bidi w:val="0"/>
              <w:adjustRightInd/>
              <w:snapToGrid/>
              <w:spacing w:line="360" w:lineRule="auto"/>
              <w:ind w:right="210" w:rightChars="100" w:firstLine="0" w:firstLineChars="0"/>
              <w:jc w:val="center"/>
              <w:textAlignment w:val="auto"/>
              <w:rPr>
                <w:rFonts w:hint="eastAsia" w:ascii="Times New Roman" w:hAnsi="Times New Roman" w:eastAsia="仿宋_GB2312"/>
                <w:sz w:val="24"/>
                <w:szCs w:val="20"/>
                <w:highlight w:val="none"/>
                <w:lang w:val="en-US" w:eastAsia="zh-CN"/>
              </w:rPr>
            </w:pPr>
            <w:r>
              <w:rPr>
                <w:rFonts w:hint="eastAsia" w:ascii="Times New Roman" w:hAnsi="Times New Roman" w:eastAsia="仿宋_GB2312"/>
                <w:sz w:val="24"/>
                <w:szCs w:val="20"/>
                <w:highlight w:val="none"/>
                <w:lang w:val="en-US" w:eastAsia="zh-CN"/>
              </w:rPr>
              <w:t>公布成绩</w:t>
            </w:r>
          </w:p>
        </w:tc>
      </w:tr>
    </w:tbl>
    <w:p w14:paraId="5D770AEB">
      <w:pPr>
        <w:keepNext w:val="0"/>
        <w:keepLines w:val="0"/>
        <w:pageBreakBefore w:val="0"/>
        <w:widowControl w:val="0"/>
        <w:kinsoku/>
        <w:wordWrap/>
        <w:overflowPunct/>
        <w:topLinePunct w:val="0"/>
        <w:autoSpaceDE/>
        <w:autoSpaceDN/>
        <w:bidi w:val="0"/>
        <w:adjustRightInd/>
        <w:snapToGrid/>
        <w:spacing w:line="480" w:lineRule="auto"/>
        <w:textAlignment w:val="auto"/>
        <w:outlineLvl w:val="0"/>
        <w:rPr>
          <w:rFonts w:hint="eastAsia" w:ascii="黑体" w:hAnsi="黑体" w:eastAsia="黑体" w:cs="黑体"/>
          <w:b/>
          <w:bCs/>
          <w:color w:val="000000"/>
          <w:sz w:val="24"/>
          <w:szCs w:val="24"/>
          <w:highlight w:val="none"/>
          <w:lang w:val="en-US" w:eastAsia="zh-CN"/>
        </w:rPr>
      </w:pPr>
    </w:p>
    <w:p w14:paraId="6D1C8122">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0"/>
        <w:rPr>
          <w:rFonts w:hint="eastAsia" w:ascii="黑体" w:hAnsi="黑体" w:eastAsia="黑体" w:cs="黑体"/>
          <w:b/>
          <w:bCs/>
          <w:color w:val="000000"/>
          <w:sz w:val="24"/>
          <w:szCs w:val="24"/>
          <w:highlight w:val="none"/>
          <w:lang w:val="en-US" w:eastAsia="zh-CN"/>
        </w:rPr>
      </w:pPr>
      <w:r>
        <w:rPr>
          <w:rFonts w:hint="eastAsia" w:ascii="黑体" w:hAnsi="黑体" w:eastAsia="黑体" w:cs="黑体"/>
          <w:b/>
          <w:bCs/>
          <w:color w:val="000000"/>
          <w:sz w:val="24"/>
          <w:szCs w:val="24"/>
          <w:highlight w:val="none"/>
          <w:lang w:val="en-US" w:eastAsia="zh-CN"/>
        </w:rPr>
        <w:t>四、 竞赛规则</w:t>
      </w:r>
    </w:p>
    <w:p w14:paraId="713CEBBE">
      <w:pPr>
        <w:spacing w:line="288" w:lineRule="auto"/>
        <w:ind w:firstLine="482" w:firstLineChars="200"/>
        <w:contextualSpacing/>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（一）参赛选手报名</w:t>
      </w:r>
    </w:p>
    <w:p w14:paraId="3D730635">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1.本赛项为团体赛，每所学校可报不多于2个参赛队，不得跨校组队。每支参赛队由2名选手组成，包含1名教师和1名学生，须为学校全日制在籍教师和学生。</w:t>
      </w:r>
    </w:p>
    <w:p w14:paraId="288677DA">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2.凡在往届全国职业院校技能大赛中获得本赛项一等奖的选手，不能再参加本赛项的比赛。</w:t>
      </w:r>
    </w:p>
    <w:p w14:paraId="7FD82F56">
      <w:pPr>
        <w:spacing w:line="288" w:lineRule="auto"/>
        <w:ind w:firstLine="482" w:firstLineChars="200"/>
        <w:contextualSpacing/>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（二）熟悉场地</w:t>
      </w:r>
    </w:p>
    <w:p w14:paraId="20F643F6">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1.参赛选手应在竞赛日程规定的时间熟悉竞赛场地。</w:t>
      </w:r>
    </w:p>
    <w:p w14:paraId="021AA694">
      <w:pPr>
        <w:spacing w:line="360" w:lineRule="auto"/>
        <w:ind w:firstLine="480" w:firstLineChars="200"/>
        <w:contextualSpacing/>
        <w:rPr>
          <w:rFonts w:hint="eastAsia" w:ascii="仿宋_GB2312" w:hAnsi="宋体" w:eastAsia="仿宋_GB2312" w:cs="宋体"/>
          <w:bCs/>
          <w:color w:val="000000"/>
          <w:kern w:val="0"/>
          <w:sz w:val="28"/>
          <w:szCs w:val="28"/>
          <w:highlight w:val="none"/>
        </w:rPr>
      </w:pPr>
      <w:r>
        <w:rPr>
          <w:rFonts w:hint="eastAsia" w:ascii="仿宋" w:hAnsi="仿宋" w:eastAsia="仿宋" w:cs="仿宋"/>
          <w:color w:val="000000"/>
          <w:sz w:val="24"/>
          <w:szCs w:val="24"/>
          <w:highlight w:val="none"/>
          <w:lang w:val="zh-CN"/>
        </w:rPr>
        <w:t>2.参赛队熟悉竞赛场地后，认为所提供的设备、工具等不符合竞赛规定或有异议时，参赛队领队必须在2小时内提出书面报告，送交赛项执委会进行处理，超过时效将不予受理。</w:t>
      </w:r>
    </w:p>
    <w:p w14:paraId="5DE8E6E2">
      <w:pPr>
        <w:spacing w:line="288" w:lineRule="auto"/>
        <w:ind w:firstLine="482" w:firstLineChars="200"/>
        <w:contextualSpacing/>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（三）入场规则</w:t>
      </w:r>
    </w:p>
    <w:p w14:paraId="4309D578">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1.正式竞赛前，参赛队按抽签顺序分批次参加检录，选手必须携带身份证、学生证（教师资格证）、参赛证（简称三证）。三证不全者原则上不能通过检录，特殊情况须经所在省教育厅、公安机关出具有效证明。</w:t>
      </w:r>
    </w:p>
    <w:p w14:paraId="74764BC5">
      <w:pPr>
        <w:spacing w:line="288" w:lineRule="auto"/>
        <w:ind w:firstLine="482" w:firstLineChars="200"/>
        <w:contextualSpacing/>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（四）赛场规则</w:t>
      </w:r>
    </w:p>
    <w:p w14:paraId="477F6654">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1.</w:t>
      </w:r>
      <w:r>
        <w:rPr>
          <w:rFonts w:hint="default" w:ascii="仿宋" w:hAnsi="仿宋" w:eastAsia="仿宋" w:cs="仿宋"/>
          <w:color w:val="000000"/>
          <w:sz w:val="24"/>
          <w:szCs w:val="24"/>
          <w:highlight w:val="none"/>
          <w:lang w:val="zh-CN"/>
        </w:rPr>
        <w:t xml:space="preserve"> </w:t>
      </w:r>
      <w:r>
        <w:rPr>
          <w:rFonts w:hint="eastAsia" w:ascii="仿宋" w:hAnsi="仿宋" w:eastAsia="仿宋" w:cs="仿宋"/>
          <w:color w:val="000000"/>
          <w:sz w:val="24"/>
          <w:szCs w:val="24"/>
          <w:highlight w:val="none"/>
          <w:lang w:val="zh-CN"/>
        </w:rPr>
        <w:t>进入比赛现场，裁判员和选手以及工作人员必须上缴手机，统一保存，每天下午比赛结束，离开现场时方可发放手机。</w:t>
      </w:r>
    </w:p>
    <w:p w14:paraId="7D00A784">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2.</w:t>
      </w:r>
      <w:r>
        <w:rPr>
          <w:rFonts w:hint="default" w:ascii="仿宋" w:hAnsi="仿宋" w:eastAsia="仿宋" w:cs="仿宋"/>
          <w:color w:val="000000"/>
          <w:sz w:val="24"/>
          <w:szCs w:val="24"/>
          <w:highlight w:val="none"/>
          <w:lang w:val="zh-CN"/>
        </w:rPr>
        <w:t xml:space="preserve"> </w:t>
      </w:r>
      <w:r>
        <w:rPr>
          <w:rFonts w:hint="eastAsia" w:ascii="仿宋" w:hAnsi="仿宋" w:eastAsia="仿宋" w:cs="仿宋"/>
          <w:color w:val="000000"/>
          <w:sz w:val="24"/>
          <w:szCs w:val="24"/>
          <w:highlight w:val="none"/>
          <w:lang w:val="zh-CN"/>
        </w:rPr>
        <w:t xml:space="preserve">裁判员和选手以及工作人员要严格遵守比赛时间，准时到场，比赛结束后不得返回进入比赛区域。 </w:t>
      </w:r>
    </w:p>
    <w:p w14:paraId="141FD51B">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3.</w:t>
      </w:r>
      <w:r>
        <w:rPr>
          <w:rFonts w:hint="default" w:ascii="仿宋" w:hAnsi="仿宋" w:eastAsia="仿宋" w:cs="仿宋"/>
          <w:color w:val="000000"/>
          <w:sz w:val="24"/>
          <w:szCs w:val="24"/>
          <w:highlight w:val="none"/>
          <w:lang w:val="zh-CN"/>
        </w:rPr>
        <w:t xml:space="preserve"> </w:t>
      </w:r>
      <w:r>
        <w:rPr>
          <w:rFonts w:hint="eastAsia" w:ascii="仿宋" w:hAnsi="仿宋" w:eastAsia="仿宋" w:cs="仿宋"/>
          <w:color w:val="000000"/>
          <w:sz w:val="24"/>
          <w:szCs w:val="24"/>
          <w:highlight w:val="none"/>
          <w:lang w:val="zh-CN"/>
        </w:rPr>
        <w:t xml:space="preserve">选手和裁判员进入场地时，不得携带违禁物品，如有携带，请主动配合工作人员，在项目入口处交给工作人员保存。如在比赛过程中发现携带违禁用品或抄录比赛有关评分细则资料者，经取证后按照违规处理。 </w:t>
      </w:r>
    </w:p>
    <w:p w14:paraId="6EF31D40">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4.</w:t>
      </w:r>
      <w:r>
        <w:rPr>
          <w:rFonts w:hint="default" w:ascii="仿宋" w:hAnsi="仿宋" w:eastAsia="仿宋" w:cs="仿宋"/>
          <w:color w:val="000000"/>
          <w:sz w:val="24"/>
          <w:szCs w:val="24"/>
          <w:highlight w:val="none"/>
          <w:lang w:val="zh-CN"/>
        </w:rPr>
        <w:t xml:space="preserve"> </w:t>
      </w:r>
      <w:r>
        <w:rPr>
          <w:rFonts w:hint="eastAsia" w:ascii="仿宋" w:hAnsi="仿宋" w:eastAsia="仿宋" w:cs="仿宋"/>
          <w:color w:val="000000"/>
          <w:sz w:val="24"/>
          <w:szCs w:val="24"/>
          <w:highlight w:val="none"/>
          <w:lang w:val="zh-CN"/>
        </w:rPr>
        <w:t xml:space="preserve">在竞赛过程中如发现问题（设备故障等），选手应立即向计时裁判员反映。得到同意后，选手退出到工作区外等候，等待故障处理完后方可继续比赛。若设备由于自身故障无法消除的，经裁判长确认后启用备用工位继续进行竞赛。如属于设备故障，补时时间为从选手走出工位到故障处理结束这段时间。若不属于设备问题，则不补时。由于选手个人原因在竞赛中产生竞赛中断不予补时。 </w:t>
      </w:r>
    </w:p>
    <w:p w14:paraId="37E24531">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5.比赛期间</w:t>
      </w:r>
      <w:r>
        <w:rPr>
          <w:rFonts w:hint="eastAsia" w:ascii="仿宋" w:hAnsi="仿宋" w:eastAsia="仿宋" w:cs="仿宋"/>
          <w:color w:val="000000"/>
          <w:sz w:val="24"/>
          <w:szCs w:val="24"/>
          <w:highlight w:val="none"/>
          <w:lang w:val="zh-CN" w:eastAsia="zh-Hans"/>
        </w:rPr>
        <w:t>，</w:t>
      </w:r>
      <w:r>
        <w:rPr>
          <w:rFonts w:hint="eastAsia" w:ascii="仿宋" w:hAnsi="仿宋" w:eastAsia="仿宋" w:cs="仿宋"/>
          <w:color w:val="000000"/>
          <w:sz w:val="24"/>
          <w:szCs w:val="24"/>
          <w:highlight w:val="none"/>
          <w:lang w:val="zh-CN"/>
        </w:rPr>
        <w:t>除本工位裁判员或裁判长（助理）外任何人员不得接近选手及其工作区域，不许与选手接触与交流。如出现上述情况按违规处理。其余人员需根据竞赛技术规则经裁判长同意方可进入。</w:t>
      </w:r>
    </w:p>
    <w:p w14:paraId="4D4A2781">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6.</w:t>
      </w:r>
      <w:r>
        <w:rPr>
          <w:rFonts w:hint="default" w:ascii="仿宋" w:hAnsi="仿宋" w:eastAsia="仿宋" w:cs="仿宋"/>
          <w:color w:val="000000"/>
          <w:sz w:val="24"/>
          <w:szCs w:val="24"/>
          <w:highlight w:val="none"/>
          <w:lang w:val="zh-CN"/>
        </w:rPr>
        <w:t xml:space="preserve"> </w:t>
      </w:r>
      <w:r>
        <w:rPr>
          <w:rFonts w:hint="eastAsia" w:ascii="仿宋" w:hAnsi="仿宋" w:eastAsia="仿宋" w:cs="仿宋"/>
          <w:color w:val="000000"/>
          <w:sz w:val="24"/>
          <w:szCs w:val="24"/>
          <w:highlight w:val="none"/>
          <w:lang w:val="zh-CN"/>
        </w:rPr>
        <w:t>如选手发生违章作业或未经裁判员允许进行停送电作业，导致设备损坏或人身伤害事故的，该场次竞赛成绩将以零分计算。</w:t>
      </w:r>
    </w:p>
    <w:p w14:paraId="751F0463">
      <w:pPr>
        <w:spacing w:line="360" w:lineRule="auto"/>
        <w:ind w:firstLine="480" w:firstLineChars="200"/>
        <w:contextualSpacing/>
        <w:rPr>
          <w:rFonts w:hint="default"/>
          <w:highlight w:val="none"/>
          <w:lang w:val="en-US" w:eastAsia="zh-CN"/>
        </w:rPr>
      </w:pPr>
      <w:r>
        <w:rPr>
          <w:rFonts w:hint="eastAsia" w:ascii="仿宋" w:hAnsi="仿宋" w:eastAsia="仿宋" w:cs="仿宋"/>
          <w:color w:val="000000"/>
          <w:sz w:val="24"/>
          <w:szCs w:val="24"/>
          <w:highlight w:val="none"/>
          <w:lang w:val="zh-CN"/>
        </w:rPr>
        <w:t>7.</w:t>
      </w:r>
      <w:r>
        <w:rPr>
          <w:rFonts w:hint="default" w:ascii="仿宋" w:hAnsi="仿宋" w:eastAsia="仿宋" w:cs="仿宋"/>
          <w:color w:val="000000"/>
          <w:sz w:val="24"/>
          <w:szCs w:val="24"/>
          <w:highlight w:val="none"/>
          <w:lang w:val="zh-CN"/>
        </w:rPr>
        <w:t xml:space="preserve"> </w:t>
      </w:r>
      <w:r>
        <w:rPr>
          <w:rFonts w:hint="eastAsia" w:ascii="仿宋" w:hAnsi="仿宋" w:eastAsia="仿宋" w:cs="仿宋"/>
          <w:color w:val="000000"/>
          <w:sz w:val="24"/>
          <w:szCs w:val="24"/>
          <w:highlight w:val="none"/>
          <w:lang w:val="zh-CN"/>
        </w:rPr>
        <w:t>工位裁判员在比赛结束前5min</w:t>
      </w:r>
      <w:r>
        <w:rPr>
          <w:rFonts w:hint="eastAsia" w:ascii="仿宋" w:hAnsi="仿宋" w:eastAsia="仿宋" w:cs="仿宋"/>
          <w:color w:val="000000"/>
          <w:sz w:val="24"/>
          <w:szCs w:val="24"/>
          <w:highlight w:val="none"/>
          <w:lang w:val="zh-CN" w:eastAsia="zh-Hans"/>
        </w:rPr>
        <w:t>、</w:t>
      </w:r>
      <w:r>
        <w:rPr>
          <w:rFonts w:hint="eastAsia" w:ascii="仿宋" w:hAnsi="仿宋" w:eastAsia="仿宋" w:cs="仿宋"/>
          <w:color w:val="000000"/>
          <w:sz w:val="24"/>
          <w:szCs w:val="24"/>
          <w:highlight w:val="none"/>
          <w:lang w:val="zh-CN"/>
        </w:rPr>
        <w:t>3min各提示一次比赛剩余时间。宣布比赛结束时所有参赛选手应立即停止作业，否则按违规处理。</w:t>
      </w:r>
    </w:p>
    <w:p w14:paraId="5A1C6A9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outlineLvl w:val="0"/>
        <w:rPr>
          <w:rFonts w:hint="eastAsia" w:ascii="黑体" w:hAnsi="黑体" w:eastAsia="黑体" w:cs="黑体"/>
          <w:b/>
          <w:bCs/>
          <w:color w:val="000000"/>
          <w:sz w:val="24"/>
          <w:szCs w:val="24"/>
          <w:highlight w:val="none"/>
        </w:rPr>
      </w:pPr>
      <w:r>
        <w:rPr>
          <w:rFonts w:hint="eastAsia" w:ascii="黑体" w:hAnsi="黑体" w:eastAsia="黑体" w:cs="黑体"/>
          <w:b/>
          <w:bCs/>
          <w:color w:val="000000"/>
          <w:kern w:val="2"/>
          <w:sz w:val="24"/>
          <w:szCs w:val="24"/>
          <w:highlight w:val="none"/>
          <w:lang w:val="en-US" w:eastAsia="zh-CN" w:bidi="ar-SA"/>
        </w:rPr>
        <w:t>五、</w:t>
      </w:r>
      <w:r>
        <w:rPr>
          <w:rFonts w:hint="eastAsia" w:ascii="黑体" w:hAnsi="黑体" w:eastAsia="黑体" w:cs="黑体"/>
          <w:b/>
          <w:bCs/>
          <w:color w:val="000000"/>
          <w:sz w:val="24"/>
          <w:szCs w:val="24"/>
          <w:highlight w:val="none"/>
        </w:rPr>
        <w:t>评分规定</w:t>
      </w:r>
    </w:p>
    <w:p w14:paraId="03EAA434">
      <w:pPr>
        <w:spacing w:line="288" w:lineRule="auto"/>
        <w:ind w:firstLine="482" w:firstLineChars="200"/>
        <w:contextualSpacing/>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评判方式</w:t>
      </w:r>
    </w:p>
    <w:p w14:paraId="0618127F">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本赛项评判方式分为计算机评分、结果性评分和过程性评分相结合的方式。</w:t>
      </w:r>
    </w:p>
    <w:p w14:paraId="76BF79CB">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1.计算机评分</w:t>
      </w:r>
    </w:p>
    <w:p w14:paraId="38D3AC2E">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对于虚拟仿真部分，在规定时间内，按教员机下发的竞赛项目完成竞赛内容并提交，由软件系统对结果进行评分；对于控制电路优化设计部分，按竞赛项目要求的逻辑关系完成电路设计并提交，由系统对结果进行评分。</w:t>
      </w:r>
    </w:p>
    <w:p w14:paraId="2C0E5B02">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2.结果性评分</w:t>
      </w:r>
    </w:p>
    <w:p w14:paraId="672E5438">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对于实操考核部分，在规定时间内，按任务书要求实现竞赛内容。裁判按照评分表对各评价项目进行结果评分。相关答题卡如未写明工位号，裁判长可根据具体情况将竞赛作品作废处理。</w:t>
      </w:r>
    </w:p>
    <w:p w14:paraId="07FC8D38">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3.过程性评分</w:t>
      </w:r>
    </w:p>
    <w:p w14:paraId="201CEF5A">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操作规范中涉及现场管理及安全部分，裁判根据参赛队伍（选手）在分步操作过程中的安全性、规范性、合理性以及完成质量等，依据评分标准按步给分。</w:t>
      </w:r>
    </w:p>
    <w:p w14:paraId="0C7500B1">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在竞赛时段，参赛选手有不服从裁判及监考、扰乱赛场秩序等行为，情节严重的，取消参赛队评奖资格。有作弊行为的，取消参赛队评奖资格。裁判宣布竞赛时间到，选手仍强行操作的，取消参赛队奖项评比资格。</w:t>
      </w:r>
    </w:p>
    <w:p w14:paraId="1CB0B3E4">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按比赛成绩从高分到低分排列参赛队的名次。如果出现成绩分数相同的情况，按选手完成比赛总用时进行排名，用时短者胜出。若分数、用时均相同，则按照模块1的得分高低进行排名。如果模块1分数也相同，则按照模块2的得分高低进行排名。</w:t>
      </w:r>
    </w:p>
    <w:p w14:paraId="55E030F8">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6.选手有下列情形，需从比赛成绩中扣分：</w:t>
      </w:r>
    </w:p>
    <w:p w14:paraId="68A6C5FA">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（1）违反比赛规定，提前进行操作或比赛终止仍继续操作的，由现场裁判员负责记录，并酌情扣1-5分。</w:t>
      </w:r>
    </w:p>
    <w:p w14:paraId="51D2D903">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（2）在竞赛过程中，违反赛场纪律，由裁判员现场记录参赛选手违纪情节，依据情节扣1-5分。</w:t>
      </w:r>
    </w:p>
    <w:p w14:paraId="7C63DF3C">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在完成工作任务的过程中违反操作规程或因操作不当，造成设备损坏或影响其他选手比赛的，扣5-10分；因操作不当导致人身或设备安全事故，扣10-20分；情况严重者报赛项执委会批准，由裁判长宣布终止该选手的比赛，竞赛成绩以0分计算。</w:t>
      </w:r>
    </w:p>
    <w:p w14:paraId="3F66A9B6">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（4）损坏赛场设备，污染赛场环境等不符合职业规范的行为，视情节扣分。</w:t>
      </w:r>
    </w:p>
    <w:p w14:paraId="5DCC54BD">
      <w:pPr>
        <w:spacing w:line="288" w:lineRule="auto"/>
        <w:ind w:firstLine="482" w:firstLineChars="200"/>
        <w:contextualSpacing/>
        <w:rPr>
          <w:rFonts w:hint="eastAsia" w:ascii="仿宋" w:hAnsi="仿宋" w:eastAsia="仿宋" w:cs="仿宋"/>
          <w:b/>
          <w:bCs/>
          <w:sz w:val="24"/>
          <w:szCs w:val="24"/>
          <w:highlight w:val="none"/>
          <w:lang w:eastAsia="zh-CN"/>
        </w:rPr>
      </w:pPr>
      <w:r>
        <w:rPr>
          <w:rFonts w:hint="default" w:ascii="仿宋" w:hAnsi="仿宋" w:eastAsia="仿宋" w:cs="仿宋"/>
          <w:b/>
          <w:bCs/>
          <w:sz w:val="24"/>
          <w:szCs w:val="24"/>
          <w:highlight w:val="none"/>
          <w:lang w:eastAsia="zh-CN"/>
        </w:rPr>
        <w:t>（二）</w:t>
      </w:r>
      <w:r>
        <w:rPr>
          <w:rFonts w:hint="eastAsia" w:ascii="仿宋" w:hAnsi="仿宋" w:eastAsia="仿宋" w:cs="仿宋"/>
          <w:b/>
          <w:bCs/>
          <w:sz w:val="24"/>
          <w:szCs w:val="24"/>
          <w:highlight w:val="none"/>
          <w:lang w:eastAsia="zh-CN"/>
        </w:rPr>
        <w:t>违规违纪评判</w:t>
      </w:r>
    </w:p>
    <w:p w14:paraId="3C75C7EC">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在竞赛过程中，选手如有不服从裁判判决、扰乱赛场秩序、舞弊等不文明行为，由裁判按照规定扣减相应分数并且给予警告，情节严重的取消竞赛资格，竞赛成绩记0分。</w:t>
      </w:r>
    </w:p>
    <w:p w14:paraId="18CDD255">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参赛选手提交的答题卡与任务书上只能按要求填写工位号进行识别，不得填写指定内容之外的任何识别性标记。任务中要求提交的截图/照片资料中都不允许出现本工位或者其他工位参赛选手图像、选手姓名、校名或者其他任何识别性的标记。如果出现地区、校名、姓名等其他任何与竞赛队有关的识别信息，一经发现，竞赛试卷和作品作废，比赛按零分处理，并且提请大赛组委会进行处罚。</w:t>
      </w:r>
    </w:p>
    <w:p w14:paraId="47B02776">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竞赛任务书、竞赛答题卡、竞赛器材及竞赛材料等不得带出竞赛场地，一经发现，竞赛作品作废，比赛按零分处理，并且提请大赛组委会进行处罚。</w:t>
      </w:r>
    </w:p>
    <w:p w14:paraId="7143C866">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正式比赛前，参赛选手需对竞赛平台中的设备进行确认，如果发现有损坏应立即举手示意，否则造成的后果自负。正式比赛开始后，参赛选手如测定竞赛技术平台中的设备有故障可提出相应处理，但该设备经现场裁判与技术支持人员测定完好，确属参赛选手误判，不予任何延时。</w:t>
      </w:r>
    </w:p>
    <w:p w14:paraId="5955CCDA">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违规违纪行为相关的扣分标准如下表：</w:t>
      </w:r>
    </w:p>
    <w:tbl>
      <w:tblPr>
        <w:tblStyle w:val="12"/>
        <w:tblW w:w="7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6"/>
        <w:gridCol w:w="3016"/>
      </w:tblGrid>
      <w:tr w14:paraId="6E76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6" w:type="dxa"/>
            <w:vAlign w:val="center"/>
          </w:tcPr>
          <w:p w14:paraId="762FFEEE">
            <w:pPr>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违规违纪行为</w:t>
            </w:r>
          </w:p>
        </w:tc>
        <w:tc>
          <w:tcPr>
            <w:tcW w:w="3016" w:type="dxa"/>
            <w:vAlign w:val="center"/>
          </w:tcPr>
          <w:p w14:paraId="1F990F57">
            <w:pPr>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扣分标准</w:t>
            </w:r>
          </w:p>
        </w:tc>
      </w:tr>
      <w:tr w14:paraId="6DC5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36" w:type="dxa"/>
            <w:vAlign w:val="center"/>
          </w:tcPr>
          <w:p w14:paraId="22025238">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在裁判长发出开始比赛指令前，提前操作</w:t>
            </w:r>
          </w:p>
        </w:tc>
        <w:tc>
          <w:tcPr>
            <w:tcW w:w="3016" w:type="dxa"/>
            <w:vAlign w:val="center"/>
          </w:tcPr>
          <w:p w14:paraId="138852B5">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扣5分</w:t>
            </w:r>
          </w:p>
        </w:tc>
      </w:tr>
      <w:tr w14:paraId="00E7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36" w:type="dxa"/>
            <w:vAlign w:val="center"/>
          </w:tcPr>
          <w:p w14:paraId="7DD565D9">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选手签名时，使用了真实姓名或者具体参赛队</w:t>
            </w:r>
          </w:p>
        </w:tc>
        <w:tc>
          <w:tcPr>
            <w:tcW w:w="3016" w:type="dxa"/>
            <w:vAlign w:val="center"/>
          </w:tcPr>
          <w:p w14:paraId="379F23C6">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取消比赛资格</w:t>
            </w:r>
          </w:p>
        </w:tc>
      </w:tr>
      <w:tr w14:paraId="57B0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36" w:type="dxa"/>
            <w:vAlign w:val="center"/>
          </w:tcPr>
          <w:p w14:paraId="226A0F8C">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不服从裁判指令</w:t>
            </w:r>
          </w:p>
        </w:tc>
        <w:tc>
          <w:tcPr>
            <w:tcW w:w="3016" w:type="dxa"/>
            <w:vAlign w:val="center"/>
          </w:tcPr>
          <w:p w14:paraId="084C18AE">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扣5分/次</w:t>
            </w:r>
          </w:p>
        </w:tc>
      </w:tr>
      <w:tr w14:paraId="441B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36" w:type="dxa"/>
            <w:vAlign w:val="center"/>
          </w:tcPr>
          <w:p w14:paraId="31DB80D5">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在裁判长发出结束比赛指令后，继续操作</w:t>
            </w:r>
          </w:p>
        </w:tc>
        <w:tc>
          <w:tcPr>
            <w:tcW w:w="3016" w:type="dxa"/>
            <w:vAlign w:val="center"/>
          </w:tcPr>
          <w:p w14:paraId="13EA8402">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扣5分</w:t>
            </w:r>
          </w:p>
        </w:tc>
      </w:tr>
      <w:tr w14:paraId="7134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36" w:type="dxa"/>
            <w:vAlign w:val="center"/>
          </w:tcPr>
          <w:p w14:paraId="79E5880E">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擅自离开本参赛队赛位</w:t>
            </w:r>
          </w:p>
        </w:tc>
        <w:tc>
          <w:tcPr>
            <w:tcW w:w="3016" w:type="dxa"/>
            <w:vAlign w:val="center"/>
          </w:tcPr>
          <w:p w14:paraId="789284E5">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取消比赛资格</w:t>
            </w:r>
          </w:p>
        </w:tc>
      </w:tr>
      <w:tr w14:paraId="5189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36" w:type="dxa"/>
            <w:vAlign w:val="center"/>
          </w:tcPr>
          <w:p w14:paraId="5CD3D7A4">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与其他赛位的选手交流</w:t>
            </w:r>
          </w:p>
        </w:tc>
        <w:tc>
          <w:tcPr>
            <w:tcW w:w="3016" w:type="dxa"/>
            <w:vAlign w:val="center"/>
          </w:tcPr>
          <w:p w14:paraId="3EBED0F5">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取消比赛资格</w:t>
            </w:r>
          </w:p>
        </w:tc>
      </w:tr>
      <w:tr w14:paraId="4AE1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36" w:type="dxa"/>
            <w:vAlign w:val="center"/>
          </w:tcPr>
          <w:p w14:paraId="7B633902">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在赛场大声喧哗、无理取闹</w:t>
            </w:r>
          </w:p>
        </w:tc>
        <w:tc>
          <w:tcPr>
            <w:tcW w:w="3016" w:type="dxa"/>
            <w:vAlign w:val="center"/>
          </w:tcPr>
          <w:p w14:paraId="6B8F83DF">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取消比赛资格</w:t>
            </w:r>
          </w:p>
        </w:tc>
      </w:tr>
      <w:tr w14:paraId="70E0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4736" w:type="dxa"/>
            <w:vAlign w:val="center"/>
          </w:tcPr>
          <w:p w14:paraId="083B1ACA">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竞赛任务书、竞赛答题卡、竞赛器材及竞赛材料等带出竞赛场地</w:t>
            </w:r>
          </w:p>
        </w:tc>
        <w:tc>
          <w:tcPr>
            <w:tcW w:w="3016" w:type="dxa"/>
            <w:vAlign w:val="center"/>
          </w:tcPr>
          <w:p w14:paraId="525B84B7">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取消比赛资格</w:t>
            </w:r>
          </w:p>
        </w:tc>
      </w:tr>
      <w:tr w14:paraId="323D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exact"/>
          <w:jc w:val="center"/>
        </w:trPr>
        <w:tc>
          <w:tcPr>
            <w:tcW w:w="4736" w:type="dxa"/>
            <w:vAlign w:val="center"/>
          </w:tcPr>
          <w:p w14:paraId="6B117387">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由于选手不规范操作导致技术平台出现设备损坏</w:t>
            </w:r>
          </w:p>
        </w:tc>
        <w:tc>
          <w:tcPr>
            <w:tcW w:w="3016" w:type="dxa"/>
            <w:vAlign w:val="center"/>
          </w:tcPr>
          <w:p w14:paraId="3437B46D">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裁判长可根据现场情况酌情扣5-20分</w:t>
            </w:r>
          </w:p>
        </w:tc>
      </w:tr>
    </w:tbl>
    <w:p w14:paraId="7AB9DA6E">
      <w:pPr>
        <w:spacing w:line="288" w:lineRule="auto"/>
        <w:ind w:firstLine="482" w:firstLineChars="200"/>
        <w:contextualSpacing/>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（三）成绩计算</w:t>
      </w:r>
    </w:p>
    <w:p w14:paraId="506160A8">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每支参赛队伍的成绩计算方法如下：</w:t>
      </w:r>
    </w:p>
    <w:p w14:paraId="371E67C9">
      <w:pPr>
        <w:spacing w:line="360" w:lineRule="auto"/>
        <w:ind w:firstLine="480" w:firstLineChars="200"/>
        <w:contextualSpacing/>
        <w:rPr>
          <w:rFonts w:hint="eastAsia" w:ascii="仿宋" w:hAnsi="仿宋" w:eastAsia="仿宋" w:cs="仿宋"/>
          <w:color w:val="000000"/>
          <w:sz w:val="24"/>
          <w:szCs w:val="24"/>
          <w:highlight w:val="none"/>
          <w:lang w:val="zh-CN" w:eastAsia="zh-CN"/>
        </w:rPr>
      </w:pPr>
      <w:r>
        <w:rPr>
          <w:rFonts w:hint="eastAsia" w:ascii="仿宋" w:hAnsi="仿宋" w:eastAsia="仿宋" w:cs="仿宋"/>
          <w:color w:val="000000"/>
          <w:sz w:val="24"/>
          <w:szCs w:val="24"/>
          <w:highlight w:val="none"/>
          <w:lang w:val="zh-CN"/>
        </w:rPr>
        <w:t>所在团队</w:t>
      </w:r>
      <w:r>
        <w:rPr>
          <w:rFonts w:hint="eastAsia" w:ascii="仿宋" w:hAnsi="仿宋" w:eastAsia="仿宋" w:cs="仿宋"/>
          <w:color w:val="000000"/>
          <w:sz w:val="24"/>
          <w:szCs w:val="24"/>
          <w:highlight w:val="none"/>
          <w:lang w:val="en-US" w:eastAsia="zh-CN"/>
        </w:rPr>
        <w:t>的最终</w:t>
      </w:r>
      <w:r>
        <w:rPr>
          <w:rFonts w:hint="eastAsia" w:ascii="仿宋" w:hAnsi="仿宋" w:eastAsia="仿宋" w:cs="仿宋"/>
          <w:color w:val="000000"/>
          <w:sz w:val="24"/>
          <w:szCs w:val="24"/>
          <w:highlight w:val="none"/>
          <w:lang w:val="zh-CN"/>
        </w:rPr>
        <w:t>操作成绩</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val="zh-CN"/>
        </w:rPr>
        <w:t>模块1列车整车检查与试验成绩</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val="zh-CN"/>
        </w:rPr>
        <w:t>模块2受电弓的安装与调试成绩</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lang w:val="zh-CN"/>
        </w:rPr>
        <w:t>模块3客室车门的安装调试与优化设计成绩</w:t>
      </w:r>
      <w:r>
        <w:rPr>
          <w:rFonts w:hint="eastAsia" w:ascii="仿宋" w:hAnsi="仿宋" w:eastAsia="仿宋" w:cs="仿宋"/>
          <w:color w:val="000000"/>
          <w:sz w:val="24"/>
          <w:szCs w:val="24"/>
          <w:highlight w:val="none"/>
          <w:lang w:val="zh-CN" w:eastAsia="zh-CN"/>
        </w:rPr>
        <w:t>。</w:t>
      </w:r>
    </w:p>
    <w:p w14:paraId="4415A3D1">
      <w:pPr>
        <w:spacing w:line="360" w:lineRule="auto"/>
        <w:ind w:firstLine="480" w:firstLineChars="200"/>
        <w:contextualSpacing/>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zh-CN"/>
        </w:rPr>
        <w:t>按总成绩由高到低排序；总成绩相同则以“</w:t>
      </w:r>
      <w:r>
        <w:rPr>
          <w:rFonts w:hint="eastAsia" w:ascii="仿宋" w:hAnsi="仿宋" w:eastAsia="仿宋" w:cs="仿宋"/>
          <w:color w:val="000000"/>
          <w:sz w:val="24"/>
          <w:szCs w:val="24"/>
          <w:highlight w:val="none"/>
          <w:lang w:val="en-US" w:eastAsia="zh-CN"/>
        </w:rPr>
        <w:t>车辆整车检查与试验</w:t>
      </w:r>
      <w:r>
        <w:rPr>
          <w:rFonts w:hint="eastAsia" w:ascii="仿宋" w:hAnsi="仿宋" w:eastAsia="仿宋" w:cs="仿宋"/>
          <w:color w:val="000000"/>
          <w:sz w:val="24"/>
          <w:szCs w:val="24"/>
          <w:highlight w:val="none"/>
          <w:lang w:val="zh-CN"/>
        </w:rPr>
        <w:t>”成绩高的在前；若“</w:t>
      </w:r>
      <w:r>
        <w:rPr>
          <w:rFonts w:hint="eastAsia" w:ascii="仿宋" w:hAnsi="仿宋" w:eastAsia="仿宋" w:cs="仿宋"/>
          <w:color w:val="000000"/>
          <w:sz w:val="24"/>
          <w:szCs w:val="24"/>
          <w:highlight w:val="none"/>
          <w:lang w:val="en-US" w:eastAsia="zh-CN"/>
        </w:rPr>
        <w:t>车辆整车检查与试验</w:t>
      </w:r>
      <w:r>
        <w:rPr>
          <w:rFonts w:hint="eastAsia" w:ascii="仿宋" w:hAnsi="仿宋" w:eastAsia="仿宋" w:cs="仿宋"/>
          <w:color w:val="000000"/>
          <w:sz w:val="24"/>
          <w:szCs w:val="24"/>
          <w:highlight w:val="none"/>
          <w:lang w:val="zh-CN"/>
        </w:rPr>
        <w:t>”成绩也相同，则以“</w:t>
      </w:r>
      <w:r>
        <w:rPr>
          <w:rFonts w:hint="default" w:ascii="仿宋" w:hAnsi="仿宋" w:eastAsia="仿宋" w:cs="仿宋"/>
          <w:color w:val="000000"/>
          <w:sz w:val="24"/>
          <w:szCs w:val="24"/>
          <w:highlight w:val="none"/>
          <w:lang w:val="zh-CN"/>
        </w:rPr>
        <w:t>受电弓的</w:t>
      </w:r>
      <w:r>
        <w:rPr>
          <w:rFonts w:hint="eastAsia" w:ascii="仿宋" w:hAnsi="仿宋" w:eastAsia="仿宋" w:cs="仿宋"/>
          <w:color w:val="000000"/>
          <w:sz w:val="24"/>
          <w:szCs w:val="24"/>
          <w:highlight w:val="none"/>
          <w:lang w:val="zh-CN" w:eastAsia="zh-CN"/>
        </w:rPr>
        <w:t>安装与调试</w:t>
      </w:r>
      <w:r>
        <w:rPr>
          <w:rFonts w:hint="eastAsia" w:ascii="仿宋" w:hAnsi="仿宋" w:eastAsia="仿宋" w:cs="仿宋"/>
          <w:color w:val="000000"/>
          <w:sz w:val="24"/>
          <w:szCs w:val="24"/>
          <w:highlight w:val="none"/>
          <w:lang w:val="zh-CN"/>
        </w:rPr>
        <w:t>”成绩高的在前；若“</w:t>
      </w:r>
      <w:r>
        <w:rPr>
          <w:rFonts w:hint="default" w:ascii="仿宋" w:hAnsi="仿宋" w:eastAsia="仿宋" w:cs="仿宋"/>
          <w:color w:val="000000"/>
          <w:sz w:val="24"/>
          <w:szCs w:val="24"/>
          <w:highlight w:val="none"/>
          <w:lang w:val="zh-CN"/>
        </w:rPr>
        <w:t>受电弓的</w:t>
      </w:r>
      <w:r>
        <w:rPr>
          <w:rFonts w:hint="eastAsia" w:ascii="仿宋" w:hAnsi="仿宋" w:eastAsia="仿宋" w:cs="仿宋"/>
          <w:color w:val="000000"/>
          <w:sz w:val="24"/>
          <w:szCs w:val="24"/>
          <w:highlight w:val="none"/>
          <w:lang w:val="zh-CN" w:eastAsia="zh-CN"/>
        </w:rPr>
        <w:t>安装与调试</w:t>
      </w:r>
      <w:r>
        <w:rPr>
          <w:rFonts w:hint="eastAsia" w:ascii="仿宋" w:hAnsi="仿宋" w:eastAsia="仿宋" w:cs="仿宋"/>
          <w:color w:val="000000"/>
          <w:sz w:val="24"/>
          <w:szCs w:val="24"/>
          <w:highlight w:val="none"/>
          <w:lang w:val="zh-CN"/>
        </w:rPr>
        <w:t>”成绩也相同，则以“客室车门</w:t>
      </w:r>
      <w:r>
        <w:rPr>
          <w:rFonts w:hint="default" w:ascii="仿宋" w:hAnsi="仿宋" w:eastAsia="仿宋" w:cs="仿宋"/>
          <w:color w:val="000000"/>
          <w:sz w:val="24"/>
          <w:szCs w:val="24"/>
          <w:highlight w:val="none"/>
          <w:lang w:val="zh-CN"/>
        </w:rPr>
        <w:t>的</w:t>
      </w:r>
      <w:r>
        <w:rPr>
          <w:rFonts w:hint="eastAsia" w:ascii="仿宋" w:hAnsi="仿宋" w:eastAsia="仿宋" w:cs="仿宋"/>
          <w:color w:val="000000"/>
          <w:sz w:val="24"/>
          <w:szCs w:val="24"/>
          <w:highlight w:val="none"/>
          <w:lang w:val="zh-CN" w:eastAsia="zh-CN"/>
        </w:rPr>
        <w:t>安装与调试</w:t>
      </w:r>
      <w:r>
        <w:rPr>
          <w:rFonts w:hint="eastAsia" w:ascii="仿宋" w:hAnsi="仿宋" w:eastAsia="仿宋" w:cs="仿宋"/>
          <w:color w:val="000000"/>
          <w:sz w:val="24"/>
          <w:szCs w:val="24"/>
          <w:highlight w:val="none"/>
          <w:lang w:val="zh-CN"/>
        </w:rPr>
        <w:t>”成绩高的在前；若“客室车门</w:t>
      </w:r>
      <w:r>
        <w:rPr>
          <w:rFonts w:hint="default" w:ascii="仿宋" w:hAnsi="仿宋" w:eastAsia="仿宋" w:cs="仿宋"/>
          <w:color w:val="000000"/>
          <w:sz w:val="24"/>
          <w:szCs w:val="24"/>
          <w:highlight w:val="none"/>
          <w:lang w:val="zh-CN"/>
        </w:rPr>
        <w:t>的</w:t>
      </w:r>
      <w:r>
        <w:rPr>
          <w:rFonts w:hint="eastAsia" w:ascii="仿宋" w:hAnsi="仿宋" w:eastAsia="仿宋" w:cs="仿宋"/>
          <w:color w:val="000000"/>
          <w:sz w:val="24"/>
          <w:szCs w:val="24"/>
          <w:highlight w:val="none"/>
          <w:lang w:val="zh-CN" w:eastAsia="zh-CN"/>
        </w:rPr>
        <w:t>安装与调试</w:t>
      </w:r>
      <w:r>
        <w:rPr>
          <w:rFonts w:hint="eastAsia" w:ascii="仿宋" w:hAnsi="仿宋" w:eastAsia="仿宋" w:cs="仿宋"/>
          <w:color w:val="000000"/>
          <w:sz w:val="24"/>
          <w:szCs w:val="24"/>
          <w:highlight w:val="none"/>
          <w:lang w:val="zh-CN"/>
        </w:rPr>
        <w:t>”成绩也相同，则以四个赛项总操作用时短的名次的在前。</w:t>
      </w:r>
    </w:p>
    <w:p w14:paraId="52B540EF">
      <w:pPr>
        <w:spacing w:line="288" w:lineRule="auto"/>
        <w:ind w:firstLine="482" w:firstLineChars="200"/>
        <w:contextualSpacing/>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（四）比赛排名</w:t>
      </w:r>
    </w:p>
    <w:p w14:paraId="3070720D">
      <w:pPr>
        <w:spacing w:line="360" w:lineRule="auto"/>
        <w:ind w:firstLine="480" w:firstLineChars="200"/>
        <w:contextualSpacing/>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按总成绩由高到低排序；总成绩相同则以“</w:t>
      </w:r>
      <w:r>
        <w:rPr>
          <w:rFonts w:hint="eastAsia" w:ascii="仿宋" w:hAnsi="仿宋" w:eastAsia="仿宋" w:cs="仿宋"/>
          <w:color w:val="000000"/>
          <w:sz w:val="24"/>
          <w:szCs w:val="24"/>
          <w:highlight w:val="none"/>
          <w:lang w:val="en-US" w:eastAsia="zh-CN"/>
        </w:rPr>
        <w:t>车辆整车检查与试验</w:t>
      </w:r>
      <w:r>
        <w:rPr>
          <w:rFonts w:hint="eastAsia" w:ascii="仿宋" w:hAnsi="仿宋" w:eastAsia="仿宋" w:cs="仿宋"/>
          <w:color w:val="000000"/>
          <w:sz w:val="24"/>
          <w:szCs w:val="24"/>
          <w:highlight w:val="none"/>
          <w:lang w:val="zh-CN"/>
        </w:rPr>
        <w:t>”成绩高的在前；若“</w:t>
      </w:r>
      <w:r>
        <w:rPr>
          <w:rFonts w:hint="eastAsia" w:ascii="仿宋" w:hAnsi="仿宋" w:eastAsia="仿宋" w:cs="仿宋"/>
          <w:color w:val="000000"/>
          <w:sz w:val="24"/>
          <w:szCs w:val="24"/>
          <w:highlight w:val="none"/>
          <w:lang w:val="en-US" w:eastAsia="zh-CN"/>
        </w:rPr>
        <w:t>车辆整车检查与试验</w:t>
      </w:r>
      <w:r>
        <w:rPr>
          <w:rFonts w:hint="eastAsia" w:ascii="仿宋" w:hAnsi="仿宋" w:eastAsia="仿宋" w:cs="仿宋"/>
          <w:color w:val="000000"/>
          <w:sz w:val="24"/>
          <w:szCs w:val="24"/>
          <w:highlight w:val="none"/>
          <w:lang w:val="zh-CN"/>
        </w:rPr>
        <w:t>”成绩也相同，则以“</w:t>
      </w:r>
      <w:r>
        <w:rPr>
          <w:rFonts w:hint="default" w:ascii="仿宋" w:hAnsi="仿宋" w:eastAsia="仿宋" w:cs="仿宋"/>
          <w:color w:val="000000"/>
          <w:sz w:val="24"/>
          <w:szCs w:val="24"/>
          <w:highlight w:val="none"/>
          <w:lang w:val="zh-CN"/>
        </w:rPr>
        <w:t>受电弓的</w:t>
      </w:r>
      <w:r>
        <w:rPr>
          <w:rFonts w:hint="eastAsia" w:ascii="仿宋" w:hAnsi="仿宋" w:eastAsia="仿宋" w:cs="仿宋"/>
          <w:color w:val="000000"/>
          <w:sz w:val="24"/>
          <w:szCs w:val="24"/>
          <w:highlight w:val="none"/>
          <w:lang w:val="zh-CN" w:eastAsia="zh-CN"/>
        </w:rPr>
        <w:t>安装与调试</w:t>
      </w:r>
      <w:r>
        <w:rPr>
          <w:rFonts w:hint="eastAsia" w:ascii="仿宋" w:hAnsi="仿宋" w:eastAsia="仿宋" w:cs="仿宋"/>
          <w:color w:val="000000"/>
          <w:sz w:val="24"/>
          <w:szCs w:val="24"/>
          <w:highlight w:val="none"/>
          <w:lang w:val="zh-CN"/>
        </w:rPr>
        <w:t>”成绩高的在前；若“</w:t>
      </w:r>
      <w:r>
        <w:rPr>
          <w:rFonts w:hint="default" w:ascii="仿宋" w:hAnsi="仿宋" w:eastAsia="仿宋" w:cs="仿宋"/>
          <w:color w:val="000000"/>
          <w:sz w:val="24"/>
          <w:szCs w:val="24"/>
          <w:highlight w:val="none"/>
          <w:lang w:val="zh-CN"/>
        </w:rPr>
        <w:t>受电弓的</w:t>
      </w:r>
      <w:r>
        <w:rPr>
          <w:rFonts w:hint="eastAsia" w:ascii="仿宋" w:hAnsi="仿宋" w:eastAsia="仿宋" w:cs="仿宋"/>
          <w:color w:val="000000"/>
          <w:sz w:val="24"/>
          <w:szCs w:val="24"/>
          <w:highlight w:val="none"/>
          <w:lang w:val="zh-CN" w:eastAsia="zh-CN"/>
        </w:rPr>
        <w:t>安装与调试</w:t>
      </w:r>
      <w:r>
        <w:rPr>
          <w:rFonts w:hint="eastAsia" w:ascii="仿宋" w:hAnsi="仿宋" w:eastAsia="仿宋" w:cs="仿宋"/>
          <w:color w:val="000000"/>
          <w:sz w:val="24"/>
          <w:szCs w:val="24"/>
          <w:highlight w:val="none"/>
          <w:lang w:val="zh-CN"/>
        </w:rPr>
        <w:t>”成绩也相同，则以“客室车门</w:t>
      </w:r>
      <w:r>
        <w:rPr>
          <w:rFonts w:hint="default" w:ascii="仿宋" w:hAnsi="仿宋" w:eastAsia="仿宋" w:cs="仿宋"/>
          <w:color w:val="000000"/>
          <w:sz w:val="24"/>
          <w:szCs w:val="24"/>
          <w:highlight w:val="none"/>
          <w:lang w:val="zh-CN"/>
        </w:rPr>
        <w:t>的</w:t>
      </w:r>
      <w:r>
        <w:rPr>
          <w:rFonts w:hint="eastAsia" w:ascii="仿宋" w:hAnsi="仿宋" w:eastAsia="仿宋" w:cs="仿宋"/>
          <w:color w:val="000000"/>
          <w:sz w:val="24"/>
          <w:szCs w:val="24"/>
          <w:highlight w:val="none"/>
          <w:lang w:val="zh-CN" w:eastAsia="zh-CN"/>
        </w:rPr>
        <w:t>安装与调试</w:t>
      </w:r>
      <w:r>
        <w:rPr>
          <w:rFonts w:hint="eastAsia" w:ascii="仿宋" w:hAnsi="仿宋" w:eastAsia="仿宋" w:cs="仿宋"/>
          <w:color w:val="000000"/>
          <w:sz w:val="24"/>
          <w:szCs w:val="24"/>
          <w:highlight w:val="none"/>
          <w:lang w:val="zh-CN"/>
        </w:rPr>
        <w:t>”成绩高的在前；若“客室车门</w:t>
      </w:r>
      <w:r>
        <w:rPr>
          <w:rFonts w:hint="default" w:ascii="仿宋" w:hAnsi="仿宋" w:eastAsia="仿宋" w:cs="仿宋"/>
          <w:color w:val="000000"/>
          <w:sz w:val="24"/>
          <w:szCs w:val="24"/>
          <w:highlight w:val="none"/>
          <w:lang w:val="zh-CN"/>
        </w:rPr>
        <w:t>的</w:t>
      </w:r>
      <w:r>
        <w:rPr>
          <w:rFonts w:hint="eastAsia" w:ascii="仿宋" w:hAnsi="仿宋" w:eastAsia="仿宋" w:cs="仿宋"/>
          <w:color w:val="000000"/>
          <w:sz w:val="24"/>
          <w:szCs w:val="24"/>
          <w:highlight w:val="none"/>
          <w:lang w:val="zh-CN" w:eastAsia="zh-CN"/>
        </w:rPr>
        <w:t>安装与调试</w:t>
      </w:r>
      <w:r>
        <w:rPr>
          <w:rFonts w:hint="eastAsia" w:ascii="仿宋" w:hAnsi="仿宋" w:eastAsia="仿宋" w:cs="仿宋"/>
          <w:color w:val="000000"/>
          <w:sz w:val="24"/>
          <w:szCs w:val="24"/>
          <w:highlight w:val="none"/>
          <w:lang w:val="zh-CN"/>
        </w:rPr>
        <w:t>”成绩也相同，则以四个赛项总操作用时短的名次的在前。</w:t>
      </w:r>
    </w:p>
    <w:p w14:paraId="7D8851BD">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0"/>
        <w:rPr>
          <w:rFonts w:hint="eastAsia" w:ascii="黑体" w:hAnsi="黑体" w:eastAsia="黑体" w:cs="黑体"/>
          <w:b/>
          <w:bCs/>
          <w:color w:val="000000"/>
          <w:sz w:val="24"/>
          <w:szCs w:val="24"/>
          <w:highlight w:val="none"/>
        </w:rPr>
      </w:pPr>
      <w:r>
        <w:rPr>
          <w:rFonts w:hint="eastAsia" w:ascii="黑体" w:hAnsi="黑体" w:eastAsia="黑体" w:cs="黑体"/>
          <w:b/>
          <w:bCs/>
          <w:color w:val="000000"/>
          <w:sz w:val="24"/>
          <w:szCs w:val="24"/>
          <w:highlight w:val="none"/>
          <w:lang w:val="en-US" w:eastAsia="zh-CN"/>
        </w:rPr>
        <w:t>六</w:t>
      </w:r>
      <w:r>
        <w:rPr>
          <w:rFonts w:hint="eastAsia" w:ascii="黑体" w:hAnsi="黑体" w:eastAsia="黑体" w:cs="黑体"/>
          <w:b/>
          <w:bCs/>
          <w:color w:val="000000"/>
          <w:sz w:val="24"/>
          <w:szCs w:val="24"/>
          <w:highlight w:val="none"/>
        </w:rPr>
        <w:t>、申诉与仲裁</w:t>
      </w:r>
    </w:p>
    <w:p w14:paraId="1E59B7A1">
      <w:pPr>
        <w:spacing w:line="288" w:lineRule="auto"/>
        <w:ind w:firstLine="482" w:firstLineChars="200"/>
        <w:contextualSpacing/>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（一）申诉</w:t>
      </w:r>
    </w:p>
    <w:p w14:paraId="3CD590DD">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（1）参赛队对不符合竞赛规定的软硬件设备，有失公正的评判，以及对工作人员的违规行为等，均可提出申诉；</w:t>
      </w:r>
    </w:p>
    <w:p w14:paraId="11296A78">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申诉时，应递交由参赛队领队亲笔签字同意的书面报告，报告应对申诉事件的现象、发生的时间、涉及的人员、申诉依据与理由等进行充分、实事求是的叙述。事实依据不充分、仅凭主观臆断的申诉不予受理；</w:t>
      </w:r>
    </w:p>
    <w:p w14:paraId="1ED5601E">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（3）申诉时效：竞赛结束后1小时内提出，超过时效将不予受理申诉；</w:t>
      </w:r>
    </w:p>
    <w:p w14:paraId="52CE0D02">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（4）申诉处理：赛场专设仲裁工作组受理申诉，收到申诉报告之后，根据申诉事由进行审查，3小时内书面通知申诉方，告知申诉处理结果；</w:t>
      </w:r>
    </w:p>
    <w:p w14:paraId="60D1B53E">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（5）申诉人不得无故拒不接受处理结果，不允许采取过激行为刁难、攻击工作人员，否则视为放弃申诉。</w:t>
      </w:r>
    </w:p>
    <w:p w14:paraId="70BB3D4D">
      <w:pPr>
        <w:spacing w:line="288" w:lineRule="auto"/>
        <w:ind w:firstLine="482" w:firstLineChars="200"/>
        <w:contextualSpacing/>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（二）仲裁</w:t>
      </w:r>
    </w:p>
    <w:p w14:paraId="1469DB6A">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（1）组委会下设仲裁工作组，负责受理竞赛中出现的所有申诉并进行仲裁，以保证竞赛的顺利进行和竞赛结果公平、公正；</w:t>
      </w:r>
    </w:p>
    <w:p w14:paraId="4FE4ABC7">
      <w:pPr>
        <w:spacing w:line="360" w:lineRule="auto"/>
        <w:ind w:firstLine="480" w:firstLineChars="200"/>
        <w:contextualSpacing/>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（2）仲裁工作组的裁决为最终裁决，参赛队不得因申诉或对处理意见不服而停止比赛或滋事，否则按弃权处理。</w:t>
      </w:r>
    </w:p>
    <w:p w14:paraId="69988C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0"/>
        <w:rPr>
          <w:rFonts w:ascii="黑体" w:hAnsi="黑体" w:eastAsia="黑体" w:cs="黑体"/>
          <w:sz w:val="24"/>
          <w:szCs w:val="24"/>
          <w:highlight w:val="none"/>
        </w:rPr>
      </w:pPr>
      <w:r>
        <w:rPr>
          <w:rFonts w:hint="eastAsia" w:ascii="黑体" w:hAnsi="黑体" w:eastAsia="黑体" w:cs="黑体"/>
          <w:kern w:val="2"/>
          <w:sz w:val="24"/>
          <w:szCs w:val="24"/>
          <w:highlight w:val="none"/>
          <w:lang w:val="en-US" w:eastAsia="zh-CN" w:bidi="ar-SA"/>
        </w:rPr>
        <w:t>七、</w:t>
      </w:r>
      <w:r>
        <w:rPr>
          <w:rFonts w:hint="eastAsia" w:ascii="黑体" w:hAnsi="黑体" w:eastAsia="黑体" w:cs="黑体"/>
          <w:b/>
          <w:bCs/>
          <w:color w:val="000000"/>
          <w:sz w:val="24"/>
          <w:szCs w:val="24"/>
          <w:highlight w:val="none"/>
          <w:lang w:val="en-US" w:eastAsia="zh-CN"/>
        </w:rPr>
        <w:t>比赛须知</w:t>
      </w:r>
    </w:p>
    <w:p w14:paraId="570879F2">
      <w:pPr>
        <w:spacing w:line="360" w:lineRule="auto"/>
        <w:ind w:firstLine="482" w:firstLineChars="200"/>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（一）参赛队须知</w:t>
      </w:r>
    </w:p>
    <w:p w14:paraId="4E421DFB">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1.参赛队名称统一使用规定的地区代表队名称，不使用学校或其他组织、团体名称。</w:t>
      </w:r>
    </w:p>
    <w:p w14:paraId="031D92E2">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2.参赛队员在报名获得审核确认后，原则上不再更换，如在备赛过程中，队员因故不能参赛，所在省教育主管部门需出具书面说明并按相关规定补充人员并接受审核；竞赛开始后，参赛队不得更换参赛队员。</w:t>
      </w:r>
    </w:p>
    <w:p w14:paraId="7AFB617A">
      <w:pPr>
        <w:spacing w:line="360" w:lineRule="auto"/>
        <w:ind w:firstLine="482" w:firstLineChars="200"/>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3.</w:t>
      </w:r>
      <w:r>
        <w:rPr>
          <w:rFonts w:hint="eastAsia" w:ascii="仿宋_GB2312" w:hAnsi="仿宋_GB2312" w:eastAsia="仿宋_GB2312" w:cs="仿宋_GB2312"/>
          <w:b/>
          <w:bCs/>
          <w:color w:val="FF0000"/>
          <w:sz w:val="24"/>
          <w:szCs w:val="24"/>
          <w:highlight w:val="none"/>
        </w:rPr>
        <w:t>各学校组织代表队时，须安排为参赛选手购买大赛期间的人身意外伤害保险</w:t>
      </w:r>
      <w:r>
        <w:rPr>
          <w:rFonts w:hint="eastAsia" w:ascii="仿宋_GB2312" w:hAnsi="仿宋_GB2312" w:eastAsia="仿宋_GB2312" w:cs="仿宋_GB2312"/>
          <w:b/>
          <w:bCs/>
          <w:sz w:val="24"/>
          <w:szCs w:val="24"/>
          <w:highlight w:val="none"/>
        </w:rPr>
        <w:t>。</w:t>
      </w:r>
    </w:p>
    <w:p w14:paraId="564E7BF9">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4.参赛队按照大赛赛程安排凭大赛组委会颁发的参赛证和有效身份证件参加比赛及相关活动。参赛队员统一着装，须符合安全生产及竞赛要求。</w:t>
      </w:r>
    </w:p>
    <w:p w14:paraId="2A6A7365">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5.参赛队员应自觉遵守赛场纪律，服从裁判、听从指挥、文明竞赛；持证进入赛场，禁止将通讯工具、自编电子或文字资料带入赛场。</w:t>
      </w:r>
    </w:p>
    <w:p w14:paraId="3BEC0B4E">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6.组委会统一安排各参赛队在比赛前一天进入赛场熟悉环境情况。</w:t>
      </w:r>
    </w:p>
    <w:p w14:paraId="3A875F36">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参赛队不能使用自带软件及自编资料等不符合规定的资料、工具、文具用品、食品等进入赛场；统一使用赛场提供的竞赛设备、设备附件和工具、技术资料等，技能大赛统一使用相同版本的软件及文字、表格处理等软件。</w:t>
      </w:r>
    </w:p>
    <w:p w14:paraId="13A22F59">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8.比赛过程中，参赛选手须严格遵守操作规程和相关准则，保证设备及人身安全，并接受裁判员的监督和警示；若因设备故障导致选手中断或终止比赛，由赛项裁判长视具体情况做出裁决。</w:t>
      </w:r>
    </w:p>
    <w:p w14:paraId="05CDAEAD">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9.在比赛过程中，参赛选手由于操作失误导致设备不能正常工作，或造成安全事故不能进行比赛的，将被终止比赛。</w:t>
      </w:r>
    </w:p>
    <w:p w14:paraId="5075A7A4">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10.在比赛过程中，各参赛选手限定在自己的工作区域和岗位完成比赛任务。</w:t>
      </w:r>
    </w:p>
    <w:p w14:paraId="73102995">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11.若参赛队欲提前结束比赛，应向裁判员举手示意，比赛终止时间由裁判员记录，参赛队结束比赛后不得再进行任何操作。</w:t>
      </w:r>
    </w:p>
    <w:p w14:paraId="15E688D2">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12.本规则没有规定的行为，裁判组有权做出裁决。在有争议的情况下，仲裁工作组的裁决是最终裁决，任何媒体资料都不做参考。</w:t>
      </w:r>
    </w:p>
    <w:p w14:paraId="58AA5EEE">
      <w:pPr>
        <w:spacing w:line="360" w:lineRule="auto"/>
        <w:ind w:firstLine="482" w:firstLineChars="200"/>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（二）指导教师须知</w:t>
      </w:r>
    </w:p>
    <w:p w14:paraId="5BC200A0">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1.做好赛前抽签工作，确认比赛出场顺序，协助大赛承办方组织好本单位比赛选手的各项赛事相关事宜。</w:t>
      </w:r>
    </w:p>
    <w:p w14:paraId="3B7723B0">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2.做好本单位比赛选手的业务辅导、心理疏导和思想引导工作，对参赛选手及比赛过程报以平和、包容的心态，共同维护竞赛秩序。</w:t>
      </w:r>
    </w:p>
    <w:p w14:paraId="5362EE2E">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3.自觉遵守竞赛规则，尊重和支持裁判工作，不随意进入比赛现场及其他禁止入内的区域，确保比赛进程的公平、公正、顺畅、高效。</w:t>
      </w:r>
    </w:p>
    <w:p w14:paraId="06C3475B">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4.各参赛队要坚决执行比赛的各项规定，加强对参赛人员的管理，做好赛前准备工作，督促选手带好证件和要求自带的工具、材料等。</w:t>
      </w:r>
    </w:p>
    <w:p w14:paraId="630328CF">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5.当本单位参赛选手对比赛进程中出现异常或疑问，应及时了解情况，客观做出判断，并做好选手的安抚工作，经内部进行协商，认为有必要时可在规定时限内向赛项仲裁工作组反映情况或提出书面仲裁申请。</w:t>
      </w:r>
    </w:p>
    <w:p w14:paraId="0929A999">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6.参赛选手因申诉或对处理意见不服而停止比赛，以弃权处理。</w:t>
      </w:r>
    </w:p>
    <w:p w14:paraId="0CBA7BA7">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7.指导教师应认真研究和掌握本赛项比赛的技术规则和赛场要求，指导选手做好赛前技术准备和应赛准备。</w:t>
      </w:r>
    </w:p>
    <w:p w14:paraId="41CDED0C">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8.指导教师应在赛后做好技术总结和工作总结。</w:t>
      </w:r>
    </w:p>
    <w:p w14:paraId="685DDFF1">
      <w:pPr>
        <w:spacing w:line="360" w:lineRule="auto"/>
        <w:ind w:firstLine="482" w:firstLineChars="200"/>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（三）竞赛选手须知</w:t>
      </w:r>
    </w:p>
    <w:p w14:paraId="3091ED07">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1.参赛选手应严格遵守赛场规章、操作规范，保证人身及设备安全，接受裁判员的监督和警示，文明竞赛。</w:t>
      </w:r>
    </w:p>
    <w:p w14:paraId="55CD45A2">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2.参赛选手凭证入场，在赛场内操作期间要始终佩带参赛凭证以备检查，统一穿着大赛提供的服装，并穿有电工安全标识的绝缘鞋。</w:t>
      </w:r>
    </w:p>
    <w:p w14:paraId="1BEE3A4D">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3.竞赛期间不准携带任何通讯工具、移动存储器、照相器材等与竞赛无关的用品，否则取消该队参赛资格。</w:t>
      </w:r>
    </w:p>
    <w:p w14:paraId="7BE5979B">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4.尊重裁判和赛场工作人员，自觉遵守赛场纪律和秩序。</w:t>
      </w:r>
    </w:p>
    <w:p w14:paraId="27B4EADB">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入场后，选手必须确认材料、工具、量具等是否齐全，开赛信号发出前不能启动设备；竞赛过程中，各竞赛队自行确定分工、工作程序和时间安排，在赛位上完成竞赛项目，严禁作弊行为；竞赛食品、饮水等由赛场统一提供。</w:t>
      </w:r>
    </w:p>
    <w:p w14:paraId="0510653F">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6.凡在竞赛期间提前离开的选手作退赛处理。</w:t>
      </w:r>
    </w:p>
    <w:p w14:paraId="1A37F97B">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参赛选手须严格遵守安全操作规范，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并由参赛队长签字确认。</w:t>
      </w:r>
    </w:p>
    <w:p w14:paraId="78BA3685">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8.参赛选手赛场外的管理由各参赛队领队和指导教师负责。</w:t>
      </w:r>
    </w:p>
    <w:p w14:paraId="3465BE72">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9.参赛队欲提前结束竞赛，应向现场裁判举手示意，竞赛所用时间由现场裁判记录。结束竞赛后参赛队不能进行任何与竞赛相关的操作。</w:t>
      </w:r>
    </w:p>
    <w:p w14:paraId="4924EDA2">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10.各竞赛队按照大赛要求和赛题要求提交递交竞赛成果，禁止在竞赛成果上做任何与竞赛无关的记号。</w:t>
      </w:r>
    </w:p>
    <w:p w14:paraId="5895EAD9">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11.竞赛操作结束后，参赛队要确认成功提交竞赛要求的文件，裁判员在比赛结果的规定位置做标记，并与参赛队一起签字确认。</w:t>
      </w:r>
    </w:p>
    <w:p w14:paraId="495BFBE0">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12.竞赛期间，选手应注意保持工作环境整洁及设备摆放整齐，符合企业生产“5S”（即整理、整顿、清扫、清洁和素养）的原则，对于不符合作业标准的，裁判员有权根据评分规则酌情扣分。</w:t>
      </w:r>
    </w:p>
    <w:p w14:paraId="1162DE1C">
      <w:pPr>
        <w:spacing w:line="360" w:lineRule="auto"/>
        <w:ind w:firstLine="482" w:firstLineChars="200"/>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（四）工作人员须知</w:t>
      </w:r>
    </w:p>
    <w:p w14:paraId="6707C28C">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1.服从赛项组委会的领导，遵守职业道德、坚持原则、按章办事，切实做到严格认真，公正准确，文明执裁。</w:t>
      </w:r>
    </w:p>
    <w:p w14:paraId="5850BDFE">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2.以高度负责的精神、严肃认真的态度和严谨细致的作风做好工作。熟悉并认真执行竞赛规则，严格按照工作程序和有关规定办事。</w:t>
      </w:r>
    </w:p>
    <w:p w14:paraId="78553CD3">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3.佩戴工作人员胸卡，穿着工作人员工装，仪表整洁，语言举止文明礼貌，接受仲裁工作组成员和参赛人员的监督。</w:t>
      </w:r>
    </w:p>
    <w:p w14:paraId="3C779960">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4.须参加赛项组委会的赛前工作培训。</w:t>
      </w:r>
    </w:p>
    <w:p w14:paraId="0DB6BB61">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5.竞赛期间，保守竞赛秘密，不得向各参赛队领队、指导教师及选手泄露、暗示大赛秘密。</w:t>
      </w:r>
    </w:p>
    <w:p w14:paraId="49AFB4DD">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6.严格执行竞赛纪律，除应向参赛选手交代的竞赛须知外，不得向参赛选手暗示解答与竞赛有关的问题，更不得向选手进行指导或提供方便。</w:t>
      </w:r>
    </w:p>
    <w:p w14:paraId="098D027E">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7.实行回避制度，不得与参赛选手及相关人员接触或联系。</w:t>
      </w:r>
    </w:p>
    <w:p w14:paraId="4C2C074B">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8.坚守岗位，不迟到，不早退。</w:t>
      </w:r>
    </w:p>
    <w:p w14:paraId="7A0893DF">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9.监督选手遵守竞赛规则和安全操作规程的情况，不得无故干扰选手竞赛，正确处理竞赛中出现的问题。</w:t>
      </w:r>
    </w:p>
    <w:p w14:paraId="14FABF3E">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10.遵循公平、公正原则，维护赛场纪律，如实填写赛场记录。</w:t>
      </w:r>
    </w:p>
    <w:p w14:paraId="0C2E36C4">
      <w:pPr>
        <w:spacing w:line="360" w:lineRule="auto"/>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11.遇安全突发事件，按照工作预案及时组织疏散，确保人员安全。</w:t>
      </w:r>
    </w:p>
    <w:p w14:paraId="37D3ED11">
      <w:pPr>
        <w:pStyle w:val="7"/>
        <w:numPr>
          <w:ilvl w:val="0"/>
          <w:numId w:val="0"/>
        </w:numPr>
        <w:ind w:leftChars="200"/>
        <w:rPr>
          <w:rFonts w:hint="eastAsia"/>
          <w:highlight w:val="none"/>
        </w:rPr>
      </w:pPr>
      <w:r>
        <w:rPr>
          <w:rFonts w:hint="eastAsia" w:ascii="仿宋_GB2312" w:hAnsi="仿宋_GB2312" w:eastAsia="仿宋_GB2312" w:cs="仿宋_GB2312"/>
          <w:sz w:val="24"/>
          <w:szCs w:val="24"/>
          <w:highlight w:val="none"/>
        </w:rPr>
        <w:t>12.未经同意不得擅自发布关于比赛的言论，不得私自接受采访。</w:t>
      </w:r>
    </w:p>
    <w:p w14:paraId="4DF86B6F">
      <w:pPr>
        <w:pStyle w:val="2"/>
        <w:rPr>
          <w:rFonts w:hint="eastAsia"/>
          <w:highlight w:val="none"/>
        </w:rPr>
      </w:pPr>
    </w:p>
    <w:sectPr>
      <w:pgSz w:w="11906" w:h="16838"/>
      <w:pgMar w:top="1440" w:right="1644" w:bottom="1440" w:left="1644"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OWEyYTNmNzVkNjllY2NlZDQwNWI3NTk2Y2E4ZjUifQ=="/>
  </w:docVars>
  <w:rsids>
    <w:rsidRoot w:val="00C03E63"/>
    <w:rsid w:val="00001776"/>
    <w:rsid w:val="0000687E"/>
    <w:rsid w:val="00011BB0"/>
    <w:rsid w:val="00016982"/>
    <w:rsid w:val="00032414"/>
    <w:rsid w:val="000336F6"/>
    <w:rsid w:val="000412A0"/>
    <w:rsid w:val="00080AAD"/>
    <w:rsid w:val="000B35DF"/>
    <w:rsid w:val="000C0138"/>
    <w:rsid w:val="000C3A96"/>
    <w:rsid w:val="000C768F"/>
    <w:rsid w:val="000D7113"/>
    <w:rsid w:val="000E439C"/>
    <w:rsid w:val="000F20A3"/>
    <w:rsid w:val="000F352B"/>
    <w:rsid w:val="000F49EE"/>
    <w:rsid w:val="000F7452"/>
    <w:rsid w:val="00106D3D"/>
    <w:rsid w:val="001422E5"/>
    <w:rsid w:val="001526AD"/>
    <w:rsid w:val="00152CCB"/>
    <w:rsid w:val="00174DD3"/>
    <w:rsid w:val="00181181"/>
    <w:rsid w:val="00182DE2"/>
    <w:rsid w:val="001A10DB"/>
    <w:rsid w:val="001A58ED"/>
    <w:rsid w:val="001B10B6"/>
    <w:rsid w:val="001C6476"/>
    <w:rsid w:val="001E3987"/>
    <w:rsid w:val="001F776E"/>
    <w:rsid w:val="00267381"/>
    <w:rsid w:val="0029258A"/>
    <w:rsid w:val="002A1780"/>
    <w:rsid w:val="002B3C21"/>
    <w:rsid w:val="002B680C"/>
    <w:rsid w:val="002F05B1"/>
    <w:rsid w:val="002F17C3"/>
    <w:rsid w:val="002F57E3"/>
    <w:rsid w:val="002F5FAE"/>
    <w:rsid w:val="00301E4D"/>
    <w:rsid w:val="003050AD"/>
    <w:rsid w:val="003065E9"/>
    <w:rsid w:val="0031087C"/>
    <w:rsid w:val="00311332"/>
    <w:rsid w:val="00333DE5"/>
    <w:rsid w:val="00337C41"/>
    <w:rsid w:val="00343D8A"/>
    <w:rsid w:val="00362853"/>
    <w:rsid w:val="00373823"/>
    <w:rsid w:val="003763A7"/>
    <w:rsid w:val="00381A53"/>
    <w:rsid w:val="003835C2"/>
    <w:rsid w:val="00386117"/>
    <w:rsid w:val="003B24D0"/>
    <w:rsid w:val="003B5B1B"/>
    <w:rsid w:val="003C21B4"/>
    <w:rsid w:val="003D47FF"/>
    <w:rsid w:val="003D5B7A"/>
    <w:rsid w:val="003D618B"/>
    <w:rsid w:val="003E2AB7"/>
    <w:rsid w:val="003E48F6"/>
    <w:rsid w:val="003E6DDC"/>
    <w:rsid w:val="003E765C"/>
    <w:rsid w:val="00402B81"/>
    <w:rsid w:val="00402D63"/>
    <w:rsid w:val="0041767B"/>
    <w:rsid w:val="00431A29"/>
    <w:rsid w:val="00443800"/>
    <w:rsid w:val="00467E64"/>
    <w:rsid w:val="00470F2E"/>
    <w:rsid w:val="00477587"/>
    <w:rsid w:val="00481FEC"/>
    <w:rsid w:val="0048284E"/>
    <w:rsid w:val="004905FA"/>
    <w:rsid w:val="004B75F8"/>
    <w:rsid w:val="004C0750"/>
    <w:rsid w:val="004C3986"/>
    <w:rsid w:val="004D0F67"/>
    <w:rsid w:val="004D1A6D"/>
    <w:rsid w:val="004D47E0"/>
    <w:rsid w:val="004E560B"/>
    <w:rsid w:val="004F461F"/>
    <w:rsid w:val="00512527"/>
    <w:rsid w:val="005157A5"/>
    <w:rsid w:val="00517D8F"/>
    <w:rsid w:val="00525900"/>
    <w:rsid w:val="005367B3"/>
    <w:rsid w:val="00544D93"/>
    <w:rsid w:val="00546E49"/>
    <w:rsid w:val="00557374"/>
    <w:rsid w:val="00572B68"/>
    <w:rsid w:val="00576109"/>
    <w:rsid w:val="00576488"/>
    <w:rsid w:val="00597443"/>
    <w:rsid w:val="005A2396"/>
    <w:rsid w:val="005C56E2"/>
    <w:rsid w:val="005C6C69"/>
    <w:rsid w:val="005D2A3A"/>
    <w:rsid w:val="005D37D3"/>
    <w:rsid w:val="005F0D82"/>
    <w:rsid w:val="005F2AA1"/>
    <w:rsid w:val="00600875"/>
    <w:rsid w:val="00601498"/>
    <w:rsid w:val="00614287"/>
    <w:rsid w:val="00620D89"/>
    <w:rsid w:val="00627ECA"/>
    <w:rsid w:val="00641DCC"/>
    <w:rsid w:val="0066316A"/>
    <w:rsid w:val="0066368D"/>
    <w:rsid w:val="00672BB0"/>
    <w:rsid w:val="006802CA"/>
    <w:rsid w:val="00693428"/>
    <w:rsid w:val="00695751"/>
    <w:rsid w:val="006B19AA"/>
    <w:rsid w:val="006B373E"/>
    <w:rsid w:val="006B4A1E"/>
    <w:rsid w:val="006B5D2D"/>
    <w:rsid w:val="006D2365"/>
    <w:rsid w:val="006D6D7A"/>
    <w:rsid w:val="006E43DF"/>
    <w:rsid w:val="007039B8"/>
    <w:rsid w:val="00703F60"/>
    <w:rsid w:val="00711BDB"/>
    <w:rsid w:val="00714B76"/>
    <w:rsid w:val="00717181"/>
    <w:rsid w:val="00737F7A"/>
    <w:rsid w:val="00741BC9"/>
    <w:rsid w:val="0079410F"/>
    <w:rsid w:val="007C515F"/>
    <w:rsid w:val="007C7838"/>
    <w:rsid w:val="007D082B"/>
    <w:rsid w:val="007D2A64"/>
    <w:rsid w:val="007D7B9A"/>
    <w:rsid w:val="007E0ED0"/>
    <w:rsid w:val="007E1300"/>
    <w:rsid w:val="007E364E"/>
    <w:rsid w:val="007F4739"/>
    <w:rsid w:val="00802C21"/>
    <w:rsid w:val="0081431E"/>
    <w:rsid w:val="00836321"/>
    <w:rsid w:val="00846DA8"/>
    <w:rsid w:val="00851677"/>
    <w:rsid w:val="0085358B"/>
    <w:rsid w:val="00860864"/>
    <w:rsid w:val="00862A0C"/>
    <w:rsid w:val="00863C5D"/>
    <w:rsid w:val="00864466"/>
    <w:rsid w:val="00864EC3"/>
    <w:rsid w:val="008714B2"/>
    <w:rsid w:val="008768BC"/>
    <w:rsid w:val="0089604F"/>
    <w:rsid w:val="008B02BD"/>
    <w:rsid w:val="008B3732"/>
    <w:rsid w:val="008C702B"/>
    <w:rsid w:val="008E0C56"/>
    <w:rsid w:val="008F4D49"/>
    <w:rsid w:val="0092401A"/>
    <w:rsid w:val="0093298F"/>
    <w:rsid w:val="009334A9"/>
    <w:rsid w:val="00966679"/>
    <w:rsid w:val="00966A2D"/>
    <w:rsid w:val="00974DE5"/>
    <w:rsid w:val="009763E1"/>
    <w:rsid w:val="00987DA0"/>
    <w:rsid w:val="009A1E9B"/>
    <w:rsid w:val="009B2760"/>
    <w:rsid w:val="009B6EF9"/>
    <w:rsid w:val="009C0C83"/>
    <w:rsid w:val="009C4AAA"/>
    <w:rsid w:val="009D07C4"/>
    <w:rsid w:val="009D7447"/>
    <w:rsid w:val="009E2232"/>
    <w:rsid w:val="009E4806"/>
    <w:rsid w:val="009E4D3B"/>
    <w:rsid w:val="009F3B15"/>
    <w:rsid w:val="009F3F15"/>
    <w:rsid w:val="00A005E9"/>
    <w:rsid w:val="00A04380"/>
    <w:rsid w:val="00A10F6A"/>
    <w:rsid w:val="00A15D3C"/>
    <w:rsid w:val="00A258D1"/>
    <w:rsid w:val="00A2762B"/>
    <w:rsid w:val="00A32F66"/>
    <w:rsid w:val="00A47A39"/>
    <w:rsid w:val="00A47B29"/>
    <w:rsid w:val="00A54B9F"/>
    <w:rsid w:val="00A60CE1"/>
    <w:rsid w:val="00A62A7D"/>
    <w:rsid w:val="00A76130"/>
    <w:rsid w:val="00A80012"/>
    <w:rsid w:val="00A911A4"/>
    <w:rsid w:val="00A92B9D"/>
    <w:rsid w:val="00AC7CF0"/>
    <w:rsid w:val="00AD14F9"/>
    <w:rsid w:val="00AD691D"/>
    <w:rsid w:val="00AE5F56"/>
    <w:rsid w:val="00AF2E95"/>
    <w:rsid w:val="00AF4232"/>
    <w:rsid w:val="00AF6679"/>
    <w:rsid w:val="00B0669B"/>
    <w:rsid w:val="00B07E67"/>
    <w:rsid w:val="00B316F4"/>
    <w:rsid w:val="00B3412D"/>
    <w:rsid w:val="00B34BB0"/>
    <w:rsid w:val="00B553F7"/>
    <w:rsid w:val="00B613C2"/>
    <w:rsid w:val="00B72510"/>
    <w:rsid w:val="00B85E48"/>
    <w:rsid w:val="00BA0532"/>
    <w:rsid w:val="00BA22CC"/>
    <w:rsid w:val="00BA5F75"/>
    <w:rsid w:val="00BB6052"/>
    <w:rsid w:val="00BC0172"/>
    <w:rsid w:val="00BE3CCB"/>
    <w:rsid w:val="00BE62E0"/>
    <w:rsid w:val="00BE6782"/>
    <w:rsid w:val="00BF6EA6"/>
    <w:rsid w:val="00C03E63"/>
    <w:rsid w:val="00C0459D"/>
    <w:rsid w:val="00C07423"/>
    <w:rsid w:val="00C122D0"/>
    <w:rsid w:val="00C14882"/>
    <w:rsid w:val="00C33B98"/>
    <w:rsid w:val="00C363A1"/>
    <w:rsid w:val="00C41C6B"/>
    <w:rsid w:val="00C41EE1"/>
    <w:rsid w:val="00C46924"/>
    <w:rsid w:val="00C54BC0"/>
    <w:rsid w:val="00C73F19"/>
    <w:rsid w:val="00C76C25"/>
    <w:rsid w:val="00C76F12"/>
    <w:rsid w:val="00C82F64"/>
    <w:rsid w:val="00CA7552"/>
    <w:rsid w:val="00CB3E53"/>
    <w:rsid w:val="00CD6D74"/>
    <w:rsid w:val="00CE450C"/>
    <w:rsid w:val="00D03346"/>
    <w:rsid w:val="00D31DE3"/>
    <w:rsid w:val="00D47872"/>
    <w:rsid w:val="00D53526"/>
    <w:rsid w:val="00D701DE"/>
    <w:rsid w:val="00D77EBE"/>
    <w:rsid w:val="00D83B4B"/>
    <w:rsid w:val="00D85EED"/>
    <w:rsid w:val="00D875ED"/>
    <w:rsid w:val="00D97D54"/>
    <w:rsid w:val="00DC5F79"/>
    <w:rsid w:val="00DC5FF0"/>
    <w:rsid w:val="00DC6C66"/>
    <w:rsid w:val="00DD43F6"/>
    <w:rsid w:val="00E007A3"/>
    <w:rsid w:val="00E048DA"/>
    <w:rsid w:val="00E24325"/>
    <w:rsid w:val="00E31469"/>
    <w:rsid w:val="00E372E6"/>
    <w:rsid w:val="00E51ABA"/>
    <w:rsid w:val="00E63FAA"/>
    <w:rsid w:val="00E74F7B"/>
    <w:rsid w:val="00E80E9C"/>
    <w:rsid w:val="00EA3BAE"/>
    <w:rsid w:val="00EA6341"/>
    <w:rsid w:val="00EB1EC1"/>
    <w:rsid w:val="00EB6F8A"/>
    <w:rsid w:val="00EB734D"/>
    <w:rsid w:val="00EC6D72"/>
    <w:rsid w:val="00ED1658"/>
    <w:rsid w:val="00ED30E6"/>
    <w:rsid w:val="00F062EE"/>
    <w:rsid w:val="00F12324"/>
    <w:rsid w:val="00F12B39"/>
    <w:rsid w:val="00F12CD0"/>
    <w:rsid w:val="00F16414"/>
    <w:rsid w:val="00F3184A"/>
    <w:rsid w:val="00F35A91"/>
    <w:rsid w:val="00F40EE0"/>
    <w:rsid w:val="00F4440C"/>
    <w:rsid w:val="00F55866"/>
    <w:rsid w:val="00F60F92"/>
    <w:rsid w:val="00F636CC"/>
    <w:rsid w:val="00F679B2"/>
    <w:rsid w:val="00F81DAD"/>
    <w:rsid w:val="00F90E57"/>
    <w:rsid w:val="00F92279"/>
    <w:rsid w:val="00FA7A88"/>
    <w:rsid w:val="00FC1EA9"/>
    <w:rsid w:val="00FC29CF"/>
    <w:rsid w:val="00FD20CE"/>
    <w:rsid w:val="00FE1888"/>
    <w:rsid w:val="00FE2F36"/>
    <w:rsid w:val="03BD7F1F"/>
    <w:rsid w:val="0CCA1272"/>
    <w:rsid w:val="0F224386"/>
    <w:rsid w:val="149B6D2F"/>
    <w:rsid w:val="156E64E9"/>
    <w:rsid w:val="1621151D"/>
    <w:rsid w:val="184C6FDF"/>
    <w:rsid w:val="1F110229"/>
    <w:rsid w:val="20C56BEA"/>
    <w:rsid w:val="278E2461"/>
    <w:rsid w:val="27D171F8"/>
    <w:rsid w:val="283C3E5B"/>
    <w:rsid w:val="29F868B6"/>
    <w:rsid w:val="30DC25D5"/>
    <w:rsid w:val="35F707F2"/>
    <w:rsid w:val="37F8488E"/>
    <w:rsid w:val="4708508C"/>
    <w:rsid w:val="4DA3395F"/>
    <w:rsid w:val="50A6219E"/>
    <w:rsid w:val="55EB7039"/>
    <w:rsid w:val="643412F0"/>
    <w:rsid w:val="6EEB243F"/>
    <w:rsid w:val="70D0042F"/>
    <w:rsid w:val="73290294"/>
    <w:rsid w:val="74F33A81"/>
    <w:rsid w:val="771212DB"/>
    <w:rsid w:val="77C14B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9"/>
    <w:pPr>
      <w:keepNext/>
      <w:keepLines/>
      <w:spacing w:before="260" w:after="260" w:line="413" w:lineRule="auto"/>
      <w:outlineLvl w:val="2"/>
    </w:pPr>
    <w:rPr>
      <w:b/>
      <w:bCs/>
      <w:kern w:val="0"/>
    </w:rPr>
  </w:style>
  <w:style w:type="paragraph" w:styleId="5">
    <w:name w:val="heading 5"/>
    <w:basedOn w:val="1"/>
    <w:next w:val="1"/>
    <w:link w:val="23"/>
    <w:autoRedefine/>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rPr>
      <w:rFonts w:ascii="Calibri" w:hAnsi="Calibri" w:eastAsia="宋体" w:cs="Calibri"/>
    </w:rPr>
  </w:style>
  <w:style w:type="paragraph" w:styleId="7">
    <w:name w:val="Body Text"/>
    <w:basedOn w:val="1"/>
    <w:autoRedefine/>
    <w:unhideWhenUsed/>
    <w:qFormat/>
    <w:uiPriority w:val="1"/>
    <w:pPr>
      <w:autoSpaceDE w:val="0"/>
      <w:autoSpaceDN w:val="0"/>
      <w:jc w:val="left"/>
    </w:pPr>
    <w:rPr>
      <w:rFonts w:ascii="等线" w:hAnsi="等线" w:eastAsia="等线" w:cs="等线"/>
      <w:kern w:val="0"/>
      <w:sz w:val="32"/>
      <w:szCs w:val="32"/>
      <w:lang w:val="zh-CN" w:bidi="zh-CN"/>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7"/>
    <w:autoRedefine/>
    <w:qFormat/>
    <w:uiPriority w:val="0"/>
    <w:pPr>
      <w:spacing w:after="120" w:line="360" w:lineRule="auto"/>
      <w:ind w:firstLine="420" w:firstLineChars="100"/>
    </w:pPr>
    <w:rPr>
      <w:rFonts w:ascii="微软雅黑" w:hAnsi="微软雅黑" w:eastAsia="微软雅黑" w:cs="微软雅黑"/>
      <w:sz w:val="21"/>
      <w:szCs w:val="21"/>
    </w:rPr>
  </w:style>
  <w:style w:type="table" w:styleId="13">
    <w:name w:val="Table Grid"/>
    <w:basedOn w:val="12"/>
    <w:autoRedefine/>
    <w:qFormat/>
    <w:uiPriority w:val="3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autoRedefine/>
    <w:qFormat/>
    <w:uiPriority w:val="99"/>
    <w:rPr>
      <w:b/>
      <w:bCs/>
    </w:rPr>
  </w:style>
  <w:style w:type="character" w:customStyle="1" w:styleId="16">
    <w:name w:val="页眉 字符"/>
    <w:basedOn w:val="14"/>
    <w:link w:val="9"/>
    <w:autoRedefine/>
    <w:qFormat/>
    <w:uiPriority w:val="99"/>
    <w:rPr>
      <w:sz w:val="18"/>
      <w:szCs w:val="18"/>
    </w:rPr>
  </w:style>
  <w:style w:type="character" w:customStyle="1" w:styleId="17">
    <w:name w:val="页脚 字符"/>
    <w:basedOn w:val="14"/>
    <w:link w:val="8"/>
    <w:autoRedefine/>
    <w:qFormat/>
    <w:uiPriority w:val="99"/>
    <w:rPr>
      <w:sz w:val="18"/>
      <w:szCs w:val="18"/>
    </w:rPr>
  </w:style>
  <w:style w:type="character" w:customStyle="1" w:styleId="18">
    <w:name w:val="标题 2 字符"/>
    <w:basedOn w:val="14"/>
    <w:link w:val="3"/>
    <w:autoRedefine/>
    <w:qFormat/>
    <w:uiPriority w:val="9"/>
    <w:rPr>
      <w:rFonts w:ascii="Cambria" w:hAnsi="Cambria" w:eastAsia="宋体" w:cs="Times New Roman"/>
      <w:b/>
      <w:bCs/>
      <w:sz w:val="32"/>
      <w:szCs w:val="32"/>
    </w:rPr>
  </w:style>
  <w:style w:type="character" w:customStyle="1" w:styleId="19">
    <w:name w:val="3zw1"/>
    <w:autoRedefine/>
    <w:qFormat/>
    <w:uiPriority w:val="99"/>
    <w:rPr>
      <w:rFonts w:cs="Times New Roman"/>
      <w:color w:val="000000"/>
      <w:sz w:val="21"/>
      <w:szCs w:val="21"/>
    </w:rPr>
  </w:style>
  <w:style w:type="paragraph" w:styleId="20">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
    <w:name w:val="List Paragraph1"/>
    <w:basedOn w:val="1"/>
    <w:autoRedefine/>
    <w:qFormat/>
    <w:uiPriority w:val="99"/>
    <w:pPr>
      <w:topLinePunct/>
      <w:ind w:firstLine="420" w:firstLineChars="200"/>
    </w:pPr>
    <w:rPr>
      <w:rFonts w:ascii="宋体" w:hAnsi="宋体"/>
      <w:szCs w:val="20"/>
    </w:rPr>
  </w:style>
  <w:style w:type="paragraph" w:customStyle="1" w:styleId="22">
    <w:name w:val="彩色列表 - 着色 11"/>
    <w:basedOn w:val="1"/>
    <w:autoRedefine/>
    <w:qFormat/>
    <w:uiPriority w:val="99"/>
    <w:pPr>
      <w:ind w:firstLine="420" w:firstLineChars="200"/>
    </w:pPr>
    <w:rPr>
      <w:rFonts w:ascii="Times New Roman" w:hAnsi="Times New Roman"/>
      <w:szCs w:val="24"/>
    </w:rPr>
  </w:style>
  <w:style w:type="character" w:customStyle="1" w:styleId="23">
    <w:name w:val="标题 5 字符1"/>
    <w:basedOn w:val="14"/>
    <w:link w:val="5"/>
    <w:autoRedefine/>
    <w:semiHidden/>
    <w:qFormat/>
    <w:uiPriority w:val="9"/>
    <w:rPr>
      <w:rFonts w:ascii="Calibri" w:hAnsi="Calibri" w:eastAsia="宋体" w:cs="Times New Roman"/>
      <w:b/>
      <w:bCs/>
      <w:sz w:val="28"/>
      <w:szCs w:val="28"/>
    </w:rPr>
  </w:style>
  <w:style w:type="character" w:customStyle="1" w:styleId="24">
    <w:name w:val="标题 5 字符"/>
    <w:autoRedefine/>
    <w:qFormat/>
    <w:uiPriority w:val="0"/>
    <w:rPr>
      <w:rFonts w:ascii="Times New Roman" w:hAnsi="Times New Roman"/>
      <w:b/>
      <w:bCs/>
      <w:kern w:val="2"/>
      <w:sz w:val="28"/>
      <w:szCs w:val="28"/>
    </w:rPr>
  </w:style>
  <w:style w:type="paragraph" w:customStyle="1" w:styleId="25">
    <w:name w:val="列出段落1"/>
    <w:basedOn w:val="1"/>
    <w:autoRedefine/>
    <w:qFormat/>
    <w:uiPriority w:val="0"/>
    <w:pPr>
      <w:ind w:firstLine="420" w:firstLineChars="200"/>
    </w:pPr>
    <w:rPr>
      <w:rFonts w:ascii="Times New Roman" w:hAnsi="Times New Roman"/>
      <w:szCs w:val="20"/>
    </w:rPr>
  </w:style>
  <w:style w:type="paragraph" w:styleId="26">
    <w:name w:val="List Paragraph"/>
    <w:basedOn w:val="1"/>
    <w:autoRedefine/>
    <w:qFormat/>
    <w:uiPriority w:val="34"/>
    <w:pPr>
      <w:ind w:firstLine="420" w:firstLineChars="200"/>
    </w:pPr>
  </w:style>
  <w:style w:type="paragraph" w:customStyle="1" w:styleId="27">
    <w:name w:val="Normal_17"/>
    <w:next w:val="6"/>
    <w:autoRedefine/>
    <w:qFormat/>
    <w:uiPriority w:val="0"/>
    <w:pPr>
      <w:spacing w:before="120" w:after="240"/>
      <w:jc w:val="both"/>
    </w:pPr>
    <w:rPr>
      <w:rFonts w:ascii="Calibri" w:hAnsi="Calibri" w:eastAsia="宋体" w:cs="Calibri"/>
      <w:sz w:val="22"/>
      <w:szCs w:val="22"/>
      <w:lang w:val="ru-R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7324</Words>
  <Characters>7625</Characters>
  <Lines>23</Lines>
  <Paragraphs>6</Paragraphs>
  <TotalTime>32</TotalTime>
  <ScaleCrop>false</ScaleCrop>
  <LinksUpToDate>false</LinksUpToDate>
  <CharactersWithSpaces>7659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2019-03-24T09:52:00Z</dcterms:created>
  <dc:creator>Windows 用户</dc:creator>
  <cp:lastModifiedBy>东西南北风</cp:lastModifiedBy>
  <dcterms:modified xsi:type="dcterms:W3CDTF">2024-12-02T00:56:06Z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6F0A544134BE4AC8B3F8B4A5B0C6F58F_13</vt:lpwstr>
  </property>
</Properties>
</file>