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b/>
          <w:bCs/>
          <w:spacing w:val="11"/>
          <w:sz w:val="70"/>
          <w:szCs w:val="70"/>
        </w:rPr>
      </w:pPr>
      <w:bookmarkStart w:id="0" w:name="_Toc32044"/>
      <w:r>
        <w:rPr>
          <w:rFonts w:hint="eastAsia" w:ascii="宋体" w:hAnsi="宋体" w:eastAsia="宋体" w:cs="宋体"/>
          <w:b/>
          <w:bCs/>
          <w:spacing w:val="11"/>
          <w:sz w:val="70"/>
          <w:szCs w:val="70"/>
          <w:lang w:val="en-US" w:eastAsia="zh-CN"/>
        </w:rPr>
        <w:t>世界</w:t>
      </w:r>
      <w:r>
        <w:rPr>
          <w:rFonts w:ascii="宋体" w:hAnsi="宋体" w:eastAsia="宋体" w:cs="宋体"/>
          <w:b/>
          <w:bCs/>
          <w:spacing w:val="11"/>
          <w:sz w:val="70"/>
          <w:szCs w:val="70"/>
        </w:rPr>
        <w:t>职业院校技能大赛</w:t>
      </w:r>
      <w:bookmarkEnd w:id="0"/>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right="0" w:firstLine="2174" w:firstLineChars="300"/>
        <w:jc w:val="both"/>
        <w:textAlignment w:val="baseline"/>
        <w:outlineLvl w:val="0"/>
        <w:rPr>
          <w:rFonts w:hint="default" w:ascii="宋体" w:hAnsi="宋体" w:eastAsia="宋体" w:cs="宋体"/>
          <w:b/>
          <w:bCs/>
          <w:spacing w:val="11"/>
          <w:sz w:val="70"/>
          <w:szCs w:val="70"/>
          <w:lang w:val="en-US" w:eastAsia="zh-CN"/>
        </w:rPr>
      </w:pPr>
      <w:r>
        <w:rPr>
          <w:rFonts w:hint="eastAsia" w:ascii="宋体" w:hAnsi="宋体" w:eastAsia="宋体" w:cs="宋体"/>
          <w:b/>
          <w:bCs/>
          <w:spacing w:val="11"/>
          <w:sz w:val="70"/>
          <w:szCs w:val="70"/>
          <w:lang w:val="en-US" w:eastAsia="zh-CN"/>
        </w:rPr>
        <w:t>智能装备赛道</w:t>
      </w: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spacing w:val="5"/>
          <w:sz w:val="70"/>
          <w:szCs w:val="70"/>
        </w:rPr>
      </w:pPr>
      <w:bookmarkStart w:id="1" w:name="_Toc1923"/>
      <w:r>
        <w:rPr>
          <w:rFonts w:hint="eastAsia" w:ascii="宋体" w:hAnsi="宋体" w:eastAsia="宋体" w:cs="宋体"/>
          <w:b/>
          <w:bCs/>
          <w:spacing w:val="11"/>
          <w:sz w:val="70"/>
          <w:szCs w:val="70"/>
          <w:lang w:val="en-US" w:eastAsia="zh-CN"/>
        </w:rPr>
        <w:t>河北省选拔赛</w:t>
      </w:r>
      <w:bookmarkEnd w:id="1"/>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b/>
          <w:bCs/>
          <w:spacing w:val="6"/>
          <w:sz w:val="70"/>
          <w:szCs w:val="70"/>
        </w:rPr>
      </w:pP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b/>
          <w:bCs/>
          <w:spacing w:val="6"/>
          <w:sz w:val="70"/>
          <w:szCs w:val="70"/>
        </w:rPr>
      </w:pP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b/>
          <w:bCs/>
          <w:spacing w:val="6"/>
          <w:sz w:val="70"/>
          <w:szCs w:val="70"/>
        </w:rPr>
      </w:pP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hint="default" w:ascii="宋体" w:hAnsi="宋体" w:eastAsia="宋体" w:cs="宋体"/>
          <w:b/>
          <w:bCs/>
          <w:spacing w:val="6"/>
          <w:sz w:val="70"/>
          <w:szCs w:val="70"/>
          <w:lang w:val="en-US" w:eastAsia="zh-CN"/>
        </w:rPr>
      </w:pPr>
      <w:r>
        <w:rPr>
          <w:rFonts w:hint="eastAsia" w:ascii="宋体" w:hAnsi="宋体" w:eastAsia="宋体" w:cs="宋体"/>
          <w:b/>
          <w:bCs/>
          <w:spacing w:val="6"/>
          <w:sz w:val="70"/>
          <w:szCs w:val="70"/>
          <w:lang w:val="en-US" w:eastAsia="zh-CN"/>
        </w:rPr>
        <w:t>实施方案</w:t>
      </w: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b/>
          <w:bCs/>
          <w:spacing w:val="6"/>
          <w:sz w:val="70"/>
          <w:szCs w:val="70"/>
        </w:rPr>
      </w:pPr>
    </w:p>
    <w:p>
      <w:pPr>
        <w:keepNext w:val="0"/>
        <w:keepLines w:val="0"/>
        <w:pageBreakBefore w:val="0"/>
        <w:widowControl/>
        <w:kinsoku w:val="0"/>
        <w:wordWrap/>
        <w:overflowPunct/>
        <w:topLinePunct w:val="0"/>
        <w:autoSpaceDE w:val="0"/>
        <w:autoSpaceDN w:val="0"/>
        <w:bidi w:val="0"/>
        <w:adjustRightInd w:val="0"/>
        <w:snapToGrid w:val="0"/>
        <w:spacing w:before="228" w:line="264" w:lineRule="auto"/>
        <w:ind w:left="0" w:right="0" w:firstLine="0"/>
        <w:jc w:val="center"/>
        <w:textAlignment w:val="baseline"/>
        <w:outlineLvl w:val="0"/>
        <w:rPr>
          <w:rFonts w:ascii="宋体" w:hAnsi="宋体" w:eastAsia="宋体" w:cs="宋体"/>
          <w:b/>
          <w:bCs/>
          <w:spacing w:val="6"/>
          <w:sz w:val="70"/>
          <w:szCs w:val="70"/>
        </w:rPr>
      </w:pPr>
    </w:p>
    <w:p>
      <w:pPr>
        <w:spacing w:line="258" w:lineRule="auto"/>
        <w:rPr>
          <w:rFonts w:ascii="Arial"/>
          <w:sz w:val="21"/>
        </w:rPr>
      </w:pPr>
    </w:p>
    <w:p>
      <w:pPr>
        <w:spacing w:line="258" w:lineRule="auto"/>
        <w:rPr>
          <w:rFonts w:ascii="Arial"/>
          <w:sz w:val="21"/>
        </w:rPr>
      </w:pPr>
    </w:p>
    <w:p>
      <w:pPr>
        <w:spacing w:line="483" w:lineRule="auto"/>
        <w:jc w:val="center"/>
        <w:rPr>
          <w:rFonts w:hint="default" w:ascii="Times New Roman" w:hAnsi="Times New Roman" w:eastAsia="宋体" w:cs="Times New Roman"/>
          <w:sz w:val="30"/>
          <w:szCs w:val="30"/>
          <w:lang w:val="en-US" w:eastAsia="zh-CN"/>
        </w:rPr>
        <w:sectPr>
          <w:pgSz w:w="11910" w:h="16840"/>
          <w:pgMar w:top="1429" w:right="1769" w:bottom="1355" w:left="1786" w:header="0" w:footer="1219" w:gutter="0"/>
          <w:pgNumType w:fmt="decimal"/>
          <w:cols w:space="0" w:num="1"/>
          <w:rtlGutter w:val="0"/>
          <w:docGrid w:linePitch="0" w:charSpace="0"/>
        </w:sectPr>
      </w:pPr>
      <w:r>
        <w:rPr>
          <w:rFonts w:hint="eastAsia" w:ascii="Times New Roman" w:hAnsi="Times New Roman" w:eastAsia="宋体" w:cs="Times New Roman"/>
          <w:sz w:val="30"/>
          <w:szCs w:val="30"/>
          <w:lang w:val="en-US" w:eastAsia="zh-CN"/>
        </w:rPr>
        <w:t>2025年6月</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b w:val="0"/>
          <w:bCs w:val="0"/>
          <w:sz w:val="32"/>
          <w:szCs w:val="32"/>
        </w:rPr>
      </w:pPr>
      <w:bookmarkStart w:id="2" w:name="_Toc14403"/>
      <w:r>
        <w:rPr>
          <w:rFonts w:hint="eastAsia"/>
          <w:b w:val="0"/>
          <w:bCs w:val="0"/>
          <w:spacing w:val="-9"/>
          <w:sz w:val="32"/>
          <w:szCs w:val="32"/>
          <w:lang w:val="en-US" w:eastAsia="zh-CN"/>
        </w:rPr>
        <w:t>一</w:t>
      </w:r>
      <w:r>
        <w:rPr>
          <w:b w:val="0"/>
          <w:bCs w:val="0"/>
          <w:spacing w:val="-9"/>
          <w:sz w:val="32"/>
          <w:szCs w:val="32"/>
        </w:rPr>
        <w:t>、竞赛目标</w:t>
      </w:r>
      <w:bookmarkEnd w:id="2"/>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 w:hAnsi="仿宋" w:eastAsia="仿宋" w:cs="仿宋"/>
          <w:snapToGrid w:val="0"/>
          <w:color w:val="000000"/>
          <w:kern w:val="0"/>
          <w:sz w:val="32"/>
          <w:szCs w:val="32"/>
          <w:lang w:val="en-US" w:eastAsia="en-US" w:bidi="ar-SA"/>
        </w:rPr>
      </w:pPr>
      <w:bookmarkStart w:id="3" w:name="_Toc300"/>
      <w:r>
        <w:rPr>
          <w:rFonts w:hint="eastAsia" w:ascii="仿宋" w:hAnsi="仿宋" w:eastAsia="仿宋" w:cs="仿宋"/>
          <w:snapToGrid w:val="0"/>
          <w:color w:val="000000"/>
          <w:kern w:val="0"/>
          <w:sz w:val="32"/>
          <w:szCs w:val="32"/>
          <w:lang w:val="en-US" w:eastAsia="en-US" w:bidi="ar-SA"/>
        </w:rPr>
        <w:t>持续强化大赛综合育人功能。适应新技术变革和产业发展对高技能人才培养提出的新要求，坚持面向人人、面向产业、面向创新、面向智能、面向国际，突出对技能水平、职业素养、团队合作、实践应用、创新创意等方面的综合考查，夯实技能人才综合能力培养基础，提升学生职业行动能力、职业迁移能力和可持续发展能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 w:hAnsi="仿宋" w:eastAsia="仿宋" w:cs="仿宋"/>
          <w:snapToGrid w:val="0"/>
          <w:color w:val="000000"/>
          <w:kern w:val="0"/>
          <w:sz w:val="32"/>
          <w:szCs w:val="32"/>
          <w:lang w:val="en-US" w:eastAsia="en-US" w:bidi="ar-SA"/>
        </w:rPr>
      </w:pPr>
      <w:r>
        <w:rPr>
          <w:rFonts w:hint="eastAsia" w:ascii="仿宋" w:hAnsi="仿宋" w:eastAsia="仿宋" w:cs="仿宋"/>
          <w:snapToGrid w:val="0"/>
          <w:color w:val="000000"/>
          <w:kern w:val="0"/>
          <w:sz w:val="32"/>
          <w:szCs w:val="32"/>
          <w:lang w:val="en-US" w:eastAsia="en-US" w:bidi="ar-SA"/>
        </w:rPr>
        <w:t>　　积极助力产教融合机制创新。适应塑造多元办学、产教融合新形态，坚持产业行业需求引领，紧密对接国家战略、重点行业和产业转型升级需要设置赛道，充分发挥大赛对职业学校专业建设和教学改革的牵引作用，提升人才培养与产业需求的适配度，增强职业教育服务区域产业发展、助力经济社会高质量发展的能力。</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r>
        <w:rPr>
          <w:rFonts w:hint="eastAsia"/>
          <w:b w:val="0"/>
          <w:bCs w:val="0"/>
          <w:spacing w:val="-9"/>
          <w:sz w:val="32"/>
          <w:szCs w:val="32"/>
          <w:lang w:val="en-US" w:eastAsia="zh-CN"/>
        </w:rPr>
        <w:t>二、竞赛内容</w:t>
      </w:r>
      <w:bookmarkEnd w:id="3"/>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rPr>
        <w:t>本参赛队伍依据</w:t>
      </w:r>
      <w:r>
        <w:rPr>
          <w:rFonts w:hint="eastAsia" w:ascii="仿宋" w:hAnsi="仿宋" w:eastAsia="仿宋" w:cs="仿宋"/>
          <w:sz w:val="32"/>
          <w:szCs w:val="32"/>
          <w:lang w:val="en-US" w:eastAsia="zh-CN"/>
        </w:rPr>
        <w:t>智能装备</w:t>
      </w:r>
      <w:r>
        <w:rPr>
          <w:rFonts w:hint="eastAsia" w:ascii="仿宋" w:hAnsi="仿宋" w:eastAsia="仿宋" w:cs="仿宋"/>
          <w:sz w:val="32"/>
          <w:szCs w:val="32"/>
        </w:rPr>
        <w:t>赛道相关要求，结合教育教学实际，围绕生产、管理、服务一线真问题、真场景，自主确定参赛项目名称，自主设计参赛项目内容，自主选择参赛设备，展示真技能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面向的主要岗位（群）或技术领域包括：</w:t>
      </w:r>
    </w:p>
    <w:p>
      <w:pPr>
        <w:keepNext w:val="0"/>
        <w:keepLines w:val="0"/>
        <w:pageBreakBefore w:val="0"/>
        <w:widowControl w:val="0"/>
        <w:kinsoku w:val="0"/>
        <w:wordWrap/>
        <w:overflowPunct/>
        <w:topLinePunct w:val="0"/>
        <w:autoSpaceDE w:val="0"/>
        <w:autoSpaceDN w:val="0"/>
        <w:bidi w:val="0"/>
        <w:adjustRightInd/>
        <w:snapToGrid w:val="0"/>
        <w:spacing w:line="560" w:lineRule="exact"/>
        <w:ind w:right="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rPr>
        <w:t>1.电气设备与控制系统类</w:t>
      </w:r>
      <w:r>
        <w:rPr>
          <w:rFonts w:hint="eastAsia" w:ascii="仿宋" w:hAnsi="仿宋" w:eastAsia="仿宋" w:cs="仿宋"/>
          <w:sz w:val="32"/>
          <w:szCs w:val="32"/>
        </w:rPr>
        <w:br w:type="textWrapping"/>
      </w:r>
      <w:r>
        <w:rPr>
          <w:rFonts w:hint="eastAsia" w:ascii="仿宋" w:hAnsi="仿宋" w:eastAsia="仿宋" w:cs="仿宋"/>
          <w:sz w:val="32"/>
          <w:szCs w:val="32"/>
        </w:rPr>
        <w:t>电气设备安装与维护，电气控制系统运行与维修，供配电系统运行与维护等；</w:t>
      </w:r>
      <w:r>
        <w:rPr>
          <w:rFonts w:hint="eastAsia" w:ascii="仿宋" w:hAnsi="仿宋" w:eastAsia="仿宋" w:cs="仿宋"/>
          <w:sz w:val="32"/>
          <w:szCs w:val="32"/>
        </w:rPr>
        <w:br w:type="textWrapping"/>
      </w:r>
      <w:r>
        <w:rPr>
          <w:rFonts w:hint="eastAsia" w:ascii="仿宋" w:hAnsi="仿宋" w:eastAsia="仿宋" w:cs="仿宋"/>
          <w:sz w:val="32"/>
          <w:szCs w:val="32"/>
        </w:rPr>
        <w:t>2.机电设备与产品服务类</w:t>
      </w:r>
      <w:r>
        <w:rPr>
          <w:rFonts w:hint="eastAsia" w:ascii="仿宋" w:hAnsi="仿宋" w:eastAsia="仿宋" w:cs="仿宋"/>
          <w:sz w:val="32"/>
          <w:szCs w:val="32"/>
        </w:rPr>
        <w:br w:type="textWrapping"/>
      </w:r>
      <w:r>
        <w:rPr>
          <w:rFonts w:hint="eastAsia" w:ascii="仿宋" w:hAnsi="仿宋" w:eastAsia="仿宋" w:cs="仿宋"/>
          <w:sz w:val="32"/>
          <w:szCs w:val="32"/>
        </w:rPr>
        <w:t>机电产品维修与检测，机电产品售后服务等；</w:t>
      </w:r>
      <w:r>
        <w:rPr>
          <w:rFonts w:hint="eastAsia" w:ascii="仿宋" w:hAnsi="仿宋" w:eastAsia="仿宋" w:cs="仿宋"/>
          <w:sz w:val="32"/>
          <w:szCs w:val="32"/>
        </w:rPr>
        <w:br w:type="textWrapping"/>
      </w:r>
      <w:r>
        <w:rPr>
          <w:rFonts w:hint="eastAsia" w:ascii="仿宋" w:hAnsi="仿宋" w:eastAsia="仿宋" w:cs="仿宋"/>
          <w:sz w:val="32"/>
          <w:szCs w:val="32"/>
        </w:rPr>
        <w:t>3.液压与气动产品类</w:t>
      </w:r>
      <w:r>
        <w:rPr>
          <w:rFonts w:hint="eastAsia" w:ascii="仿宋" w:hAnsi="仿宋" w:eastAsia="仿宋" w:cs="仿宋"/>
          <w:sz w:val="32"/>
          <w:szCs w:val="32"/>
        </w:rPr>
        <w:br w:type="textWrapping"/>
      </w:r>
      <w:r>
        <w:rPr>
          <w:rFonts w:hint="eastAsia" w:ascii="仿宋" w:hAnsi="仿宋" w:eastAsia="仿宋" w:cs="仿宋"/>
          <w:sz w:val="32"/>
          <w:szCs w:val="32"/>
        </w:rPr>
        <w:t>液压产品装调，气动产品装调，液压与气动产品质量检测，液压与气动产品售后服务等；</w:t>
      </w:r>
      <w:r>
        <w:rPr>
          <w:rFonts w:hint="eastAsia" w:ascii="仿宋" w:hAnsi="仿宋" w:eastAsia="仿宋" w:cs="仿宋"/>
          <w:sz w:val="32"/>
          <w:szCs w:val="32"/>
        </w:rPr>
        <w:br w:type="textWrapping"/>
      </w:r>
      <w:r>
        <w:rPr>
          <w:rFonts w:hint="eastAsia" w:ascii="仿宋" w:hAnsi="仿宋" w:eastAsia="仿宋" w:cs="仿宋"/>
          <w:sz w:val="32"/>
          <w:szCs w:val="32"/>
        </w:rPr>
        <w:t>4.智能化与自动化生产线类</w:t>
      </w:r>
      <w:r>
        <w:rPr>
          <w:rFonts w:hint="eastAsia" w:ascii="仿宋" w:hAnsi="仿宋" w:eastAsia="仿宋" w:cs="仿宋"/>
          <w:sz w:val="32"/>
          <w:szCs w:val="32"/>
        </w:rPr>
        <w:br w:type="textWrapping"/>
      </w:r>
      <w:r>
        <w:rPr>
          <w:rFonts w:hint="eastAsia" w:ascii="仿宋" w:hAnsi="仿宋" w:eastAsia="仿宋" w:cs="仿宋"/>
          <w:sz w:val="32"/>
          <w:szCs w:val="32"/>
        </w:rPr>
        <w:t>智能化生产线安装与调试，智能化生产线运维与应用，机电设备及自动化生产线的安装、调试、运行、维护，工业机器人及应用系统编程操作、安装调试、运行维护、营销服务等；</w:t>
      </w:r>
      <w:r>
        <w:rPr>
          <w:rFonts w:hint="eastAsia" w:ascii="仿宋" w:hAnsi="仿宋" w:eastAsia="仿宋" w:cs="仿宋"/>
          <w:sz w:val="32"/>
          <w:szCs w:val="32"/>
        </w:rPr>
        <w:br w:type="textWrapping"/>
      </w:r>
      <w:r>
        <w:rPr>
          <w:rFonts w:hint="eastAsia" w:ascii="仿宋" w:hAnsi="仿宋" w:eastAsia="仿宋" w:cs="仿宋"/>
          <w:sz w:val="32"/>
          <w:szCs w:val="32"/>
        </w:rPr>
        <w:t>5.智能仪器仪表与自动化控制类</w:t>
      </w:r>
      <w:r>
        <w:rPr>
          <w:rFonts w:hint="eastAsia" w:ascii="仿宋" w:hAnsi="仿宋" w:eastAsia="仿宋" w:cs="仿宋"/>
          <w:sz w:val="32"/>
          <w:szCs w:val="32"/>
        </w:rPr>
        <w:br w:type="textWrapping"/>
      </w:r>
      <w:r>
        <w:rPr>
          <w:rFonts w:hint="eastAsia" w:ascii="仿宋" w:hAnsi="仿宋" w:eastAsia="仿宋" w:cs="仿宋"/>
          <w:sz w:val="32"/>
          <w:szCs w:val="32"/>
        </w:rPr>
        <w:t>智能仪器仪表生产制造，工业自动化仪表安装与维护，自动控制系统集成与运维等；</w:t>
      </w:r>
      <w:r>
        <w:rPr>
          <w:rFonts w:hint="eastAsia" w:ascii="仿宋" w:hAnsi="仿宋" w:eastAsia="仿宋" w:cs="仿宋"/>
          <w:sz w:val="32"/>
          <w:szCs w:val="32"/>
        </w:rPr>
        <w:br w:type="textWrapping"/>
      </w:r>
      <w:r>
        <w:rPr>
          <w:rFonts w:hint="eastAsia" w:ascii="仿宋" w:hAnsi="仿宋" w:eastAsia="仿宋" w:cs="仿宋"/>
          <w:sz w:val="32"/>
          <w:szCs w:val="32"/>
        </w:rPr>
        <w:t>6.计量器具类</w:t>
      </w:r>
      <w:r>
        <w:rPr>
          <w:rFonts w:hint="eastAsia" w:ascii="仿宋" w:hAnsi="仿宋" w:eastAsia="仿宋" w:cs="仿宋"/>
          <w:sz w:val="32"/>
          <w:szCs w:val="32"/>
        </w:rPr>
        <w:br w:type="textWrapping"/>
      </w:r>
      <w:r>
        <w:rPr>
          <w:rFonts w:hint="eastAsia" w:ascii="仿宋" w:hAnsi="仿宋" w:eastAsia="仿宋" w:cs="仿宋"/>
          <w:sz w:val="32"/>
          <w:szCs w:val="32"/>
        </w:rPr>
        <w:t>计量器具的计量检定、检查、校准、调整、修理及测试等</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参赛项目须符合职业岗位要求，操作规范、安全。不得含有任何违反《中华人民共和国宪法》及其他法律法规的内容。所涉及的发明创造、专利技术、资源等必须为参赛选手所拥有的清晰、合法的自主知识产权。参赛项目如有涉密内容，参赛前须进行脱密处理。如有抄袭盗用他人成果、弄虚作假等行为</w:t>
      </w:r>
      <w:r>
        <w:rPr>
          <w:rFonts w:hint="eastAsia" w:ascii="仿宋" w:hAnsi="仿宋" w:eastAsia="仿宋" w:cs="仿宋"/>
          <w:sz w:val="32"/>
          <w:szCs w:val="32"/>
          <w:lang w:eastAsia="zh-CN"/>
        </w:rPr>
        <w:t>，</w:t>
      </w:r>
      <w:r>
        <w:rPr>
          <w:rFonts w:hint="eastAsia" w:ascii="仿宋" w:hAnsi="仿宋" w:eastAsia="仿宋" w:cs="仿宋"/>
          <w:sz w:val="32"/>
          <w:szCs w:val="32"/>
        </w:rPr>
        <w:t>一经发现即取消参赛资格、奖励奖项等相关权利，并自行承担法律责任和相应后果。</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bookmarkStart w:id="4" w:name="_Toc3252"/>
      <w:r>
        <w:rPr>
          <w:rFonts w:hint="eastAsia"/>
          <w:b w:val="0"/>
          <w:bCs w:val="0"/>
          <w:spacing w:val="-9"/>
          <w:sz w:val="32"/>
          <w:szCs w:val="32"/>
          <w:lang w:val="en-US" w:eastAsia="zh-CN"/>
        </w:rPr>
        <w:t>三、竞赛方式</w:t>
      </w:r>
      <w:bookmarkEnd w:id="4"/>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bCs/>
          <w:spacing w:val="18"/>
          <w:sz w:val="32"/>
          <w:szCs w:val="32"/>
        </w:rPr>
      </w:pPr>
      <w:r>
        <w:rPr>
          <w:rFonts w:ascii="楷体" w:hAnsi="楷体" w:eastAsia="楷体" w:cs="楷体"/>
          <w:b w:val="0"/>
          <w:bCs w:val="0"/>
          <w:spacing w:val="18"/>
          <w:sz w:val="32"/>
          <w:szCs w:val="32"/>
        </w:rPr>
        <w:t>(一)竞赛形式</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团体线下赛，不计选手个人成绩，统计竞赛队的总成绩进行排序。</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z w:val="32"/>
          <w:szCs w:val="32"/>
        </w:rPr>
      </w:pPr>
      <w:r>
        <w:rPr>
          <w:rFonts w:ascii="楷体" w:hAnsi="楷体" w:eastAsia="楷体" w:cs="楷体"/>
          <w:b w:val="0"/>
          <w:bCs w:val="0"/>
          <w:spacing w:val="18"/>
          <w:sz w:val="32"/>
          <w:szCs w:val="32"/>
        </w:rPr>
        <w:t>(二)竞赛队伍组成</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1.参赛选手应为中等职业学校或五年一贯制职业院校中职阶段全日制在籍学生，参赛选手所学专业须为报名参赛赛道对应的专业类包含的专业。</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2.每支参赛队伍不超过4人，不得跨校组队，每支参赛队伍指导教师不超过2名，</w:t>
      </w:r>
      <w:r>
        <w:rPr>
          <w:rFonts w:hint="eastAsia" w:ascii="仿宋" w:hAnsi="仿宋" w:eastAsia="仿宋" w:cs="仿宋"/>
          <w:sz w:val="32"/>
          <w:szCs w:val="32"/>
          <w:highlight w:val="none"/>
          <w:lang w:val="en-US" w:eastAsia="zh-CN"/>
        </w:rPr>
        <w:t>指导教师须为本校专任教师</w:t>
      </w:r>
      <w:r>
        <w:rPr>
          <w:rFonts w:hint="eastAsia" w:ascii="仿宋" w:hAnsi="仿宋" w:eastAsia="仿宋" w:cs="仿宋"/>
          <w:sz w:val="32"/>
          <w:szCs w:val="32"/>
          <w:lang w:val="en-US" w:eastAsia="zh-CN"/>
        </w:rPr>
        <w:t>。</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3.往届世界（全国）职业院校技能大赛中获金奖（一等奖）的选手，不得参加相应赛道的比赛。</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bookmarkStart w:id="5" w:name="_Toc9539"/>
      <w:r>
        <w:rPr>
          <w:rFonts w:hint="eastAsia"/>
          <w:b w:val="0"/>
          <w:bCs w:val="0"/>
          <w:spacing w:val="-9"/>
          <w:sz w:val="32"/>
          <w:szCs w:val="32"/>
          <w:lang w:val="en-US" w:eastAsia="zh-CN"/>
        </w:rPr>
        <w:t>四、竞赛规则</w:t>
      </w:r>
      <w:bookmarkEnd w:id="5"/>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pacing w:val="18"/>
          <w:sz w:val="32"/>
          <w:szCs w:val="32"/>
        </w:rPr>
      </w:pPr>
      <w:r>
        <w:rPr>
          <w:rFonts w:ascii="楷体" w:hAnsi="楷体" w:eastAsia="楷体" w:cs="楷体"/>
          <w:b w:val="0"/>
          <w:bCs w:val="0"/>
          <w:spacing w:val="18"/>
          <w:sz w:val="32"/>
          <w:szCs w:val="32"/>
        </w:rPr>
        <w:t>（一）选手报名</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1.参赛名额：每队限报4名选手和2名指导教师。</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人员变更：参赛选手和指导教师报名确认后不得随意更换，如备赛过程中参赛选手和指导教师因故无法参赛，须由相关院校于本赛项开赛前2个工作日内出具书面说明，经大赛执委会办公室核实后予以更换；选手因特殊原因不能参加比赛时，则视为自动放弃竞赛。</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pacing w:val="18"/>
          <w:sz w:val="32"/>
          <w:szCs w:val="32"/>
        </w:rPr>
      </w:pPr>
      <w:r>
        <w:rPr>
          <w:rFonts w:ascii="楷体" w:hAnsi="楷体" w:eastAsia="楷体" w:cs="楷体"/>
          <w:b w:val="0"/>
          <w:bCs w:val="0"/>
          <w:spacing w:val="18"/>
          <w:sz w:val="32"/>
          <w:szCs w:val="32"/>
        </w:rPr>
        <w:t>（</w:t>
      </w:r>
      <w:r>
        <w:rPr>
          <w:rFonts w:hint="eastAsia" w:ascii="楷体" w:hAnsi="楷体" w:eastAsia="楷体" w:cs="楷体"/>
          <w:b w:val="0"/>
          <w:bCs w:val="0"/>
          <w:spacing w:val="18"/>
          <w:sz w:val="32"/>
          <w:szCs w:val="32"/>
          <w:lang w:val="en-US" w:eastAsia="zh-CN"/>
        </w:rPr>
        <w:t>二</w:t>
      </w:r>
      <w:r>
        <w:rPr>
          <w:rFonts w:ascii="楷体" w:hAnsi="楷体" w:eastAsia="楷体" w:cs="楷体"/>
          <w:b w:val="0"/>
          <w:bCs w:val="0"/>
          <w:spacing w:val="18"/>
          <w:sz w:val="32"/>
          <w:szCs w:val="32"/>
        </w:rPr>
        <w:t>）入场规则</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1.比赛日前一天下午召开领队会议，讲解竞赛注意事项，同时进行场次抽签。</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2.选手凭参赛证、身份证在规定时间到达赛场检录。</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3.选手抽取赛位号并在指定区域等待，然后按规定时间由工作人员组织编队进入赛场和赛位。</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4.比赛开始30分钟后不得入场，迟到选手必须在赛场记录表中说明到场时间、迟到原因并签署赛位号确认。</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eastAsia" w:ascii="仿宋" w:hAnsi="仿宋" w:eastAsia="仿宋" w:cs="仿宋"/>
          <w:b w:val="0"/>
          <w:bCs w:val="0"/>
          <w:sz w:val="32"/>
          <w:szCs w:val="32"/>
          <w:lang w:val="en-US" w:eastAsia="zh-CN"/>
        </w:rPr>
      </w:pPr>
      <w:r>
        <w:rPr>
          <w:rFonts w:ascii="楷体" w:hAnsi="楷体" w:eastAsia="楷体" w:cs="楷体"/>
          <w:b w:val="0"/>
          <w:bCs w:val="0"/>
          <w:spacing w:val="18"/>
          <w:sz w:val="32"/>
          <w:szCs w:val="32"/>
        </w:rPr>
        <w:t>（</w:t>
      </w:r>
      <w:r>
        <w:rPr>
          <w:rFonts w:hint="eastAsia" w:ascii="楷体" w:hAnsi="楷体" w:eastAsia="楷体" w:cs="楷体"/>
          <w:b w:val="0"/>
          <w:bCs w:val="0"/>
          <w:spacing w:val="18"/>
          <w:sz w:val="32"/>
          <w:szCs w:val="32"/>
          <w:lang w:val="en-US" w:eastAsia="zh-CN"/>
        </w:rPr>
        <w:t>三</w:t>
      </w:r>
      <w:r>
        <w:rPr>
          <w:rFonts w:ascii="楷体" w:hAnsi="楷体" w:eastAsia="楷体" w:cs="楷体"/>
          <w:b w:val="0"/>
          <w:bCs w:val="0"/>
          <w:spacing w:val="18"/>
          <w:sz w:val="32"/>
          <w:szCs w:val="32"/>
        </w:rPr>
        <w:t>）赛场规则</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1.选手进入赛场后，必须听从指挥，不得以任何方式公开参赛队及个人信息。</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2.选手须严格遵守安全操作规程，并接受现场裁判和技术人员的监督和警示。</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3.宣布比赛开始，参赛选手才能启动比赛操作。</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4.比赛过程中选手不得随意离开赛位，不得与其他参赛选手和人员交流。因故终止比赛或提前完成比赛任务需要离场，应报告现场裁判，签署赛位号确认。</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5.竞赛过程中如设备故障，选手立即向现场裁判反映。待故障处理后可继续比赛，裁判长视具体情况做出补时决定。</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ascii="仿宋" w:hAnsi="仿宋" w:eastAsia="仿宋" w:cs="仿宋"/>
          <w:sz w:val="32"/>
          <w:szCs w:val="32"/>
        </w:rPr>
      </w:pPr>
      <w:r>
        <w:rPr>
          <w:rFonts w:hint="eastAsia" w:ascii="仿宋" w:hAnsi="仿宋" w:eastAsia="仿宋" w:cs="仿宋"/>
          <w:sz w:val="32"/>
          <w:szCs w:val="32"/>
          <w:lang w:val="en-US" w:eastAsia="zh-CN"/>
        </w:rPr>
        <w:t>6.比赛过程中，违反赛场纪律不听劝告者，一经发现，由现场裁判提出警告，严重违反者报赛项执委会同意后，取消其该场比赛资格。</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b w:val="0"/>
          <w:bCs w:val="0"/>
          <w:sz w:val="32"/>
          <w:szCs w:val="32"/>
        </w:rPr>
      </w:pPr>
      <w:r>
        <w:rPr>
          <w:rFonts w:ascii="楷体" w:hAnsi="楷体" w:eastAsia="楷体" w:cs="楷体"/>
          <w:b w:val="0"/>
          <w:bCs w:val="0"/>
          <w:spacing w:val="18"/>
          <w:sz w:val="32"/>
          <w:szCs w:val="32"/>
        </w:rPr>
        <w:t>（</w:t>
      </w:r>
      <w:r>
        <w:rPr>
          <w:rFonts w:hint="eastAsia" w:ascii="楷体" w:hAnsi="楷体" w:eastAsia="楷体" w:cs="楷体"/>
          <w:b w:val="0"/>
          <w:bCs w:val="0"/>
          <w:spacing w:val="18"/>
          <w:sz w:val="32"/>
          <w:szCs w:val="32"/>
          <w:lang w:val="en-US" w:eastAsia="zh-CN"/>
        </w:rPr>
        <w:t>四</w:t>
      </w:r>
      <w:r>
        <w:rPr>
          <w:rFonts w:ascii="楷体" w:hAnsi="楷体" w:eastAsia="楷体" w:cs="楷体"/>
          <w:b w:val="0"/>
          <w:bCs w:val="0"/>
          <w:spacing w:val="18"/>
          <w:sz w:val="32"/>
          <w:szCs w:val="32"/>
        </w:rPr>
        <w:t>）离场规则</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1.比赛时间到，选手立即停止工作，并将比赛试题、数据记录表、工作报告等放在工作台上后离开。</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pacing w:val="18"/>
          <w:sz w:val="32"/>
          <w:szCs w:val="32"/>
        </w:rPr>
      </w:pPr>
      <w:r>
        <w:rPr>
          <w:rFonts w:ascii="楷体" w:hAnsi="楷体" w:eastAsia="楷体" w:cs="楷体"/>
          <w:b w:val="0"/>
          <w:bCs w:val="0"/>
          <w:spacing w:val="18"/>
          <w:sz w:val="32"/>
          <w:szCs w:val="32"/>
        </w:rPr>
        <w:t>（</w:t>
      </w:r>
      <w:r>
        <w:rPr>
          <w:rFonts w:hint="eastAsia" w:ascii="楷体" w:hAnsi="楷体" w:eastAsia="楷体" w:cs="楷体"/>
          <w:b w:val="0"/>
          <w:bCs w:val="0"/>
          <w:spacing w:val="18"/>
          <w:sz w:val="32"/>
          <w:szCs w:val="32"/>
          <w:lang w:val="en-US" w:eastAsia="zh-CN"/>
        </w:rPr>
        <w:t>五</w:t>
      </w:r>
      <w:r>
        <w:rPr>
          <w:rFonts w:ascii="楷体" w:hAnsi="楷体" w:eastAsia="楷体" w:cs="楷体"/>
          <w:b w:val="0"/>
          <w:bCs w:val="0"/>
          <w:spacing w:val="18"/>
          <w:sz w:val="32"/>
          <w:szCs w:val="32"/>
        </w:rPr>
        <w:t>）成绩评定与结果公布</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1.成绩管理机构由裁判组、监督仲裁组组成。</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2.裁判组负责赛项成绩的评定工作。</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3.总裁判长复核评分结果，加密裁判逐级解密，最后由赛项执委会公示、公布竞赛成绩。</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4.监督仲裁组实施监督、成绩抽检复核、接受申诉，组织复议，反馈复议结果。</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bookmarkStart w:id="6" w:name="_Toc8270"/>
      <w:r>
        <w:rPr>
          <w:rFonts w:hint="eastAsia"/>
          <w:b w:val="0"/>
          <w:bCs w:val="0"/>
          <w:spacing w:val="-9"/>
          <w:sz w:val="32"/>
          <w:szCs w:val="32"/>
          <w:lang w:val="en-US" w:eastAsia="zh-CN"/>
        </w:rPr>
        <w:t>五、赛项安全</w:t>
      </w:r>
      <w:bookmarkEnd w:id="6"/>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pacing w:val="18"/>
          <w:sz w:val="32"/>
          <w:szCs w:val="32"/>
        </w:rPr>
      </w:pPr>
      <w:r>
        <w:rPr>
          <w:rFonts w:ascii="楷体" w:hAnsi="楷体" w:eastAsia="楷体" w:cs="楷体"/>
          <w:b w:val="0"/>
          <w:bCs w:val="0"/>
          <w:spacing w:val="18"/>
          <w:sz w:val="32"/>
          <w:szCs w:val="32"/>
        </w:rPr>
        <w:t>（一）安全操作</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1.参赛选手必须正确穿戴个人防护用品。若未正确穿戴，且经裁判提示后仍拒不执行者，将直接取消其该场次的竞赛资格。</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2.参赛选手要注意安全用电，不要用湿手、湿物接触电源，比赛结束后应关闭电源。</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3.参赛选手不得将赛项承办学校提供的仪器、工具、材料等物品带出赛场。</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4.比赛期间，若突遇停电等突发状况，应及时通知裁判，冷静处置。</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5.严禁在赛场内饮食。</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pacing w:val="18"/>
          <w:sz w:val="32"/>
          <w:szCs w:val="32"/>
        </w:rPr>
      </w:pPr>
      <w:r>
        <w:rPr>
          <w:rFonts w:ascii="楷体" w:hAnsi="楷体" w:eastAsia="楷体" w:cs="楷体"/>
          <w:b w:val="0"/>
          <w:bCs w:val="0"/>
          <w:spacing w:val="18"/>
          <w:sz w:val="32"/>
          <w:szCs w:val="32"/>
        </w:rPr>
        <w:t>（二）赛场安全</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1.领队、裁判、指导教师及参赛</w:t>
      </w:r>
      <w:r>
        <w:rPr>
          <w:rFonts w:hint="eastAsia" w:ascii="仿宋" w:hAnsi="仿宋" w:eastAsia="仿宋" w:cs="仿宋"/>
          <w:sz w:val="32"/>
          <w:szCs w:val="32"/>
          <w:lang w:val="en-US" w:eastAsia="zh-CN"/>
        </w:rPr>
        <w:t>选手等人员佩戴身份标识分别进入指定区域，并主动向安保管理人员出示；听从指挥，在规定区域内活动，不得擅自离开；不准在指定区域和禁烟区吸烟。</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2.领队、裁判、指导教师及参赛选手等人员不准携带管制器械及易燃易爆等危险物品进入指定区域。</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3.参赛人员要妥善保管个人财物。</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4.比赛期间如发生火情等特殊情况，要保持镇静，在第一时间向现场工作人员报告，并按照现场工作人员的统一指挥，参与扑救或有序撤离。</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比赛期间一旦发生人员意外伤害或紧急突发病情，要服从现场救护人员指挥，医护人员要立即进入紧急施救状态，采取积极有效的医疗救治措施，对症处理快速解决；遇有病情严重情况时，要尽快指派专人护送病人到医院进行救治。</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bookmarkStart w:id="7" w:name="_Toc15988"/>
      <w:r>
        <w:rPr>
          <w:rFonts w:hint="eastAsia"/>
          <w:b w:val="0"/>
          <w:bCs w:val="0"/>
          <w:spacing w:val="-9"/>
          <w:sz w:val="32"/>
          <w:szCs w:val="32"/>
          <w:lang w:val="en-US" w:eastAsia="zh-CN"/>
        </w:rPr>
        <w:t>六、成绩评定</w:t>
      </w:r>
      <w:bookmarkEnd w:id="7"/>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eastAsia" w:ascii="楷体" w:hAnsi="楷体" w:eastAsia="楷体" w:cs="楷体"/>
          <w:b w:val="0"/>
          <w:bCs w:val="0"/>
          <w:spacing w:val="18"/>
          <w:sz w:val="32"/>
          <w:szCs w:val="32"/>
          <w:lang w:val="en-US" w:eastAsia="zh-CN"/>
        </w:rPr>
      </w:pPr>
      <w:r>
        <w:rPr>
          <w:rFonts w:ascii="楷体" w:hAnsi="楷体" w:eastAsia="楷体" w:cs="楷体"/>
          <w:b w:val="0"/>
          <w:bCs w:val="0"/>
          <w:spacing w:val="18"/>
          <w:sz w:val="32"/>
          <w:szCs w:val="32"/>
        </w:rPr>
        <w:t>（一）评分标准</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评分标准参考《2025年世界职业院校技能大赛总决赛评分要素》。本次选拔赛按照比赛排名推荐大赛前四名院校参加2025世界职业院校技能大赛中职组“智能装备”赛道争夺赛。</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eastAsia" w:ascii="楷体" w:hAnsi="楷体" w:eastAsia="楷体" w:cs="楷体"/>
          <w:b w:val="0"/>
          <w:bCs w:val="0"/>
          <w:spacing w:val="18"/>
          <w:sz w:val="32"/>
          <w:szCs w:val="32"/>
          <w:lang w:val="en-US" w:eastAsia="zh-CN"/>
        </w:rPr>
      </w:pPr>
      <w:r>
        <w:rPr>
          <w:rFonts w:ascii="楷体" w:hAnsi="楷体" w:eastAsia="楷体" w:cs="楷体"/>
          <w:b w:val="0"/>
          <w:bCs w:val="0"/>
          <w:spacing w:val="18"/>
          <w:sz w:val="32"/>
          <w:szCs w:val="32"/>
        </w:rPr>
        <w:t>（</w:t>
      </w:r>
      <w:r>
        <w:rPr>
          <w:rFonts w:hint="eastAsia" w:ascii="楷体" w:hAnsi="楷体" w:eastAsia="楷体" w:cs="楷体"/>
          <w:b w:val="0"/>
          <w:bCs w:val="0"/>
          <w:spacing w:val="18"/>
          <w:sz w:val="32"/>
          <w:szCs w:val="32"/>
          <w:lang w:val="en-US" w:eastAsia="zh-CN"/>
        </w:rPr>
        <w:t>二</w:t>
      </w:r>
      <w:r>
        <w:rPr>
          <w:rFonts w:ascii="楷体" w:hAnsi="楷体" w:eastAsia="楷体" w:cs="楷体"/>
          <w:b w:val="0"/>
          <w:bCs w:val="0"/>
          <w:spacing w:val="18"/>
          <w:sz w:val="32"/>
          <w:szCs w:val="32"/>
        </w:rPr>
        <w:t>）评分方法</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由现场裁判根据选手现场实际操作，依据评分细则</w:t>
      </w:r>
      <w:r>
        <w:rPr>
          <w:rFonts w:hint="eastAsia" w:ascii="仿宋" w:hAnsi="仿宋" w:eastAsia="仿宋" w:cs="仿宋"/>
          <w:sz w:val="32"/>
          <w:szCs w:val="32"/>
          <w:lang w:val="en-US" w:eastAsia="zh-CN"/>
        </w:rPr>
        <w:t>现场</w:t>
      </w:r>
      <w:bookmarkStart w:id="11" w:name="_GoBack"/>
      <w:bookmarkEnd w:id="11"/>
      <w:r>
        <w:rPr>
          <w:rFonts w:hint="default" w:ascii="仿宋" w:hAnsi="仿宋" w:eastAsia="仿宋" w:cs="仿宋"/>
          <w:sz w:val="32"/>
          <w:szCs w:val="32"/>
          <w:lang w:val="en-US" w:eastAsia="zh-CN"/>
        </w:rPr>
        <w:t>评分</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赛项最终得分采用百分制</w:t>
      </w:r>
      <w:r>
        <w:rPr>
          <w:rFonts w:hint="eastAsia" w:ascii="仿宋" w:hAnsi="仿宋" w:eastAsia="仿宋" w:cs="仿宋"/>
          <w:sz w:val="32"/>
          <w:szCs w:val="32"/>
          <w:lang w:val="en-US" w:eastAsia="zh-CN"/>
        </w:rPr>
        <w:t>。</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ascii="楷体" w:hAnsi="楷体" w:eastAsia="楷体" w:cs="楷体"/>
          <w:b w:val="0"/>
          <w:bCs w:val="0"/>
          <w:spacing w:val="18"/>
          <w:sz w:val="32"/>
          <w:szCs w:val="32"/>
        </w:rPr>
      </w:pPr>
      <w:r>
        <w:rPr>
          <w:rFonts w:ascii="楷体" w:hAnsi="楷体" w:eastAsia="楷体" w:cs="楷体"/>
          <w:b w:val="0"/>
          <w:bCs w:val="0"/>
          <w:spacing w:val="18"/>
          <w:sz w:val="32"/>
          <w:szCs w:val="32"/>
        </w:rPr>
        <w:t>（</w:t>
      </w:r>
      <w:r>
        <w:rPr>
          <w:rFonts w:hint="eastAsia" w:ascii="楷体" w:hAnsi="楷体" w:eastAsia="楷体" w:cs="楷体"/>
          <w:b w:val="0"/>
          <w:bCs w:val="0"/>
          <w:spacing w:val="18"/>
          <w:sz w:val="32"/>
          <w:szCs w:val="32"/>
          <w:lang w:val="en-US" w:eastAsia="zh-CN"/>
        </w:rPr>
        <w:t>三</w:t>
      </w:r>
      <w:r>
        <w:rPr>
          <w:rFonts w:ascii="楷体" w:hAnsi="楷体" w:eastAsia="楷体" w:cs="楷体"/>
          <w:b w:val="0"/>
          <w:bCs w:val="0"/>
          <w:spacing w:val="18"/>
          <w:sz w:val="32"/>
          <w:szCs w:val="32"/>
        </w:rPr>
        <w:t>）成绩产生与审核</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1.在监督仲裁人员的现场监督下，由加密裁判汇总选手评分</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并计算出参赛选手的总成绩，复核无误后，经裁判长、监督仲裁人员签字确认后，提交监督仲裁组组长再次复核。</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2.赛项最终得分按百分制计分，选手总成绩精确至小数点后两位。</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default" w:ascii="楷体" w:hAnsi="楷体" w:eastAsia="楷体" w:cs="楷体"/>
          <w:b/>
          <w:bCs/>
          <w:spacing w:val="18"/>
          <w:sz w:val="32"/>
          <w:szCs w:val="32"/>
          <w:lang w:val="en-US" w:eastAsia="zh-CN"/>
        </w:rPr>
      </w:pPr>
      <w:r>
        <w:rPr>
          <w:rFonts w:hint="default" w:ascii="楷体" w:hAnsi="楷体" w:eastAsia="楷体" w:cs="楷体"/>
          <w:b w:val="0"/>
          <w:bCs w:val="0"/>
          <w:spacing w:val="18"/>
          <w:sz w:val="32"/>
          <w:szCs w:val="32"/>
          <w:lang w:val="en-US" w:eastAsia="zh-CN"/>
        </w:rPr>
        <w:t>（</w:t>
      </w:r>
      <w:r>
        <w:rPr>
          <w:rFonts w:hint="eastAsia" w:ascii="楷体" w:hAnsi="楷体" w:eastAsia="楷体" w:cs="楷体"/>
          <w:b w:val="0"/>
          <w:bCs w:val="0"/>
          <w:spacing w:val="18"/>
          <w:sz w:val="32"/>
          <w:szCs w:val="32"/>
          <w:lang w:val="en-US" w:eastAsia="zh-CN"/>
        </w:rPr>
        <w:t>四</w:t>
      </w:r>
      <w:r>
        <w:rPr>
          <w:rFonts w:hint="default" w:ascii="楷体" w:hAnsi="楷体" w:eastAsia="楷体" w:cs="楷体"/>
          <w:b w:val="0"/>
          <w:bCs w:val="0"/>
          <w:spacing w:val="18"/>
          <w:sz w:val="32"/>
          <w:szCs w:val="32"/>
          <w:lang w:val="en-US" w:eastAsia="zh-CN"/>
        </w:rPr>
        <w:t>）成绩公布</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记分员将解密后的各参赛代表队成绩汇总制表，经总裁判长、监督仲裁组组长签字后，在指定地点进行公布，无异议，将代表队成绩录入赛务管理系统，经总裁判长、监督仲裁组组长在成绩单上审核签字后宣布。</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bookmarkStart w:id="8" w:name="_Toc24033"/>
      <w:r>
        <w:rPr>
          <w:rFonts w:hint="eastAsia"/>
          <w:b w:val="0"/>
          <w:bCs w:val="0"/>
          <w:spacing w:val="-9"/>
          <w:sz w:val="32"/>
          <w:szCs w:val="32"/>
          <w:lang w:val="en-US" w:eastAsia="zh-CN"/>
        </w:rPr>
        <w:t>七、赛项预案</w:t>
      </w:r>
      <w:bookmarkEnd w:id="8"/>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1.严格按照《学校实验室安全管理办法》的有关规定，准备和开展赛项的竞赛活动。</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2.成立竞赛安全工作组，分设安全用电、用气、防火等安保人员，对赛场内所有设施设备进行安全检查，排除各种安全隐患。</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3.对竞赛中可能出现的伤害事故，做好相应的应急准备，备好急救药品及车辆，确保及时实施救助。</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4.制定赛场指示图，竞赛期间遇有突发或紧急情况，有关人员按赛场疏散图指标指示，有指定专人指引、带领，及时做好疏散。</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5.加强赛场安保，与比赛无关人员禁止进入竞赛场地。</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6.用到易燃试剂的比赛场地，加配灭火器材，并配备足够的安全员。</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7.若因选手因素造成设备故障或损坏，无法进行比赛的，裁判长有权终止该队比赛；若因非选手个人因素造成设备故障的，由裁判长视具体情况做出裁决，参赛选手应听从裁判裁决。</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val="0"/>
          <w:bCs w:val="0"/>
          <w:spacing w:val="-9"/>
          <w:sz w:val="32"/>
          <w:szCs w:val="32"/>
          <w:lang w:val="en-US" w:eastAsia="zh-CN"/>
        </w:rPr>
      </w:pPr>
      <w:bookmarkStart w:id="9" w:name="_Toc23281"/>
      <w:r>
        <w:rPr>
          <w:rFonts w:hint="eastAsia"/>
          <w:b w:val="0"/>
          <w:bCs w:val="0"/>
          <w:spacing w:val="-9"/>
          <w:sz w:val="32"/>
          <w:szCs w:val="32"/>
          <w:lang w:val="en-US" w:eastAsia="zh-CN"/>
        </w:rPr>
        <w:t>八、竞赛须知</w:t>
      </w:r>
      <w:bookmarkEnd w:id="9"/>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default" w:ascii="楷体" w:hAnsi="楷体" w:eastAsia="楷体" w:cs="楷体"/>
          <w:b w:val="0"/>
          <w:bCs w:val="0"/>
          <w:spacing w:val="18"/>
          <w:sz w:val="32"/>
          <w:szCs w:val="32"/>
          <w:lang w:val="en-US" w:eastAsia="zh-CN"/>
        </w:rPr>
      </w:pPr>
      <w:r>
        <w:rPr>
          <w:rFonts w:hint="default" w:ascii="楷体" w:hAnsi="楷体" w:eastAsia="楷体" w:cs="楷体"/>
          <w:b w:val="0"/>
          <w:bCs w:val="0"/>
          <w:spacing w:val="18"/>
          <w:sz w:val="32"/>
          <w:szCs w:val="32"/>
          <w:lang w:val="en-US" w:eastAsia="zh-CN"/>
        </w:rPr>
        <w:t>（一）参赛队须知</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1.参赛队对赛项执委会发布的所有文件要仔细阅读，确切了解大赛时间安排、评判细节等，以保证顺利参加大赛。</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2.参赛队选手必须统一购买在竞赛期间的意外伤害保险。</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3.参赛队领队负责本参赛队的参赛组织和与大赛组委会的联络。</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.参赛队按照大赛赛程安排和具体时间前往指定地点，各参赛选手凭大赛组委会颁发的参赛证和有效身份证件参加比赛及相关活动。</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default" w:ascii="楷体" w:hAnsi="楷体" w:eastAsia="楷体" w:cs="楷体"/>
          <w:b w:val="0"/>
          <w:bCs w:val="0"/>
          <w:spacing w:val="18"/>
          <w:sz w:val="32"/>
          <w:szCs w:val="32"/>
          <w:lang w:val="en-US" w:eastAsia="zh-CN"/>
        </w:rPr>
      </w:pPr>
      <w:r>
        <w:rPr>
          <w:rFonts w:hint="default" w:ascii="楷体" w:hAnsi="楷体" w:eastAsia="楷体" w:cs="楷体"/>
          <w:b w:val="0"/>
          <w:bCs w:val="0"/>
          <w:spacing w:val="18"/>
          <w:sz w:val="32"/>
          <w:szCs w:val="32"/>
          <w:lang w:val="en-US" w:eastAsia="zh-CN"/>
        </w:rPr>
        <w:t>（二）指导教师须知</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1.每个参赛队限2名指导教师，指导教师经报名并通过资格审查后确定，选手和指导教师的对应关系一经确定不得随意变更。</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2.做好本单位比赛选手的业务辅导、心理疏导和思想引导工作，对参赛选手及比赛过程报以平和、包容的心态；共同维护竞赛秩序。</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3.自觉遵守竞赛规则，尊重和支持裁判工作，不随意进入比赛现场及其他禁止入内的区域，发现违规，取消该队参赛资格。</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4.当本单位参赛选手在比赛进程中出现异常或疑问，应及时了解情况，客观作出判断，并做好选手的安抚工作，经内部协商，认为有必要时可在规定时限内向赛项监督仲裁工作组反映情况或提出书面仲裁申请。</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default" w:ascii="楷体" w:hAnsi="楷体" w:eastAsia="楷体" w:cs="楷体"/>
          <w:b/>
          <w:bCs/>
          <w:spacing w:val="18"/>
          <w:sz w:val="32"/>
          <w:szCs w:val="32"/>
          <w:lang w:val="en-US" w:eastAsia="zh-CN"/>
        </w:rPr>
      </w:pPr>
      <w:r>
        <w:rPr>
          <w:rFonts w:hint="default" w:ascii="楷体" w:hAnsi="楷体" w:eastAsia="楷体" w:cs="楷体"/>
          <w:b w:val="0"/>
          <w:bCs w:val="0"/>
          <w:spacing w:val="18"/>
          <w:sz w:val="32"/>
          <w:szCs w:val="32"/>
          <w:lang w:val="en-US" w:eastAsia="zh-CN"/>
        </w:rPr>
        <w:t>（三）参赛选手须知</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1.参赛选手严格遵守赛场规章、操作规程，保证人身及设备安全，接受裁判员的监督和警示，文明竞赛。</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2.各参赛队应在竞赛开始前一天规定的时间段进入赛场熟悉环境。</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限于竞赛场地设备等条件的制约，现场操作项目的竞赛需要分批进行，选手参加考试的批次和竞赛工位（赛位号）将通过抽签决定。参赛选手应持身份证、学生证，按要求到各考核项目指定地点接受检录、抽签，决定竞赛座位等。</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4.参赛选手应按要求佩戴相关证件，并根据竞赛项目要求穿</w:t>
      </w:r>
      <w:r>
        <w:rPr>
          <w:rFonts w:hint="eastAsia" w:ascii="仿宋" w:hAnsi="仿宋" w:eastAsia="仿宋" w:cs="仿宋"/>
          <w:sz w:val="32"/>
          <w:szCs w:val="32"/>
          <w:lang w:val="en-US" w:eastAsia="zh-CN"/>
        </w:rPr>
        <w:t>工作</w:t>
      </w:r>
      <w:r>
        <w:rPr>
          <w:rFonts w:hint="default" w:ascii="仿宋" w:hAnsi="仿宋" w:eastAsia="仿宋" w:cs="仿宋"/>
          <w:sz w:val="32"/>
          <w:szCs w:val="32"/>
          <w:lang w:val="en-US" w:eastAsia="zh-CN"/>
        </w:rPr>
        <w:t>服。</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5.参赛选手进入赛场，不允许携带任何书籍和其他纸质资料（相关技术资料由赛项执委会统一提供），不允许携带通讯工具和存储设备。现场操作考核项目的操作规程、数据记录纸、签字笔等将由组委会统一提供，现场提供的物品各参赛队可以根据竞赛需要自行选择使用。</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6.竞赛时，在收到开赛信号前不得启动操作，各参赛选手需在抽签确定的工位上完成相应竞赛项目，严禁作弊行为。比赛期间参赛选手不得离开比赛场地，如有特殊情况，需经裁判人员同意后方可离开，但离开期间的时间一律计算在比赛时间内。</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7.竞赛期间，竞赛选手应服从裁判评判，若对裁判评分产生异议，不得与裁判争执、顶撞，但可于规定时限内由领队向竞赛监督仲裁委员会提出书面仲裁申请；由竞赛监督促裁委员会调查核实并处理。</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8.竞赛期间，参赛选手必须严格遵守赛场纪律，不得在赛场内大声喧哗，不得作弊或弄虚作假；同时，必须严格遵守操作规程，确保设备和人身安全，并接受裁判员的监督和警示。若因选手因素造成设备故障或损坏，无法进行比赛的，裁判长有权终止该队比赛；若因非选手个人因素造成设备故障的，由裁判长视具体情况做出裁决。</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9.在竞赛规定时间结束时，各参赛队应立即停止答题或操作，不得以任何理由拖延竞赛时间。</w:t>
      </w:r>
      <w:r>
        <w:rPr>
          <w:rFonts w:hint="eastAsia" w:ascii="仿宋" w:hAnsi="仿宋" w:eastAsia="仿宋" w:cs="仿宋"/>
          <w:sz w:val="32"/>
          <w:szCs w:val="32"/>
          <w:lang w:val="en-US" w:eastAsia="zh-CN"/>
        </w:rPr>
        <w:t>参赛队员</w:t>
      </w:r>
      <w:r>
        <w:rPr>
          <w:rFonts w:hint="default" w:ascii="仿宋" w:hAnsi="仿宋" w:eastAsia="仿宋" w:cs="仿宋"/>
          <w:sz w:val="32"/>
          <w:szCs w:val="32"/>
          <w:lang w:val="en-US" w:eastAsia="zh-CN"/>
        </w:rPr>
        <w:t>提前结束比赛，应向现场裁判员举手示意并记录比赛终止时间，比赛终止后，不得再进行任何与比赛有关的操作。</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10.竞赛操作结束时，各参赛队要按照大赛要求和赛题要求提交竞赛材料，按照现场考试要求的名字进行命名，如不符合命名规则、体现单位信息与编号信息的，该队竞赛成绩将被取消。</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default" w:ascii="楷体" w:hAnsi="楷体" w:eastAsia="楷体" w:cs="楷体"/>
          <w:b w:val="0"/>
          <w:bCs w:val="0"/>
          <w:spacing w:val="18"/>
          <w:sz w:val="32"/>
          <w:szCs w:val="32"/>
          <w:lang w:val="en-US" w:eastAsia="zh-CN"/>
        </w:rPr>
      </w:pPr>
      <w:r>
        <w:rPr>
          <w:rFonts w:hint="default" w:ascii="楷体" w:hAnsi="楷体" w:eastAsia="楷体" w:cs="楷体"/>
          <w:b w:val="0"/>
          <w:bCs w:val="0"/>
          <w:spacing w:val="18"/>
          <w:sz w:val="32"/>
          <w:szCs w:val="32"/>
          <w:lang w:val="en-US" w:eastAsia="zh-CN"/>
        </w:rPr>
        <w:t>（四）工作人员须知</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1.树立服务观念，一切为选手着想，以高度负责的精神、严肃认真的态度和严谨细致的作风，积极完成本职任务。</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2.注意文明礼貌，保持良好形象，熟悉大赛指南。</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3.于赛前45分钟到达赛场或根据岗位要求提前上岗，严守工作岗位，不迟到，不早退，不无故离岗，特殊情况需向赛项执委会请假。</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4.熟悉竞赛规程，严格按照工作程序和有关规定办事，遇突发事件，按照安全工作预案，组织指挥人员疏散，确保人员安全。</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5.保持通信畅通，服从统一领导，严格遵守竞赛纪律，加强协作配合，提高工作效率。</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712" w:firstLineChars="200"/>
        <w:textAlignment w:val="baseline"/>
        <w:outlineLvl w:val="3"/>
        <w:rPr>
          <w:rFonts w:hint="default" w:ascii="楷体" w:hAnsi="楷体" w:eastAsia="楷体" w:cs="楷体"/>
          <w:b w:val="0"/>
          <w:bCs w:val="0"/>
          <w:spacing w:val="18"/>
          <w:sz w:val="32"/>
          <w:szCs w:val="32"/>
          <w:lang w:val="en-US" w:eastAsia="zh-CN"/>
        </w:rPr>
      </w:pPr>
      <w:r>
        <w:rPr>
          <w:rFonts w:hint="default" w:ascii="楷体" w:hAnsi="楷体" w:eastAsia="楷体" w:cs="楷体"/>
          <w:b w:val="0"/>
          <w:bCs w:val="0"/>
          <w:spacing w:val="18"/>
          <w:sz w:val="32"/>
          <w:szCs w:val="32"/>
          <w:lang w:val="en-US" w:eastAsia="zh-CN"/>
        </w:rPr>
        <w:t>（五）裁判员须知</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1.实行回避制度，裁判员不得与参赛选手及相关人员接触联系。</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2.裁判员仪表整洁统一着装，并</w:t>
      </w:r>
      <w:r>
        <w:rPr>
          <w:rFonts w:hint="eastAsia" w:ascii="仿宋" w:hAnsi="仿宋" w:eastAsia="仿宋" w:cs="仿宋"/>
          <w:sz w:val="32"/>
          <w:szCs w:val="32"/>
          <w:lang w:val="en-US" w:eastAsia="zh-CN"/>
        </w:rPr>
        <w:t>佩戴</w:t>
      </w:r>
      <w:r>
        <w:rPr>
          <w:rFonts w:hint="default" w:ascii="仿宋" w:hAnsi="仿宋" w:eastAsia="仿宋" w:cs="仿宋"/>
          <w:sz w:val="32"/>
          <w:szCs w:val="32"/>
          <w:lang w:val="en-US" w:eastAsia="zh-CN"/>
        </w:rPr>
        <w:t>裁判员的</w:t>
      </w:r>
      <w:r>
        <w:rPr>
          <w:rFonts w:hint="eastAsia" w:ascii="仿宋" w:hAnsi="仿宋" w:eastAsia="仿宋" w:cs="仿宋"/>
          <w:sz w:val="32"/>
          <w:szCs w:val="32"/>
          <w:lang w:val="en-US" w:eastAsia="zh-CN"/>
        </w:rPr>
        <w:t>证件</w:t>
      </w:r>
      <w:r>
        <w:rPr>
          <w:rFonts w:hint="default" w:ascii="仿宋" w:hAnsi="仿宋" w:eastAsia="仿宋" w:cs="仿宋"/>
          <w:sz w:val="32"/>
          <w:szCs w:val="32"/>
          <w:lang w:val="en-US" w:eastAsia="zh-CN"/>
        </w:rPr>
        <w:t>；语言、举止文明礼貌，主动接受监督仲裁人员和参赛人员的监督。</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3.按制度和程序领取试卷、文件和物品。</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4.裁判员和选手共同进行赛前检查，清点比赛使用仪器设备，确认设备完好。</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5.裁判员在场上应该充分仔细观察，尽到裁判员的职责，确保现场安全、有序；应特别注意涉及安全操作的项目，在选手有违反安全操作规程时应及时提醒选手，并做记录，确保现场操作安全。</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6.裁判员在工作中严肃赛纪，遵守公平、公正的原则；特别注意在参赛选手有作弊行为时，立即没收相关物品，取消该队的比赛资格。</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7.裁判员认真填写比赛过程记录表，比赛结束后，裁判员和参赛选手一同在比赛过程记录表上签字确认。</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8.裁判员未经同意不得擅自发布关于比赛的言论，不得接受记者的采访，评定分数不得向选手公开。</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9.裁判员执裁期间在能看清现场状况与选手行为的情况下，应尽量远离选手，不得影响选手的工作，一般情况下，应与选手保持1米以上的距离。</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b/>
          <w:bCs/>
          <w:spacing w:val="-9"/>
          <w:sz w:val="32"/>
          <w:szCs w:val="32"/>
          <w:lang w:val="en-US" w:eastAsia="zh-CN"/>
        </w:rPr>
      </w:pPr>
      <w:bookmarkStart w:id="10" w:name="_Toc14057"/>
      <w:r>
        <w:rPr>
          <w:rFonts w:hint="eastAsia"/>
          <w:b w:val="0"/>
          <w:bCs w:val="0"/>
          <w:spacing w:val="-9"/>
          <w:sz w:val="32"/>
          <w:szCs w:val="32"/>
          <w:lang w:val="en-US" w:eastAsia="zh-CN"/>
        </w:rPr>
        <w:t>九、申诉与仲裁</w:t>
      </w:r>
      <w:bookmarkEnd w:id="10"/>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1.本赛项在比赛过程中若出现有失公正或有关人员违规等现象，代表队领队可在该模块比赛结束后，1小时之内向监督仲裁组提出书面申诉。</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2.书面申诉应对申诉事件的现象、发生时间、涉及人员、申诉依据等进行充分、实事求是</w:t>
      </w:r>
      <w:r>
        <w:rPr>
          <w:rFonts w:hint="eastAsia" w:ascii="仿宋" w:hAnsi="仿宋" w:eastAsia="仿宋" w:cs="仿宋"/>
          <w:sz w:val="32"/>
          <w:szCs w:val="32"/>
          <w:lang w:val="en-US" w:eastAsia="zh-CN"/>
        </w:rPr>
        <w:t>地</w:t>
      </w:r>
      <w:r>
        <w:rPr>
          <w:rFonts w:hint="default" w:ascii="仿宋" w:hAnsi="仿宋" w:eastAsia="仿宋" w:cs="仿宋"/>
          <w:sz w:val="32"/>
          <w:szCs w:val="32"/>
          <w:lang w:val="en-US" w:eastAsia="zh-CN"/>
        </w:rPr>
        <w:t>叙述，并由领队亲笔签名。非书面申诉不予受理。</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3.赛项监督仲裁组在接到申诉后的1小时内组织复议，并及时反馈复议结果。</w:t>
      </w:r>
    </w:p>
    <w:p>
      <w:pPr>
        <w:keepNext w:val="0"/>
        <w:keepLines w:val="0"/>
        <w:pageBreakBefore w:val="0"/>
        <w:widowControl w:val="0"/>
        <w:kinsoku w:val="0"/>
        <w:wordWrap/>
        <w:overflowPunct/>
        <w:topLinePunct w:val="0"/>
        <w:autoSpaceDE w:val="0"/>
        <w:autoSpaceDN w:val="0"/>
        <w:bidi w:val="0"/>
        <w:adjustRightInd/>
        <w:snapToGrid w:val="0"/>
        <w:spacing w:line="560" w:lineRule="exact"/>
        <w:ind w:left="0" w:right="0" w:firstLine="640" w:firstLineChars="200"/>
        <w:jc w:val="both"/>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4.申诉方对复议结果仍有异议，可由领队向大赛监督仲裁委员会提出申诉。监督仲裁委员会的仲裁结果为最终结果。</w:t>
      </w:r>
    </w:p>
    <w:sectPr>
      <w:footerReference r:id="rId5" w:type="default"/>
      <w:pgSz w:w="11910" w:h="16840"/>
      <w:pgMar w:top="1355" w:right="1542" w:bottom="1355" w:left="1531" w:header="0" w:footer="1219" w:gutter="0"/>
      <w:pgNumType w:fmt="decimal" w:start="1"/>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03"/>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U4ZDQxNjNlMjI4YjIwYjkyMTk0MTg0MDA2ZTYwMDcifQ=="/>
  </w:docVars>
  <w:rsids>
    <w:rsidRoot w:val="00000000"/>
    <w:rsid w:val="01AC3A26"/>
    <w:rsid w:val="06A3005B"/>
    <w:rsid w:val="0B552CAF"/>
    <w:rsid w:val="121F0191"/>
    <w:rsid w:val="1BD73B3C"/>
    <w:rsid w:val="1CA1494D"/>
    <w:rsid w:val="28DD3E31"/>
    <w:rsid w:val="343901C4"/>
    <w:rsid w:val="369A72A7"/>
    <w:rsid w:val="3C0420FE"/>
    <w:rsid w:val="43B20A5C"/>
    <w:rsid w:val="496264BD"/>
    <w:rsid w:val="4C9128A0"/>
    <w:rsid w:val="554E4F7A"/>
    <w:rsid w:val="59A332CD"/>
    <w:rsid w:val="5B2B4256"/>
    <w:rsid w:val="6E1838F7"/>
    <w:rsid w:val="6F1C6503"/>
    <w:rsid w:val="72B147F5"/>
    <w:rsid w:val="7D2C7C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黑体" w:hAnsi="黑体" w:eastAsia="黑体" w:cs="黑体"/>
      <w:sz w:val="31"/>
      <w:szCs w:val="31"/>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autoRedefine/>
    <w:qFormat/>
    <w:uiPriority w:val="0"/>
  </w:style>
  <w:style w:type="paragraph" w:styleId="6">
    <w:name w:val="toc 2"/>
    <w:basedOn w:val="1"/>
    <w:next w:val="1"/>
    <w:autoRedefine/>
    <w:qFormat/>
    <w:uiPriority w:val="0"/>
    <w:pPr>
      <w:ind w:left="420" w:leftChars="200"/>
    </w:p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5676</Words>
  <Characters>5781</Characters>
  <TotalTime>9</TotalTime>
  <ScaleCrop>false</ScaleCrop>
  <LinksUpToDate>false</LinksUpToDate>
  <CharactersWithSpaces>5781</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2025-06-28T17:27:00Z</dcterms:created>
  <dc:creator>qidan</dc:creator>
  <cp:lastModifiedBy>值得拥有</cp:lastModifiedBy>
  <dcterms:modified xsi:type="dcterms:W3CDTF">2025-06-30T09:31:32Z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2025-06-28T17:27:39Z</vt:filetime>
  </property>
  <property fmtid="{D5CDD505-2E9C-101B-9397-08002B2CF9AE}" pid="4" name="UsrData">
    <vt:lpwstr>685fb5834feef9001f6ae2a9wl</vt:lpwstr>
  </property>
  <property fmtid="{D5CDD505-2E9C-101B-9397-08002B2CF9AE}" pid="5" name="KSOTemplateDocerSaveRecord">
    <vt:lpwstr>eyJoZGlkIjoiNmI2MjMzNzlhZWMxMTk3Y2VhZTVmNTlhZjYwMDU0NWEiLCJ1c2VySWQiOiI5Mjc4MzY4ODYifQ==</vt:lpwstr>
  </property>
  <property fmtid="{D5CDD505-2E9C-101B-9397-08002B2CF9AE}" pid="6" name="KSOProductBuildVer">
    <vt:lpwstr>2052-12.1.0.16120</vt:lpwstr>
  </property>
  <property fmtid="{D5CDD505-2E9C-101B-9397-08002B2CF9AE}" pid="7" name="ICV">
    <vt:lpwstr>CFC5A4B5B75A4E398D6F9C55D04AC68C_13</vt:lpwstr>
  </property>
</Properties>
</file>