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51F26">
      <w:pPr>
        <w:snapToGrid w:val="0"/>
        <w:spacing w:line="360" w:lineRule="auto"/>
        <w:ind w:firstLine="360"/>
        <w:jc w:val="left"/>
        <w:rPr>
          <w:rFonts w:hint="eastAsia" w:ascii="思源黑体 CN Medium" w:hAnsi="思源黑体 CN Medium" w:eastAsia="思源黑体 CN Medium" w:cs="思源黑体 CN Medium"/>
          <w:bCs/>
          <w:sz w:val="36"/>
          <w:szCs w:val="36"/>
        </w:rPr>
      </w:pPr>
      <w:r>
        <w:rPr>
          <w:rFonts w:hint="eastAsia" w:ascii="思源黑体 CN Medium" w:hAnsi="思源黑体 CN Medium" w:eastAsia="思源黑体 CN Medium" w:cs="思源黑体 CN Medium"/>
          <w:bCs/>
          <w:sz w:val="36"/>
          <w:szCs w:val="36"/>
        </w:rPr>
        <w:t>附件1：</w:t>
      </w:r>
    </w:p>
    <w:p w14:paraId="3368B3BF">
      <w:pPr>
        <w:snapToGrid w:val="0"/>
        <w:spacing w:line="600" w:lineRule="exact"/>
        <w:ind w:firstLine="440"/>
        <w:jc w:val="center"/>
        <w:rPr>
          <w:rFonts w:hint="eastAsia" w:ascii="方正小标宋简体" w:hAnsi="思源黑体 CN Medium" w:eastAsia="方正小标宋简体" w:cs="思源黑体 CN Medium"/>
          <w:bCs/>
          <w:sz w:val="44"/>
          <w:szCs w:val="44"/>
        </w:rPr>
      </w:pPr>
      <w:r>
        <w:rPr>
          <w:rFonts w:hint="eastAsia" w:ascii="方正小标宋简体" w:hAnsi="思源黑体 CN Medium" w:eastAsia="方正小标宋简体" w:cs="思源黑体 CN Medium"/>
          <w:bCs/>
          <w:sz w:val="44"/>
          <w:szCs w:val="44"/>
        </w:rPr>
        <w:t>2026年河北省职业院校技能大赛</w:t>
      </w:r>
    </w:p>
    <w:p w14:paraId="52C4700A">
      <w:pPr>
        <w:snapToGrid w:val="0"/>
        <w:spacing w:line="600" w:lineRule="exact"/>
        <w:ind w:firstLine="440"/>
        <w:jc w:val="center"/>
        <w:rPr>
          <w:rFonts w:hint="eastAsia" w:ascii="方正小标宋简体" w:hAnsi="思源黑体 CN Medium" w:eastAsia="方正小标宋简体" w:cs="思源黑体 CN Medium"/>
          <w:bCs/>
          <w:sz w:val="44"/>
          <w:szCs w:val="44"/>
        </w:rPr>
      </w:pPr>
      <w:r>
        <w:rPr>
          <w:rFonts w:hint="eastAsia" w:ascii="方正小标宋简体" w:hAnsi="思源黑体 CN Medium" w:eastAsia="方正小标宋简体" w:cs="思源黑体 CN Medium"/>
          <w:bCs/>
          <w:sz w:val="44"/>
          <w:szCs w:val="44"/>
        </w:rPr>
        <w:t>“鲲鹏云技术开发与应用”（高职组）赛项规程</w:t>
      </w:r>
    </w:p>
    <w:p w14:paraId="550B1EAD">
      <w:pPr>
        <w:ind w:firstLine="210"/>
      </w:pPr>
    </w:p>
    <w:p w14:paraId="26A4B408">
      <w:pPr>
        <w:pStyle w:val="3"/>
        <w:ind w:firstLine="680"/>
        <w:rPr>
          <w:rFonts w:hint="eastAsia"/>
        </w:rPr>
      </w:pPr>
    </w:p>
    <w:p w14:paraId="179B60F0">
      <w:pPr>
        <w:pStyle w:val="2"/>
        <w:numPr>
          <w:ilvl w:val="0"/>
          <w:numId w:val="1"/>
        </w:numPr>
        <w:spacing w:after="156"/>
        <w:ind w:firstLine="300"/>
      </w:pPr>
      <w:r>
        <w:rPr>
          <w:rFonts w:hint="eastAsia"/>
        </w:rPr>
        <w:t>赛项名称</w:t>
      </w:r>
    </w:p>
    <w:p w14:paraId="3EE29C59">
      <w:pPr>
        <w:ind w:firstLine="560" w:firstLineChars="200"/>
        <w:rPr>
          <w:rFonts w:hint="eastAsia" w:ascii="仿宋" w:hAnsi="仿宋" w:eastAsia="仿宋" w:cs="仿宋"/>
          <w:sz w:val="28"/>
          <w:szCs w:val="28"/>
        </w:rPr>
      </w:pPr>
      <w:r>
        <w:rPr>
          <w:rFonts w:hint="eastAsia" w:ascii="仿宋" w:hAnsi="仿宋" w:eastAsia="仿宋" w:cs="仿宋"/>
          <w:sz w:val="28"/>
          <w:szCs w:val="28"/>
        </w:rPr>
        <w:t>赛项编号：</w:t>
      </w:r>
      <w:r>
        <w:rPr>
          <w:rFonts w:ascii="仿宋" w:hAnsi="仿宋" w:eastAsia="仿宋" w:cs="仿宋"/>
          <w:sz w:val="28"/>
          <w:szCs w:val="28"/>
        </w:rPr>
        <w:t>2026GZ130</w:t>
      </w:r>
    </w:p>
    <w:p w14:paraId="1694CEE9">
      <w:pPr>
        <w:ind w:firstLine="560" w:firstLineChars="200"/>
        <w:rPr>
          <w:rFonts w:hint="eastAsia" w:ascii="仿宋" w:hAnsi="仿宋" w:eastAsia="仿宋" w:cs="仿宋"/>
          <w:sz w:val="28"/>
          <w:szCs w:val="28"/>
        </w:rPr>
      </w:pPr>
      <w:r>
        <w:rPr>
          <w:rFonts w:hint="eastAsia" w:ascii="仿宋" w:hAnsi="仿宋" w:eastAsia="仿宋" w:cs="仿宋"/>
          <w:sz w:val="28"/>
          <w:szCs w:val="28"/>
        </w:rPr>
        <w:t>赛项名称：鲲鹏云技术开发与应用</w:t>
      </w:r>
    </w:p>
    <w:p w14:paraId="65D28C8B">
      <w:pPr>
        <w:ind w:firstLine="560" w:firstLineChars="200"/>
        <w:rPr>
          <w:rFonts w:hint="eastAsia" w:ascii="仿宋" w:hAnsi="仿宋" w:eastAsia="仿宋" w:cs="仿宋"/>
          <w:sz w:val="28"/>
          <w:szCs w:val="28"/>
        </w:rPr>
      </w:pPr>
      <w:r>
        <w:rPr>
          <w:rFonts w:hint="eastAsia" w:ascii="仿宋" w:hAnsi="仿宋" w:eastAsia="仿宋" w:cs="仿宋"/>
          <w:sz w:val="28"/>
          <w:szCs w:val="28"/>
        </w:rPr>
        <w:t>赛项组别：高职组</w:t>
      </w:r>
    </w:p>
    <w:p w14:paraId="5966B0C6">
      <w:pPr>
        <w:ind w:firstLine="560" w:firstLineChars="200"/>
        <w:rPr>
          <w:rFonts w:hint="eastAsia" w:ascii="仿宋" w:hAnsi="仿宋" w:eastAsia="仿宋" w:cs="仿宋"/>
          <w:sz w:val="28"/>
          <w:szCs w:val="28"/>
        </w:rPr>
      </w:pPr>
      <w:r>
        <w:rPr>
          <w:rFonts w:hint="eastAsia" w:ascii="仿宋" w:hAnsi="仿宋" w:eastAsia="仿宋" w:cs="仿宋"/>
          <w:sz w:val="28"/>
          <w:szCs w:val="28"/>
        </w:rPr>
        <w:t>赛项归属产业：新一代信息技术</w:t>
      </w:r>
    </w:p>
    <w:p w14:paraId="53987492">
      <w:pPr>
        <w:ind w:firstLine="210"/>
      </w:pPr>
    </w:p>
    <w:p w14:paraId="1ABCDA4F">
      <w:pPr>
        <w:pStyle w:val="2"/>
        <w:numPr>
          <w:ilvl w:val="0"/>
          <w:numId w:val="1"/>
        </w:numPr>
        <w:spacing w:after="156"/>
        <w:ind w:firstLine="300"/>
      </w:pPr>
      <w:r>
        <w:rPr>
          <w:rFonts w:hint="eastAsia"/>
        </w:rPr>
        <w:t>赛项目的</w:t>
      </w:r>
    </w:p>
    <w:p w14:paraId="5A0FD74C">
      <w:pPr>
        <w:snapToGrid w:val="0"/>
        <w:spacing w:line="360" w:lineRule="auto"/>
        <w:ind w:firstLine="560" w:firstLineChars="200"/>
        <w:jc w:val="left"/>
        <w:rPr>
          <w:rFonts w:hint="eastAsia" w:ascii="仿宋" w:hAnsi="仿宋" w:eastAsia="仿宋"/>
          <w:bCs/>
          <w:sz w:val="28"/>
          <w:szCs w:val="21"/>
        </w:rPr>
      </w:pPr>
      <w:r>
        <w:rPr>
          <w:rFonts w:hint="eastAsia" w:ascii="仿宋" w:hAnsi="仿宋" w:eastAsia="仿宋"/>
          <w:bCs/>
          <w:sz w:val="28"/>
          <w:szCs w:val="21"/>
        </w:rPr>
        <w:t>在新一代信息技术高速发展的推动下，河北产业发展也步入快车道。持续完善现代职业教育体系，培育符合产业需求的技能人才，是产业创新发展的关键。</w:t>
      </w:r>
    </w:p>
    <w:p w14:paraId="2CC36D34">
      <w:pPr>
        <w:snapToGrid w:val="0"/>
        <w:spacing w:line="360" w:lineRule="auto"/>
        <w:ind w:firstLine="560" w:firstLineChars="200"/>
        <w:jc w:val="left"/>
        <w:rPr>
          <w:rFonts w:hint="eastAsia" w:ascii="仿宋" w:hAnsi="仿宋" w:eastAsia="仿宋"/>
          <w:bCs/>
          <w:sz w:val="28"/>
          <w:szCs w:val="21"/>
        </w:rPr>
      </w:pPr>
      <w:r>
        <w:rPr>
          <w:rFonts w:hint="eastAsia" w:ascii="仿宋" w:hAnsi="仿宋" w:eastAsia="仿宋"/>
          <w:bCs/>
          <w:sz w:val="28"/>
          <w:szCs w:val="21"/>
        </w:rPr>
        <w:t>本赛项以鲲鹏技术为考察点，采用团队赛方式，面向河北省内职业院校（含高职院校、职业本科院校）信息技术类相关专业的在校生，旨在链接产业端信创技术实际应用与创新发展，助力职业院校信息技术类专业提高专业建设质量，促进教学创新。通过竞赛的方式锻炼学生的实践能力与技术应用能力，同时在比赛的过程中全面提高个人的综合素质，多维度提升以更好地适配行业发展标准、企业用人需求。</w:t>
      </w:r>
    </w:p>
    <w:p w14:paraId="604141A0">
      <w:pPr>
        <w:spacing w:after="156" w:afterLines="50" w:line="360" w:lineRule="auto"/>
        <w:ind w:firstLine="560" w:firstLineChars="200"/>
        <w:rPr>
          <w:rFonts w:hint="eastAsia" w:ascii="仿宋" w:hAnsi="仿宋" w:eastAsia="仿宋"/>
        </w:rPr>
      </w:pPr>
      <w:r>
        <w:rPr>
          <w:rFonts w:hint="eastAsia" w:ascii="仿宋" w:hAnsi="仿宋" w:eastAsia="仿宋" w:cs="仿宋"/>
          <w:sz w:val="28"/>
          <w:szCs w:val="28"/>
        </w:rPr>
        <w:t xml:space="preserve">大赛秉承国际性顶级赛事“开放合作”的职业竞技精神，服务国家战略，加速国产信息技术创新，深化产教融合、促进校企融通，推进“岗课赛证”融合育人改革。 </w:t>
      </w:r>
    </w:p>
    <w:p w14:paraId="427F79E1">
      <w:pPr>
        <w:pStyle w:val="2"/>
        <w:numPr>
          <w:ilvl w:val="0"/>
          <w:numId w:val="1"/>
        </w:numPr>
        <w:spacing w:after="156"/>
        <w:ind w:firstLine="300"/>
        <w:rPr>
          <w:rFonts w:eastAsia="仿宋_GB2312"/>
          <w:b/>
          <w:sz w:val="28"/>
          <w:szCs w:val="21"/>
        </w:rPr>
      </w:pPr>
      <w:r>
        <w:rPr>
          <w:rFonts w:hint="eastAsia"/>
        </w:rPr>
        <w:t xml:space="preserve"> 赛项内容</w:t>
      </w:r>
    </w:p>
    <w:p w14:paraId="2F739604">
      <w:pPr>
        <w:ind w:firstLine="560" w:firstLineChars="200"/>
        <w:rPr>
          <w:rFonts w:hint="eastAsia" w:ascii="仿宋" w:hAnsi="仿宋" w:eastAsia="仿宋" w:cs="仿宋"/>
          <w:spacing w:val="15"/>
          <w:sz w:val="28"/>
          <w:szCs w:val="28"/>
        </w:rPr>
      </w:pPr>
      <w:r>
        <w:rPr>
          <w:rFonts w:hint="eastAsia" w:ascii="仿宋" w:hAnsi="仿宋" w:eastAsia="仿宋" w:cs="仿宋"/>
          <w:sz w:val="28"/>
          <w:szCs w:val="28"/>
        </w:rPr>
        <w:t>本次大赛，各位选手需要完成两个阶段的任务，其中第一个阶段为专业技能竞赛，需要在竞赛平台上完成实践题目作答，根据不同的步骤和成果，共计400分；第二个阶段为项目展示，</w:t>
      </w:r>
      <w:r>
        <w:rPr>
          <w:rFonts w:hint="eastAsia" w:ascii="仿宋" w:hAnsi="仿宋" w:eastAsia="仿宋" w:cs="仿宋"/>
          <w:spacing w:val="15"/>
          <w:sz w:val="28"/>
          <w:szCs w:val="28"/>
        </w:rPr>
        <w:t>参赛队伍依据赛项设置，结合所学专业和教育教学实际，围绕生产、管理、服务一线真问题、真场景，自主确定参赛项目名称，自主设计参赛项目内容，自主选择参赛设备，展示真技能，共计100分</w:t>
      </w:r>
      <w:r>
        <w:rPr>
          <w:rFonts w:hint="eastAsia" w:ascii="仿宋" w:hAnsi="仿宋" w:eastAsia="仿宋" w:cs="仿宋"/>
          <w:sz w:val="28"/>
          <w:szCs w:val="28"/>
        </w:rPr>
        <w:t>。</w:t>
      </w:r>
      <w:r>
        <w:rPr>
          <w:rFonts w:hint="eastAsia" w:ascii="仿宋" w:hAnsi="仿宋" w:eastAsia="仿宋" w:cs="仿宋"/>
          <w:spacing w:val="15"/>
          <w:sz w:val="28"/>
          <w:szCs w:val="28"/>
        </w:rPr>
        <w:t>专业技能竞赛及项目展示总分共计500分，最终依据总分数高低排名。</w:t>
      </w:r>
    </w:p>
    <w:p w14:paraId="004ED2CD">
      <w:pPr>
        <w:ind w:firstLine="620" w:firstLineChars="200"/>
        <w:rPr>
          <w:rFonts w:hint="eastAsia" w:ascii="仿宋" w:hAnsi="仿宋" w:eastAsia="仿宋" w:cs="仿宋"/>
          <w:sz w:val="28"/>
          <w:szCs w:val="28"/>
        </w:rPr>
      </w:pPr>
      <w:r>
        <w:rPr>
          <w:rFonts w:hint="eastAsia" w:ascii="仿宋" w:hAnsi="仿宋" w:eastAsia="仿宋" w:cs="仿宋"/>
          <w:spacing w:val="15"/>
          <w:sz w:val="28"/>
          <w:szCs w:val="28"/>
        </w:rPr>
        <w:t>（一）第一阶段专业技能竞赛评分细则如下：</w:t>
      </w:r>
    </w:p>
    <w:tbl>
      <w:tblPr>
        <w:tblStyle w:val="10"/>
        <w:tblW w:w="56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431"/>
        <w:gridCol w:w="3478"/>
        <w:gridCol w:w="980"/>
        <w:gridCol w:w="1217"/>
      </w:tblGrid>
      <w:tr w14:paraId="42CB3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shd w:val="clear" w:color="auto" w:fill="FFFFFF" w:themeFill="background1"/>
            <w:vAlign w:val="center"/>
          </w:tcPr>
          <w:p w14:paraId="6AF9B08D">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总项</w:t>
            </w:r>
          </w:p>
        </w:tc>
        <w:tc>
          <w:tcPr>
            <w:tcW w:w="1302" w:type="pct"/>
            <w:shd w:val="clear" w:color="auto" w:fill="FFFFFF" w:themeFill="background1"/>
            <w:vAlign w:val="center"/>
          </w:tcPr>
          <w:p w14:paraId="07F70644">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模块</w:t>
            </w:r>
          </w:p>
        </w:tc>
        <w:tc>
          <w:tcPr>
            <w:tcW w:w="1863" w:type="pct"/>
            <w:shd w:val="clear" w:color="auto" w:fill="FFFFFF" w:themeFill="background1"/>
            <w:vAlign w:val="center"/>
          </w:tcPr>
          <w:p w14:paraId="2AB815ED">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知识点</w:t>
            </w:r>
          </w:p>
        </w:tc>
        <w:tc>
          <w:tcPr>
            <w:tcW w:w="525" w:type="pct"/>
            <w:shd w:val="clear" w:color="auto" w:fill="FFFFFF" w:themeFill="background1"/>
            <w:vAlign w:val="center"/>
          </w:tcPr>
          <w:p w14:paraId="732DF9EA">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分数</w:t>
            </w:r>
          </w:p>
        </w:tc>
        <w:tc>
          <w:tcPr>
            <w:tcW w:w="652" w:type="pct"/>
            <w:shd w:val="clear" w:color="auto" w:fill="FFFFFF" w:themeFill="background1"/>
          </w:tcPr>
          <w:p w14:paraId="45D97786">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竞赛时间</w:t>
            </w:r>
          </w:p>
        </w:tc>
      </w:tr>
      <w:tr w14:paraId="79473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vMerge w:val="restart"/>
            <w:vAlign w:val="center"/>
          </w:tcPr>
          <w:p w14:paraId="08189894">
            <w:pPr>
              <w:jc w:val="center"/>
              <w:rPr>
                <w:rFonts w:hint="eastAsia" w:ascii="仿宋" w:hAnsi="仿宋" w:eastAsia="仿宋" w:cs="仿宋"/>
                <w:sz w:val="24"/>
                <w:szCs w:val="24"/>
              </w:rPr>
            </w:pPr>
            <w:r>
              <w:rPr>
                <w:rFonts w:hint="eastAsia" w:ascii="仿宋" w:hAnsi="仿宋" w:eastAsia="仿宋" w:cs="仿宋"/>
                <w:sz w:val="24"/>
                <w:szCs w:val="24"/>
              </w:rPr>
              <w:t>专业技能竞赛</w:t>
            </w:r>
          </w:p>
        </w:tc>
        <w:tc>
          <w:tcPr>
            <w:tcW w:w="1302" w:type="pct"/>
            <w:vMerge w:val="restart"/>
            <w:vAlign w:val="center"/>
          </w:tcPr>
          <w:p w14:paraId="32A20CCE">
            <w:pPr>
              <w:jc w:val="center"/>
              <w:rPr>
                <w:rFonts w:hint="eastAsia" w:ascii="仿宋" w:hAnsi="仿宋" w:eastAsia="仿宋"/>
                <w:sz w:val="24"/>
                <w:szCs w:val="24"/>
              </w:rPr>
            </w:pPr>
            <w:r>
              <w:rPr>
                <w:rFonts w:hint="eastAsia" w:ascii="仿宋" w:hAnsi="仿宋" w:eastAsia="仿宋" w:cs="仿宋"/>
                <w:sz w:val="24"/>
                <w:szCs w:val="24"/>
              </w:rPr>
              <w:t>鲲鹏环境配置</w:t>
            </w:r>
          </w:p>
        </w:tc>
        <w:tc>
          <w:tcPr>
            <w:tcW w:w="1863" w:type="pct"/>
          </w:tcPr>
          <w:p w14:paraId="0DD206AB">
            <w:pPr>
              <w:ind w:firstLine="240"/>
              <w:rPr>
                <w:rFonts w:hint="eastAsia" w:ascii="仿宋" w:hAnsi="仿宋" w:eastAsia="仿宋"/>
                <w:sz w:val="24"/>
                <w:szCs w:val="24"/>
              </w:rPr>
            </w:pPr>
            <w:r>
              <w:rPr>
                <w:rFonts w:hint="eastAsia" w:ascii="仿宋" w:hAnsi="仿宋" w:eastAsia="仿宋"/>
                <w:sz w:val="24"/>
                <w:szCs w:val="24"/>
              </w:rPr>
              <w:t>openEuler系统配置</w:t>
            </w:r>
          </w:p>
        </w:tc>
        <w:tc>
          <w:tcPr>
            <w:tcW w:w="525" w:type="pct"/>
            <w:vMerge w:val="restart"/>
            <w:vAlign w:val="center"/>
          </w:tcPr>
          <w:p w14:paraId="4D567AB4">
            <w:pPr>
              <w:ind w:firstLine="240"/>
              <w:jc w:val="center"/>
              <w:rPr>
                <w:rFonts w:hint="eastAsia" w:ascii="仿宋" w:hAnsi="仿宋" w:eastAsia="仿宋"/>
                <w:sz w:val="24"/>
                <w:szCs w:val="24"/>
              </w:rPr>
            </w:pPr>
            <w:r>
              <w:rPr>
                <w:rFonts w:hint="eastAsia" w:ascii="仿宋" w:hAnsi="仿宋" w:eastAsia="仿宋"/>
                <w:sz w:val="24"/>
                <w:szCs w:val="24"/>
              </w:rPr>
              <w:t>80分</w:t>
            </w:r>
          </w:p>
        </w:tc>
        <w:tc>
          <w:tcPr>
            <w:tcW w:w="652" w:type="pct"/>
            <w:vMerge w:val="restart"/>
            <w:vAlign w:val="center"/>
          </w:tcPr>
          <w:p w14:paraId="09AE2828">
            <w:pPr>
              <w:ind w:firstLine="240"/>
              <w:jc w:val="center"/>
              <w:rPr>
                <w:rFonts w:hint="eastAsia" w:ascii="仿宋" w:hAnsi="仿宋" w:eastAsia="仿宋"/>
                <w:sz w:val="24"/>
                <w:szCs w:val="24"/>
              </w:rPr>
            </w:pPr>
            <w:r>
              <w:rPr>
                <w:rFonts w:hint="eastAsia" w:ascii="仿宋" w:hAnsi="仿宋" w:eastAsia="仿宋"/>
                <w:sz w:val="24"/>
                <w:szCs w:val="24"/>
              </w:rPr>
              <w:t>240分钟（团队成员自主分工，含制作展示材料时间）</w:t>
            </w:r>
          </w:p>
        </w:tc>
      </w:tr>
      <w:tr w14:paraId="6299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vMerge w:val="continue"/>
            <w:vAlign w:val="center"/>
          </w:tcPr>
          <w:p w14:paraId="3BCB78EF">
            <w:pPr>
              <w:jc w:val="center"/>
              <w:rPr>
                <w:rFonts w:hint="eastAsia" w:ascii="仿宋" w:hAnsi="仿宋" w:eastAsia="仿宋"/>
                <w:sz w:val="24"/>
                <w:szCs w:val="24"/>
              </w:rPr>
            </w:pPr>
          </w:p>
        </w:tc>
        <w:tc>
          <w:tcPr>
            <w:tcW w:w="1302" w:type="pct"/>
            <w:vMerge w:val="continue"/>
            <w:vAlign w:val="center"/>
          </w:tcPr>
          <w:p w14:paraId="07EB45AA">
            <w:pPr>
              <w:jc w:val="center"/>
              <w:rPr>
                <w:rFonts w:hint="eastAsia" w:ascii="仿宋" w:hAnsi="仿宋" w:eastAsia="仿宋"/>
                <w:sz w:val="24"/>
                <w:szCs w:val="24"/>
              </w:rPr>
            </w:pPr>
          </w:p>
        </w:tc>
        <w:tc>
          <w:tcPr>
            <w:tcW w:w="1863" w:type="pct"/>
          </w:tcPr>
          <w:p w14:paraId="67DC4041">
            <w:pPr>
              <w:ind w:firstLine="240"/>
              <w:rPr>
                <w:rFonts w:hint="eastAsia" w:ascii="仿宋" w:hAnsi="仿宋" w:eastAsia="仿宋"/>
                <w:sz w:val="24"/>
                <w:szCs w:val="24"/>
              </w:rPr>
            </w:pPr>
            <w:r>
              <w:rPr>
                <w:rFonts w:hint="eastAsia" w:ascii="仿宋" w:hAnsi="仿宋" w:eastAsia="仿宋"/>
                <w:sz w:val="24"/>
                <w:szCs w:val="24"/>
              </w:rPr>
              <w:t>openEuler软件安装</w:t>
            </w:r>
          </w:p>
        </w:tc>
        <w:tc>
          <w:tcPr>
            <w:tcW w:w="525" w:type="pct"/>
            <w:vMerge w:val="continue"/>
            <w:vAlign w:val="center"/>
          </w:tcPr>
          <w:p w14:paraId="0799F1FB">
            <w:pPr>
              <w:ind w:firstLine="240"/>
              <w:jc w:val="center"/>
              <w:rPr>
                <w:rFonts w:hint="eastAsia" w:ascii="仿宋" w:hAnsi="仿宋" w:eastAsia="仿宋"/>
                <w:sz w:val="24"/>
                <w:szCs w:val="24"/>
              </w:rPr>
            </w:pPr>
          </w:p>
        </w:tc>
        <w:tc>
          <w:tcPr>
            <w:tcW w:w="652" w:type="pct"/>
            <w:vMerge w:val="continue"/>
          </w:tcPr>
          <w:p w14:paraId="37E4E108">
            <w:pPr>
              <w:ind w:firstLine="240"/>
              <w:rPr>
                <w:rFonts w:hint="eastAsia" w:ascii="仿宋" w:hAnsi="仿宋" w:eastAsia="仿宋"/>
                <w:sz w:val="24"/>
                <w:szCs w:val="24"/>
              </w:rPr>
            </w:pPr>
          </w:p>
        </w:tc>
      </w:tr>
      <w:tr w14:paraId="275E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657" w:type="pct"/>
            <w:vMerge w:val="continue"/>
            <w:vAlign w:val="center"/>
          </w:tcPr>
          <w:p w14:paraId="40A3F8A5">
            <w:pPr>
              <w:jc w:val="center"/>
              <w:rPr>
                <w:rFonts w:hint="eastAsia" w:ascii="仿宋" w:hAnsi="仿宋" w:eastAsia="仿宋"/>
                <w:sz w:val="24"/>
                <w:szCs w:val="24"/>
              </w:rPr>
            </w:pPr>
          </w:p>
        </w:tc>
        <w:tc>
          <w:tcPr>
            <w:tcW w:w="1302" w:type="pct"/>
            <w:vMerge w:val="continue"/>
            <w:vAlign w:val="center"/>
          </w:tcPr>
          <w:p w14:paraId="6D86B106">
            <w:pPr>
              <w:jc w:val="center"/>
              <w:rPr>
                <w:rFonts w:hint="eastAsia" w:ascii="仿宋" w:hAnsi="仿宋" w:eastAsia="仿宋"/>
                <w:sz w:val="24"/>
                <w:szCs w:val="24"/>
              </w:rPr>
            </w:pPr>
          </w:p>
        </w:tc>
        <w:tc>
          <w:tcPr>
            <w:tcW w:w="1863" w:type="pct"/>
          </w:tcPr>
          <w:p w14:paraId="63422046">
            <w:pPr>
              <w:ind w:firstLine="240"/>
              <w:rPr>
                <w:rFonts w:hint="eastAsia" w:ascii="仿宋" w:hAnsi="仿宋" w:eastAsia="仿宋"/>
                <w:sz w:val="24"/>
                <w:szCs w:val="24"/>
              </w:rPr>
            </w:pPr>
            <w:r>
              <w:rPr>
                <w:rFonts w:ascii="仿宋" w:hAnsi="仿宋" w:eastAsia="仿宋"/>
                <w:sz w:val="24"/>
                <w:szCs w:val="24"/>
              </w:rPr>
              <w:t>业务移植可行性分析</w:t>
            </w:r>
          </w:p>
        </w:tc>
        <w:tc>
          <w:tcPr>
            <w:tcW w:w="525" w:type="pct"/>
            <w:vMerge w:val="continue"/>
            <w:vAlign w:val="center"/>
          </w:tcPr>
          <w:p w14:paraId="7ADD0940">
            <w:pPr>
              <w:ind w:firstLine="240"/>
              <w:jc w:val="center"/>
              <w:rPr>
                <w:rFonts w:hint="eastAsia" w:ascii="仿宋" w:hAnsi="仿宋" w:eastAsia="仿宋"/>
                <w:sz w:val="24"/>
                <w:szCs w:val="24"/>
              </w:rPr>
            </w:pPr>
          </w:p>
        </w:tc>
        <w:tc>
          <w:tcPr>
            <w:tcW w:w="652" w:type="pct"/>
            <w:vMerge w:val="continue"/>
          </w:tcPr>
          <w:p w14:paraId="0CB8C4B4">
            <w:pPr>
              <w:ind w:firstLine="240"/>
              <w:rPr>
                <w:rFonts w:hint="eastAsia" w:ascii="仿宋" w:hAnsi="仿宋" w:eastAsia="仿宋"/>
                <w:sz w:val="24"/>
                <w:szCs w:val="24"/>
              </w:rPr>
            </w:pPr>
          </w:p>
        </w:tc>
      </w:tr>
      <w:tr w14:paraId="3475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 w:hRule="atLeast"/>
          <w:jc w:val="center"/>
        </w:trPr>
        <w:tc>
          <w:tcPr>
            <w:tcW w:w="657" w:type="pct"/>
            <w:vMerge w:val="continue"/>
            <w:vAlign w:val="center"/>
          </w:tcPr>
          <w:p w14:paraId="7F1BE859">
            <w:pPr>
              <w:jc w:val="center"/>
              <w:rPr>
                <w:rFonts w:hint="eastAsia" w:ascii="仿宋" w:hAnsi="仿宋" w:eastAsia="仿宋" w:cs="仿宋"/>
                <w:sz w:val="24"/>
                <w:szCs w:val="24"/>
              </w:rPr>
            </w:pPr>
          </w:p>
        </w:tc>
        <w:tc>
          <w:tcPr>
            <w:tcW w:w="1302" w:type="pct"/>
            <w:vMerge w:val="restart"/>
            <w:vAlign w:val="center"/>
          </w:tcPr>
          <w:p w14:paraId="6CADAD5E">
            <w:pPr>
              <w:jc w:val="center"/>
              <w:rPr>
                <w:rFonts w:hint="eastAsia" w:ascii="仿宋" w:hAnsi="仿宋" w:eastAsia="仿宋"/>
                <w:sz w:val="24"/>
                <w:szCs w:val="24"/>
              </w:rPr>
            </w:pPr>
            <w:r>
              <w:rPr>
                <w:rFonts w:hint="eastAsia" w:ascii="仿宋" w:hAnsi="仿宋" w:eastAsia="仿宋" w:cs="仿宋"/>
                <w:sz w:val="24"/>
                <w:szCs w:val="24"/>
              </w:rPr>
              <w:t>鲲鹏</w:t>
            </w:r>
            <w:r>
              <w:rPr>
                <w:rFonts w:ascii="仿宋" w:hAnsi="仿宋" w:eastAsia="仿宋" w:cs="仿宋"/>
                <w:sz w:val="24"/>
                <w:szCs w:val="24"/>
              </w:rPr>
              <w:t>源码迁移</w:t>
            </w:r>
          </w:p>
        </w:tc>
        <w:tc>
          <w:tcPr>
            <w:tcW w:w="1863" w:type="pct"/>
          </w:tcPr>
          <w:p w14:paraId="5DE0E5E9">
            <w:pPr>
              <w:ind w:firstLine="240"/>
              <w:rPr>
                <w:rFonts w:hint="eastAsia" w:ascii="仿宋" w:hAnsi="仿宋" w:eastAsia="仿宋"/>
                <w:sz w:val="24"/>
                <w:szCs w:val="24"/>
              </w:rPr>
            </w:pPr>
            <w:r>
              <w:rPr>
                <w:rFonts w:ascii="仿宋" w:hAnsi="仿宋" w:eastAsia="仿宋"/>
                <w:sz w:val="24"/>
                <w:szCs w:val="24"/>
              </w:rPr>
              <w:t>环境准备与工具部署</w:t>
            </w:r>
          </w:p>
        </w:tc>
        <w:tc>
          <w:tcPr>
            <w:tcW w:w="525" w:type="pct"/>
            <w:vMerge w:val="restart"/>
            <w:vAlign w:val="center"/>
          </w:tcPr>
          <w:p w14:paraId="17E0F1BD">
            <w:pPr>
              <w:ind w:firstLine="240"/>
              <w:jc w:val="center"/>
              <w:rPr>
                <w:rFonts w:hint="eastAsia" w:ascii="仿宋" w:hAnsi="仿宋" w:eastAsia="仿宋"/>
                <w:sz w:val="24"/>
                <w:szCs w:val="24"/>
              </w:rPr>
            </w:pPr>
            <w:r>
              <w:rPr>
                <w:rFonts w:hint="eastAsia" w:ascii="仿宋" w:hAnsi="仿宋" w:eastAsia="仿宋"/>
                <w:sz w:val="24"/>
                <w:szCs w:val="24"/>
              </w:rPr>
              <w:t>120分</w:t>
            </w:r>
          </w:p>
        </w:tc>
        <w:tc>
          <w:tcPr>
            <w:tcW w:w="652" w:type="pct"/>
            <w:vMerge w:val="continue"/>
          </w:tcPr>
          <w:p w14:paraId="2BA6AE30">
            <w:pPr>
              <w:ind w:firstLine="240"/>
              <w:rPr>
                <w:rFonts w:hint="eastAsia" w:ascii="仿宋" w:hAnsi="仿宋" w:eastAsia="仿宋"/>
                <w:sz w:val="24"/>
                <w:szCs w:val="24"/>
              </w:rPr>
            </w:pPr>
          </w:p>
        </w:tc>
      </w:tr>
      <w:tr w14:paraId="5B9CE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 w:hRule="atLeast"/>
          <w:jc w:val="center"/>
        </w:trPr>
        <w:tc>
          <w:tcPr>
            <w:tcW w:w="657" w:type="pct"/>
            <w:vMerge w:val="continue"/>
            <w:vAlign w:val="center"/>
          </w:tcPr>
          <w:p w14:paraId="0DA73CE3">
            <w:pPr>
              <w:jc w:val="center"/>
              <w:rPr>
                <w:rFonts w:hint="eastAsia" w:ascii="仿宋" w:hAnsi="仿宋" w:eastAsia="仿宋"/>
                <w:sz w:val="24"/>
                <w:szCs w:val="24"/>
              </w:rPr>
            </w:pPr>
          </w:p>
        </w:tc>
        <w:tc>
          <w:tcPr>
            <w:tcW w:w="1302" w:type="pct"/>
            <w:vMerge w:val="continue"/>
            <w:vAlign w:val="center"/>
          </w:tcPr>
          <w:p w14:paraId="63D78C7B">
            <w:pPr>
              <w:jc w:val="center"/>
              <w:rPr>
                <w:rFonts w:hint="eastAsia" w:ascii="仿宋" w:hAnsi="仿宋" w:eastAsia="仿宋"/>
                <w:sz w:val="24"/>
                <w:szCs w:val="24"/>
              </w:rPr>
            </w:pPr>
          </w:p>
        </w:tc>
        <w:tc>
          <w:tcPr>
            <w:tcW w:w="1863" w:type="pct"/>
          </w:tcPr>
          <w:p w14:paraId="5F35377A">
            <w:pPr>
              <w:ind w:firstLine="240"/>
              <w:rPr>
                <w:rFonts w:hint="eastAsia" w:ascii="仿宋" w:hAnsi="仿宋" w:eastAsia="仿宋"/>
                <w:sz w:val="24"/>
                <w:szCs w:val="24"/>
              </w:rPr>
            </w:pPr>
            <w:r>
              <w:rPr>
                <w:rFonts w:ascii="仿宋" w:hAnsi="仿宋" w:eastAsia="仿宋"/>
                <w:sz w:val="24"/>
                <w:szCs w:val="24"/>
              </w:rPr>
              <w:t>源代码分析与迁移</w:t>
            </w:r>
          </w:p>
        </w:tc>
        <w:tc>
          <w:tcPr>
            <w:tcW w:w="525" w:type="pct"/>
            <w:vMerge w:val="continue"/>
            <w:vAlign w:val="center"/>
          </w:tcPr>
          <w:p w14:paraId="179E39A3">
            <w:pPr>
              <w:ind w:firstLine="240"/>
              <w:jc w:val="center"/>
              <w:rPr>
                <w:rFonts w:hint="eastAsia" w:ascii="仿宋" w:hAnsi="仿宋" w:eastAsia="仿宋"/>
                <w:sz w:val="24"/>
                <w:szCs w:val="24"/>
              </w:rPr>
            </w:pPr>
          </w:p>
        </w:tc>
        <w:tc>
          <w:tcPr>
            <w:tcW w:w="652" w:type="pct"/>
            <w:vMerge w:val="continue"/>
          </w:tcPr>
          <w:p w14:paraId="2C15CE6D">
            <w:pPr>
              <w:ind w:firstLine="240"/>
              <w:rPr>
                <w:rFonts w:hint="eastAsia" w:ascii="仿宋" w:hAnsi="仿宋" w:eastAsia="仿宋"/>
                <w:sz w:val="24"/>
                <w:szCs w:val="24"/>
              </w:rPr>
            </w:pPr>
          </w:p>
        </w:tc>
      </w:tr>
      <w:tr w14:paraId="51C8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vMerge w:val="continue"/>
            <w:vAlign w:val="center"/>
          </w:tcPr>
          <w:p w14:paraId="2D1DE274">
            <w:pPr>
              <w:jc w:val="center"/>
              <w:rPr>
                <w:rFonts w:hint="eastAsia" w:ascii="仿宋" w:hAnsi="仿宋" w:eastAsia="仿宋"/>
                <w:sz w:val="24"/>
                <w:szCs w:val="24"/>
              </w:rPr>
            </w:pPr>
          </w:p>
        </w:tc>
        <w:tc>
          <w:tcPr>
            <w:tcW w:w="1302" w:type="pct"/>
            <w:vMerge w:val="continue"/>
            <w:vAlign w:val="center"/>
          </w:tcPr>
          <w:p w14:paraId="6E854C63">
            <w:pPr>
              <w:jc w:val="center"/>
              <w:rPr>
                <w:rFonts w:hint="eastAsia" w:ascii="仿宋" w:hAnsi="仿宋" w:eastAsia="仿宋"/>
                <w:sz w:val="24"/>
                <w:szCs w:val="24"/>
              </w:rPr>
            </w:pPr>
          </w:p>
        </w:tc>
        <w:tc>
          <w:tcPr>
            <w:tcW w:w="1863" w:type="pct"/>
          </w:tcPr>
          <w:p w14:paraId="0AD0606A">
            <w:pPr>
              <w:ind w:firstLine="240"/>
              <w:rPr>
                <w:rFonts w:hint="eastAsia" w:ascii="仿宋" w:hAnsi="仿宋" w:eastAsia="仿宋"/>
                <w:sz w:val="24"/>
                <w:szCs w:val="24"/>
              </w:rPr>
            </w:pPr>
            <w:r>
              <w:rPr>
                <w:rFonts w:ascii="仿宋" w:hAnsi="仿宋" w:eastAsia="仿宋"/>
                <w:sz w:val="24"/>
                <w:szCs w:val="24"/>
              </w:rPr>
              <w:t>构建与编译验证</w:t>
            </w:r>
          </w:p>
        </w:tc>
        <w:tc>
          <w:tcPr>
            <w:tcW w:w="525" w:type="pct"/>
            <w:vMerge w:val="continue"/>
            <w:vAlign w:val="center"/>
          </w:tcPr>
          <w:p w14:paraId="770F6C17">
            <w:pPr>
              <w:ind w:firstLine="240"/>
              <w:jc w:val="center"/>
              <w:rPr>
                <w:rFonts w:hint="eastAsia" w:ascii="仿宋" w:hAnsi="仿宋" w:eastAsia="仿宋"/>
                <w:sz w:val="24"/>
                <w:szCs w:val="24"/>
              </w:rPr>
            </w:pPr>
          </w:p>
        </w:tc>
        <w:tc>
          <w:tcPr>
            <w:tcW w:w="652" w:type="pct"/>
            <w:vMerge w:val="continue"/>
          </w:tcPr>
          <w:p w14:paraId="25B2A74B">
            <w:pPr>
              <w:ind w:firstLine="240"/>
              <w:rPr>
                <w:rFonts w:hint="eastAsia" w:ascii="仿宋" w:hAnsi="仿宋" w:eastAsia="仿宋"/>
                <w:sz w:val="24"/>
                <w:szCs w:val="24"/>
              </w:rPr>
            </w:pPr>
          </w:p>
        </w:tc>
      </w:tr>
      <w:tr w14:paraId="492F9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vMerge w:val="continue"/>
            <w:vAlign w:val="center"/>
          </w:tcPr>
          <w:p w14:paraId="1907CE80">
            <w:pPr>
              <w:jc w:val="center"/>
              <w:rPr>
                <w:rFonts w:hint="eastAsia" w:ascii="仿宋" w:hAnsi="仿宋" w:eastAsia="仿宋"/>
                <w:sz w:val="24"/>
                <w:szCs w:val="24"/>
              </w:rPr>
            </w:pPr>
          </w:p>
        </w:tc>
        <w:tc>
          <w:tcPr>
            <w:tcW w:w="1302" w:type="pct"/>
            <w:vMerge w:val="continue"/>
            <w:vAlign w:val="center"/>
          </w:tcPr>
          <w:p w14:paraId="5B89CC81">
            <w:pPr>
              <w:jc w:val="center"/>
              <w:rPr>
                <w:rFonts w:hint="eastAsia" w:ascii="仿宋" w:hAnsi="仿宋" w:eastAsia="仿宋"/>
                <w:sz w:val="24"/>
                <w:szCs w:val="24"/>
              </w:rPr>
            </w:pPr>
          </w:p>
        </w:tc>
        <w:tc>
          <w:tcPr>
            <w:tcW w:w="1863" w:type="pct"/>
          </w:tcPr>
          <w:p w14:paraId="5077600E">
            <w:pPr>
              <w:ind w:firstLine="240"/>
              <w:rPr>
                <w:rFonts w:hint="eastAsia" w:ascii="仿宋" w:hAnsi="仿宋" w:eastAsia="仿宋"/>
                <w:sz w:val="24"/>
                <w:szCs w:val="24"/>
              </w:rPr>
            </w:pPr>
            <w:r>
              <w:rPr>
                <w:rFonts w:ascii="仿宋" w:hAnsi="仿宋" w:eastAsia="仿宋"/>
                <w:sz w:val="24"/>
                <w:szCs w:val="24"/>
              </w:rPr>
              <w:t>应用部署与验证</w:t>
            </w:r>
          </w:p>
        </w:tc>
        <w:tc>
          <w:tcPr>
            <w:tcW w:w="525" w:type="pct"/>
            <w:vMerge w:val="continue"/>
            <w:vAlign w:val="center"/>
          </w:tcPr>
          <w:p w14:paraId="0EACE835">
            <w:pPr>
              <w:ind w:firstLine="240"/>
              <w:jc w:val="center"/>
              <w:rPr>
                <w:rFonts w:hint="eastAsia" w:ascii="仿宋" w:hAnsi="仿宋" w:eastAsia="仿宋"/>
                <w:sz w:val="24"/>
                <w:szCs w:val="24"/>
              </w:rPr>
            </w:pPr>
          </w:p>
        </w:tc>
        <w:tc>
          <w:tcPr>
            <w:tcW w:w="652" w:type="pct"/>
            <w:vMerge w:val="continue"/>
          </w:tcPr>
          <w:p w14:paraId="1A54FB0B">
            <w:pPr>
              <w:ind w:firstLine="240"/>
              <w:rPr>
                <w:rFonts w:hint="eastAsia" w:ascii="仿宋" w:hAnsi="仿宋" w:eastAsia="仿宋"/>
                <w:sz w:val="24"/>
                <w:szCs w:val="24"/>
              </w:rPr>
            </w:pPr>
          </w:p>
        </w:tc>
      </w:tr>
      <w:tr w14:paraId="09275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vMerge w:val="continue"/>
            <w:vAlign w:val="center"/>
          </w:tcPr>
          <w:p w14:paraId="42567BD1">
            <w:pPr>
              <w:jc w:val="center"/>
              <w:rPr>
                <w:rFonts w:hint="eastAsia" w:ascii="仿宋" w:hAnsi="仿宋" w:eastAsia="仿宋" w:cs="仿宋"/>
                <w:sz w:val="24"/>
                <w:szCs w:val="24"/>
              </w:rPr>
            </w:pPr>
          </w:p>
        </w:tc>
        <w:tc>
          <w:tcPr>
            <w:tcW w:w="1302" w:type="pct"/>
            <w:vMerge w:val="restart"/>
            <w:vAlign w:val="center"/>
          </w:tcPr>
          <w:p w14:paraId="0AD8C9FC">
            <w:pPr>
              <w:jc w:val="center"/>
              <w:rPr>
                <w:rFonts w:hint="eastAsia" w:ascii="仿宋" w:hAnsi="仿宋" w:eastAsia="仿宋"/>
                <w:sz w:val="24"/>
                <w:szCs w:val="24"/>
              </w:rPr>
            </w:pPr>
            <w:r>
              <w:rPr>
                <w:rFonts w:hint="eastAsia" w:ascii="仿宋" w:hAnsi="仿宋" w:eastAsia="仿宋" w:cs="仿宋"/>
                <w:sz w:val="24"/>
                <w:szCs w:val="24"/>
              </w:rPr>
              <w:t>鲲鹏业务部署</w:t>
            </w:r>
          </w:p>
        </w:tc>
        <w:tc>
          <w:tcPr>
            <w:tcW w:w="1863" w:type="pct"/>
          </w:tcPr>
          <w:p w14:paraId="39C97FD8">
            <w:pPr>
              <w:ind w:firstLine="240"/>
              <w:rPr>
                <w:rFonts w:hint="eastAsia" w:ascii="仿宋" w:hAnsi="仿宋" w:eastAsia="仿宋"/>
                <w:sz w:val="24"/>
                <w:szCs w:val="24"/>
              </w:rPr>
            </w:pPr>
            <w:r>
              <w:rPr>
                <w:rFonts w:ascii="仿宋" w:hAnsi="仿宋" w:eastAsia="仿宋"/>
                <w:sz w:val="24"/>
                <w:szCs w:val="24"/>
              </w:rPr>
              <w:t>数据库初始化</w:t>
            </w:r>
          </w:p>
        </w:tc>
        <w:tc>
          <w:tcPr>
            <w:tcW w:w="525" w:type="pct"/>
            <w:vMerge w:val="restart"/>
            <w:vAlign w:val="center"/>
          </w:tcPr>
          <w:p w14:paraId="023A5D43">
            <w:pPr>
              <w:ind w:firstLine="240"/>
              <w:jc w:val="center"/>
              <w:rPr>
                <w:rFonts w:hint="eastAsia" w:ascii="仿宋" w:hAnsi="仿宋" w:eastAsia="仿宋"/>
                <w:sz w:val="24"/>
                <w:szCs w:val="24"/>
              </w:rPr>
            </w:pPr>
            <w:r>
              <w:rPr>
                <w:rFonts w:hint="eastAsia" w:ascii="仿宋" w:hAnsi="仿宋" w:eastAsia="仿宋"/>
                <w:sz w:val="24"/>
                <w:szCs w:val="24"/>
              </w:rPr>
              <w:t>120分</w:t>
            </w:r>
          </w:p>
        </w:tc>
        <w:tc>
          <w:tcPr>
            <w:tcW w:w="652" w:type="pct"/>
            <w:vMerge w:val="continue"/>
          </w:tcPr>
          <w:p w14:paraId="14187403">
            <w:pPr>
              <w:ind w:firstLine="240"/>
              <w:rPr>
                <w:rFonts w:hint="eastAsia" w:ascii="仿宋" w:hAnsi="仿宋" w:eastAsia="仿宋"/>
                <w:sz w:val="24"/>
                <w:szCs w:val="24"/>
              </w:rPr>
            </w:pPr>
          </w:p>
        </w:tc>
      </w:tr>
      <w:tr w14:paraId="2D57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vMerge w:val="continue"/>
            <w:vAlign w:val="center"/>
          </w:tcPr>
          <w:p w14:paraId="4483F86B">
            <w:pPr>
              <w:jc w:val="center"/>
              <w:rPr>
                <w:rFonts w:hint="eastAsia" w:ascii="仿宋" w:hAnsi="仿宋" w:eastAsia="仿宋"/>
                <w:sz w:val="24"/>
                <w:szCs w:val="24"/>
              </w:rPr>
            </w:pPr>
          </w:p>
        </w:tc>
        <w:tc>
          <w:tcPr>
            <w:tcW w:w="1302" w:type="pct"/>
            <w:vMerge w:val="continue"/>
            <w:vAlign w:val="center"/>
          </w:tcPr>
          <w:p w14:paraId="15DDFB16">
            <w:pPr>
              <w:jc w:val="center"/>
              <w:rPr>
                <w:rFonts w:hint="eastAsia" w:ascii="仿宋" w:hAnsi="仿宋" w:eastAsia="仿宋"/>
                <w:sz w:val="24"/>
                <w:szCs w:val="24"/>
              </w:rPr>
            </w:pPr>
          </w:p>
        </w:tc>
        <w:tc>
          <w:tcPr>
            <w:tcW w:w="1863" w:type="pct"/>
          </w:tcPr>
          <w:p w14:paraId="7FF64924">
            <w:pPr>
              <w:ind w:firstLine="240"/>
              <w:rPr>
                <w:rFonts w:hint="eastAsia" w:ascii="仿宋" w:hAnsi="仿宋" w:eastAsia="仿宋"/>
                <w:sz w:val="24"/>
                <w:szCs w:val="24"/>
              </w:rPr>
            </w:pPr>
            <w:r>
              <w:rPr>
                <w:rFonts w:ascii="仿宋" w:hAnsi="仿宋" w:eastAsia="仿宋"/>
                <w:sz w:val="24"/>
                <w:szCs w:val="24"/>
              </w:rPr>
              <w:t>应用软件包移植</w:t>
            </w:r>
          </w:p>
        </w:tc>
        <w:tc>
          <w:tcPr>
            <w:tcW w:w="525" w:type="pct"/>
            <w:vMerge w:val="continue"/>
            <w:vAlign w:val="center"/>
          </w:tcPr>
          <w:p w14:paraId="2660D53A">
            <w:pPr>
              <w:ind w:firstLine="240"/>
              <w:jc w:val="center"/>
              <w:rPr>
                <w:rFonts w:hint="eastAsia" w:ascii="仿宋" w:hAnsi="仿宋" w:eastAsia="仿宋"/>
                <w:sz w:val="24"/>
                <w:szCs w:val="24"/>
              </w:rPr>
            </w:pPr>
          </w:p>
        </w:tc>
        <w:tc>
          <w:tcPr>
            <w:tcW w:w="652" w:type="pct"/>
            <w:vMerge w:val="continue"/>
          </w:tcPr>
          <w:p w14:paraId="6BE0E251">
            <w:pPr>
              <w:ind w:firstLine="240"/>
              <w:rPr>
                <w:rFonts w:hint="eastAsia" w:ascii="仿宋" w:hAnsi="仿宋" w:eastAsia="仿宋"/>
                <w:sz w:val="24"/>
                <w:szCs w:val="24"/>
              </w:rPr>
            </w:pPr>
          </w:p>
        </w:tc>
      </w:tr>
      <w:tr w14:paraId="6AA6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vMerge w:val="continue"/>
            <w:vAlign w:val="center"/>
          </w:tcPr>
          <w:p w14:paraId="043AD9F7">
            <w:pPr>
              <w:jc w:val="center"/>
              <w:rPr>
                <w:rFonts w:hint="eastAsia" w:ascii="仿宋" w:hAnsi="仿宋" w:eastAsia="仿宋"/>
                <w:sz w:val="24"/>
                <w:szCs w:val="24"/>
              </w:rPr>
            </w:pPr>
          </w:p>
        </w:tc>
        <w:tc>
          <w:tcPr>
            <w:tcW w:w="1302" w:type="pct"/>
            <w:vMerge w:val="continue"/>
            <w:vAlign w:val="center"/>
          </w:tcPr>
          <w:p w14:paraId="60C884F0">
            <w:pPr>
              <w:jc w:val="center"/>
              <w:rPr>
                <w:rFonts w:hint="eastAsia" w:ascii="仿宋" w:hAnsi="仿宋" w:eastAsia="仿宋"/>
                <w:sz w:val="24"/>
                <w:szCs w:val="24"/>
              </w:rPr>
            </w:pPr>
          </w:p>
        </w:tc>
        <w:tc>
          <w:tcPr>
            <w:tcW w:w="1863" w:type="pct"/>
          </w:tcPr>
          <w:p w14:paraId="07A0CB79">
            <w:pPr>
              <w:ind w:firstLine="240"/>
              <w:rPr>
                <w:rFonts w:hint="eastAsia" w:ascii="仿宋" w:hAnsi="仿宋" w:eastAsia="仿宋"/>
                <w:sz w:val="24"/>
                <w:szCs w:val="24"/>
              </w:rPr>
            </w:pPr>
            <w:r>
              <w:rPr>
                <w:rFonts w:ascii="仿宋" w:hAnsi="仿宋" w:eastAsia="仿宋"/>
                <w:sz w:val="24"/>
                <w:szCs w:val="24"/>
              </w:rPr>
              <w:t>业务服务部署</w:t>
            </w:r>
          </w:p>
        </w:tc>
        <w:tc>
          <w:tcPr>
            <w:tcW w:w="525" w:type="pct"/>
            <w:vMerge w:val="continue"/>
            <w:vAlign w:val="center"/>
          </w:tcPr>
          <w:p w14:paraId="3EAAA418">
            <w:pPr>
              <w:ind w:firstLine="240"/>
              <w:jc w:val="center"/>
              <w:rPr>
                <w:rFonts w:hint="eastAsia" w:ascii="仿宋" w:hAnsi="仿宋" w:eastAsia="仿宋"/>
                <w:sz w:val="24"/>
                <w:szCs w:val="24"/>
              </w:rPr>
            </w:pPr>
          </w:p>
        </w:tc>
        <w:tc>
          <w:tcPr>
            <w:tcW w:w="652" w:type="pct"/>
            <w:vMerge w:val="continue"/>
          </w:tcPr>
          <w:p w14:paraId="3365FCF8">
            <w:pPr>
              <w:ind w:firstLine="240"/>
              <w:rPr>
                <w:rFonts w:hint="eastAsia" w:ascii="仿宋" w:hAnsi="仿宋" w:eastAsia="仿宋"/>
                <w:sz w:val="24"/>
                <w:szCs w:val="24"/>
              </w:rPr>
            </w:pPr>
          </w:p>
        </w:tc>
      </w:tr>
      <w:tr w14:paraId="3770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vMerge w:val="continue"/>
            <w:vAlign w:val="center"/>
          </w:tcPr>
          <w:p w14:paraId="10435426">
            <w:pPr>
              <w:jc w:val="center"/>
              <w:rPr>
                <w:rFonts w:hint="eastAsia" w:ascii="仿宋" w:hAnsi="仿宋" w:eastAsia="仿宋"/>
                <w:sz w:val="24"/>
                <w:szCs w:val="24"/>
              </w:rPr>
            </w:pPr>
          </w:p>
        </w:tc>
        <w:tc>
          <w:tcPr>
            <w:tcW w:w="1302" w:type="pct"/>
            <w:vMerge w:val="continue"/>
            <w:vAlign w:val="center"/>
          </w:tcPr>
          <w:p w14:paraId="01FFFA71">
            <w:pPr>
              <w:jc w:val="center"/>
              <w:rPr>
                <w:rFonts w:hint="eastAsia" w:ascii="仿宋" w:hAnsi="仿宋" w:eastAsia="仿宋"/>
                <w:sz w:val="24"/>
                <w:szCs w:val="24"/>
              </w:rPr>
            </w:pPr>
          </w:p>
        </w:tc>
        <w:tc>
          <w:tcPr>
            <w:tcW w:w="1863" w:type="pct"/>
          </w:tcPr>
          <w:p w14:paraId="54378336">
            <w:pPr>
              <w:ind w:firstLine="240"/>
              <w:rPr>
                <w:rFonts w:hint="eastAsia" w:ascii="仿宋" w:hAnsi="仿宋" w:eastAsia="仿宋"/>
                <w:sz w:val="24"/>
                <w:szCs w:val="24"/>
              </w:rPr>
            </w:pPr>
            <w:r>
              <w:rPr>
                <w:rFonts w:ascii="仿宋" w:hAnsi="仿宋" w:eastAsia="仿宋"/>
                <w:sz w:val="24"/>
                <w:szCs w:val="24"/>
              </w:rPr>
              <w:t>安全加固与优化</w:t>
            </w:r>
          </w:p>
        </w:tc>
        <w:tc>
          <w:tcPr>
            <w:tcW w:w="525" w:type="pct"/>
            <w:vMerge w:val="continue"/>
            <w:vAlign w:val="center"/>
          </w:tcPr>
          <w:p w14:paraId="70B1975E">
            <w:pPr>
              <w:ind w:firstLine="240"/>
              <w:jc w:val="center"/>
              <w:rPr>
                <w:rFonts w:hint="eastAsia" w:ascii="仿宋" w:hAnsi="仿宋" w:eastAsia="仿宋"/>
                <w:sz w:val="24"/>
                <w:szCs w:val="24"/>
              </w:rPr>
            </w:pPr>
          </w:p>
        </w:tc>
        <w:tc>
          <w:tcPr>
            <w:tcW w:w="652" w:type="pct"/>
            <w:vMerge w:val="continue"/>
          </w:tcPr>
          <w:p w14:paraId="6808DF71">
            <w:pPr>
              <w:ind w:firstLine="240"/>
              <w:rPr>
                <w:rFonts w:hint="eastAsia" w:ascii="仿宋" w:hAnsi="仿宋" w:eastAsia="仿宋"/>
                <w:sz w:val="24"/>
                <w:szCs w:val="24"/>
              </w:rPr>
            </w:pPr>
          </w:p>
        </w:tc>
      </w:tr>
      <w:tr w14:paraId="0AFA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 w:hRule="atLeast"/>
          <w:jc w:val="center"/>
        </w:trPr>
        <w:tc>
          <w:tcPr>
            <w:tcW w:w="657" w:type="pct"/>
            <w:vMerge w:val="continue"/>
          </w:tcPr>
          <w:p w14:paraId="7F72A2AA">
            <w:pPr>
              <w:jc w:val="center"/>
              <w:rPr>
                <w:rFonts w:hint="eastAsia" w:ascii="仿宋" w:hAnsi="仿宋" w:eastAsia="仿宋" w:cs="仿宋"/>
                <w:sz w:val="24"/>
                <w:szCs w:val="24"/>
              </w:rPr>
            </w:pPr>
          </w:p>
        </w:tc>
        <w:tc>
          <w:tcPr>
            <w:tcW w:w="1302" w:type="pct"/>
            <w:vMerge w:val="restart"/>
            <w:vAlign w:val="center"/>
          </w:tcPr>
          <w:p w14:paraId="6BD761E5">
            <w:pPr>
              <w:jc w:val="center"/>
              <w:rPr>
                <w:rFonts w:hint="eastAsia" w:ascii="仿宋" w:hAnsi="仿宋" w:eastAsia="仿宋"/>
                <w:sz w:val="24"/>
                <w:szCs w:val="24"/>
              </w:rPr>
            </w:pPr>
            <w:r>
              <w:rPr>
                <w:rFonts w:hint="eastAsia" w:ascii="仿宋" w:hAnsi="仿宋" w:eastAsia="仿宋" w:cs="仿宋"/>
                <w:sz w:val="24"/>
                <w:szCs w:val="24"/>
              </w:rPr>
              <w:t>鲲鹏性能优化</w:t>
            </w:r>
          </w:p>
        </w:tc>
        <w:tc>
          <w:tcPr>
            <w:tcW w:w="1863" w:type="pct"/>
          </w:tcPr>
          <w:p w14:paraId="40D37E0F">
            <w:pPr>
              <w:ind w:firstLine="240"/>
              <w:rPr>
                <w:rFonts w:hint="eastAsia" w:ascii="仿宋" w:hAnsi="仿宋" w:eastAsia="仿宋"/>
                <w:sz w:val="24"/>
                <w:szCs w:val="24"/>
              </w:rPr>
            </w:pPr>
            <w:r>
              <w:rPr>
                <w:rFonts w:ascii="仿宋" w:hAnsi="仿宋" w:eastAsia="仿宋"/>
                <w:sz w:val="24"/>
                <w:szCs w:val="24"/>
              </w:rPr>
              <w:t>性能分析与</w:t>
            </w:r>
            <w:r>
              <w:rPr>
                <w:rFonts w:hint="eastAsia" w:ascii="仿宋" w:hAnsi="仿宋" w:eastAsia="仿宋"/>
                <w:sz w:val="24"/>
                <w:szCs w:val="24"/>
              </w:rPr>
              <w:t>定位</w:t>
            </w:r>
          </w:p>
        </w:tc>
        <w:tc>
          <w:tcPr>
            <w:tcW w:w="525" w:type="pct"/>
            <w:vMerge w:val="restart"/>
          </w:tcPr>
          <w:p w14:paraId="0C97E6A2">
            <w:pPr>
              <w:ind w:firstLine="240"/>
              <w:jc w:val="center"/>
              <w:rPr>
                <w:rFonts w:hint="eastAsia" w:ascii="仿宋" w:hAnsi="仿宋" w:eastAsia="仿宋"/>
                <w:sz w:val="24"/>
                <w:szCs w:val="24"/>
              </w:rPr>
            </w:pPr>
          </w:p>
          <w:p w14:paraId="3A779EE2">
            <w:pPr>
              <w:ind w:firstLine="240"/>
              <w:jc w:val="center"/>
              <w:rPr>
                <w:rFonts w:hint="eastAsia" w:ascii="仿宋" w:hAnsi="仿宋" w:eastAsia="仿宋"/>
                <w:sz w:val="24"/>
                <w:szCs w:val="24"/>
              </w:rPr>
            </w:pPr>
          </w:p>
          <w:p w14:paraId="1A170943">
            <w:pPr>
              <w:ind w:firstLine="240"/>
              <w:jc w:val="center"/>
              <w:rPr>
                <w:rFonts w:hint="eastAsia" w:ascii="仿宋" w:hAnsi="仿宋" w:eastAsia="仿宋"/>
                <w:sz w:val="24"/>
                <w:szCs w:val="24"/>
              </w:rPr>
            </w:pPr>
            <w:r>
              <w:rPr>
                <w:rFonts w:hint="eastAsia" w:ascii="仿宋" w:hAnsi="仿宋" w:eastAsia="仿宋"/>
                <w:sz w:val="24"/>
                <w:szCs w:val="24"/>
              </w:rPr>
              <w:t>80分</w:t>
            </w:r>
          </w:p>
        </w:tc>
        <w:tc>
          <w:tcPr>
            <w:tcW w:w="652" w:type="pct"/>
            <w:vMerge w:val="continue"/>
          </w:tcPr>
          <w:p w14:paraId="00CB1BEC">
            <w:pPr>
              <w:ind w:firstLine="240"/>
              <w:rPr>
                <w:rFonts w:hint="eastAsia" w:ascii="仿宋" w:hAnsi="仿宋" w:eastAsia="仿宋"/>
                <w:sz w:val="24"/>
                <w:szCs w:val="24"/>
              </w:rPr>
            </w:pPr>
          </w:p>
        </w:tc>
      </w:tr>
      <w:tr w14:paraId="66935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 w:hRule="atLeast"/>
          <w:jc w:val="center"/>
        </w:trPr>
        <w:tc>
          <w:tcPr>
            <w:tcW w:w="657" w:type="pct"/>
            <w:vMerge w:val="continue"/>
          </w:tcPr>
          <w:p w14:paraId="5361A158">
            <w:pPr>
              <w:jc w:val="center"/>
              <w:rPr>
                <w:rFonts w:hint="eastAsia" w:ascii="仿宋" w:hAnsi="仿宋" w:eastAsia="仿宋"/>
                <w:sz w:val="24"/>
                <w:szCs w:val="24"/>
              </w:rPr>
            </w:pPr>
          </w:p>
        </w:tc>
        <w:tc>
          <w:tcPr>
            <w:tcW w:w="1302" w:type="pct"/>
            <w:vMerge w:val="continue"/>
          </w:tcPr>
          <w:p w14:paraId="6377911C">
            <w:pPr>
              <w:jc w:val="center"/>
              <w:rPr>
                <w:rFonts w:hint="eastAsia" w:ascii="仿宋" w:hAnsi="仿宋" w:eastAsia="仿宋"/>
                <w:sz w:val="24"/>
                <w:szCs w:val="24"/>
              </w:rPr>
            </w:pPr>
          </w:p>
        </w:tc>
        <w:tc>
          <w:tcPr>
            <w:tcW w:w="1863" w:type="pct"/>
          </w:tcPr>
          <w:p w14:paraId="7D06C31F">
            <w:pPr>
              <w:ind w:firstLine="240"/>
              <w:rPr>
                <w:rFonts w:hint="eastAsia" w:ascii="仿宋" w:hAnsi="仿宋" w:eastAsia="仿宋"/>
                <w:sz w:val="24"/>
                <w:szCs w:val="24"/>
              </w:rPr>
            </w:pPr>
            <w:r>
              <w:rPr>
                <w:rFonts w:ascii="仿宋" w:hAnsi="仿宋" w:eastAsia="仿宋"/>
                <w:sz w:val="24"/>
                <w:szCs w:val="24"/>
              </w:rPr>
              <w:t>操作系统与内核调优</w:t>
            </w:r>
          </w:p>
        </w:tc>
        <w:tc>
          <w:tcPr>
            <w:tcW w:w="525" w:type="pct"/>
            <w:vMerge w:val="continue"/>
          </w:tcPr>
          <w:p w14:paraId="0778884E">
            <w:pPr>
              <w:ind w:firstLine="240"/>
              <w:jc w:val="center"/>
              <w:rPr>
                <w:rFonts w:hint="eastAsia" w:ascii="仿宋" w:hAnsi="仿宋" w:eastAsia="仿宋"/>
                <w:sz w:val="24"/>
                <w:szCs w:val="24"/>
              </w:rPr>
            </w:pPr>
          </w:p>
        </w:tc>
        <w:tc>
          <w:tcPr>
            <w:tcW w:w="652" w:type="pct"/>
            <w:vMerge w:val="continue"/>
          </w:tcPr>
          <w:p w14:paraId="3611DE8B">
            <w:pPr>
              <w:ind w:firstLine="240"/>
              <w:rPr>
                <w:rFonts w:hint="eastAsia" w:ascii="仿宋" w:hAnsi="仿宋" w:eastAsia="仿宋"/>
                <w:sz w:val="24"/>
                <w:szCs w:val="24"/>
              </w:rPr>
            </w:pPr>
          </w:p>
        </w:tc>
      </w:tr>
      <w:tr w14:paraId="4C99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atLeast"/>
          <w:jc w:val="center"/>
        </w:trPr>
        <w:tc>
          <w:tcPr>
            <w:tcW w:w="657" w:type="pct"/>
            <w:vMerge w:val="continue"/>
          </w:tcPr>
          <w:p w14:paraId="3E398BDA">
            <w:pPr>
              <w:jc w:val="center"/>
              <w:rPr>
                <w:rFonts w:hint="eastAsia" w:ascii="仿宋" w:hAnsi="仿宋" w:eastAsia="仿宋"/>
                <w:sz w:val="24"/>
                <w:szCs w:val="24"/>
              </w:rPr>
            </w:pPr>
          </w:p>
        </w:tc>
        <w:tc>
          <w:tcPr>
            <w:tcW w:w="1302" w:type="pct"/>
            <w:vMerge w:val="continue"/>
          </w:tcPr>
          <w:p w14:paraId="40B7095B">
            <w:pPr>
              <w:jc w:val="center"/>
              <w:rPr>
                <w:rFonts w:hint="eastAsia" w:ascii="仿宋" w:hAnsi="仿宋" w:eastAsia="仿宋"/>
                <w:sz w:val="24"/>
                <w:szCs w:val="24"/>
              </w:rPr>
            </w:pPr>
          </w:p>
        </w:tc>
        <w:tc>
          <w:tcPr>
            <w:tcW w:w="1863" w:type="pct"/>
          </w:tcPr>
          <w:p w14:paraId="48EEB5C2">
            <w:pPr>
              <w:ind w:firstLine="240"/>
              <w:rPr>
                <w:rFonts w:hint="eastAsia" w:ascii="仿宋" w:hAnsi="仿宋" w:eastAsia="仿宋"/>
                <w:sz w:val="24"/>
                <w:szCs w:val="24"/>
              </w:rPr>
            </w:pPr>
            <w:r>
              <w:rPr>
                <w:rFonts w:hint="eastAsia" w:ascii="仿宋" w:hAnsi="仿宋" w:eastAsia="仿宋"/>
                <w:sz w:val="24"/>
                <w:szCs w:val="24"/>
              </w:rPr>
              <w:t>数据库业务性能优化</w:t>
            </w:r>
          </w:p>
        </w:tc>
        <w:tc>
          <w:tcPr>
            <w:tcW w:w="525" w:type="pct"/>
            <w:vMerge w:val="continue"/>
          </w:tcPr>
          <w:p w14:paraId="08BFBB2E">
            <w:pPr>
              <w:ind w:firstLine="240"/>
              <w:jc w:val="center"/>
              <w:rPr>
                <w:rFonts w:hint="eastAsia" w:ascii="仿宋" w:hAnsi="仿宋" w:eastAsia="仿宋"/>
                <w:sz w:val="24"/>
                <w:szCs w:val="24"/>
              </w:rPr>
            </w:pPr>
          </w:p>
        </w:tc>
        <w:tc>
          <w:tcPr>
            <w:tcW w:w="652" w:type="pct"/>
            <w:vMerge w:val="continue"/>
          </w:tcPr>
          <w:p w14:paraId="3E7C962C">
            <w:pPr>
              <w:ind w:firstLine="240"/>
              <w:rPr>
                <w:rFonts w:hint="eastAsia" w:ascii="仿宋" w:hAnsi="仿宋" w:eastAsia="仿宋"/>
                <w:sz w:val="24"/>
                <w:szCs w:val="24"/>
              </w:rPr>
            </w:pPr>
          </w:p>
        </w:tc>
      </w:tr>
      <w:tr w14:paraId="541E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vMerge w:val="continue"/>
          </w:tcPr>
          <w:p w14:paraId="493BDBB2">
            <w:pPr>
              <w:jc w:val="center"/>
              <w:rPr>
                <w:rFonts w:hint="eastAsia" w:ascii="仿宋" w:hAnsi="仿宋" w:eastAsia="仿宋"/>
                <w:sz w:val="24"/>
                <w:szCs w:val="24"/>
              </w:rPr>
            </w:pPr>
          </w:p>
        </w:tc>
        <w:tc>
          <w:tcPr>
            <w:tcW w:w="1302" w:type="pct"/>
            <w:vMerge w:val="continue"/>
          </w:tcPr>
          <w:p w14:paraId="18680818">
            <w:pPr>
              <w:jc w:val="center"/>
              <w:rPr>
                <w:rFonts w:hint="eastAsia" w:ascii="仿宋" w:hAnsi="仿宋" w:eastAsia="仿宋"/>
                <w:sz w:val="24"/>
                <w:szCs w:val="24"/>
              </w:rPr>
            </w:pPr>
          </w:p>
        </w:tc>
        <w:tc>
          <w:tcPr>
            <w:tcW w:w="1863" w:type="pct"/>
          </w:tcPr>
          <w:p w14:paraId="6A0B3EAF">
            <w:pPr>
              <w:ind w:firstLine="240"/>
              <w:rPr>
                <w:rFonts w:hint="eastAsia" w:ascii="仿宋" w:hAnsi="仿宋" w:eastAsia="仿宋"/>
                <w:sz w:val="24"/>
                <w:szCs w:val="24"/>
              </w:rPr>
            </w:pPr>
            <w:r>
              <w:rPr>
                <w:rFonts w:hint="eastAsia" w:ascii="仿宋" w:hAnsi="仿宋" w:eastAsia="仿宋"/>
                <w:sz w:val="24"/>
                <w:szCs w:val="24"/>
              </w:rPr>
              <w:t>鲲鹏</w:t>
            </w:r>
            <w:r>
              <w:rPr>
                <w:rFonts w:ascii="仿宋" w:hAnsi="仿宋" w:eastAsia="仿宋"/>
                <w:sz w:val="24"/>
                <w:szCs w:val="24"/>
              </w:rPr>
              <w:t>硬件加速</w:t>
            </w:r>
          </w:p>
        </w:tc>
        <w:tc>
          <w:tcPr>
            <w:tcW w:w="525" w:type="pct"/>
            <w:vMerge w:val="continue"/>
          </w:tcPr>
          <w:p w14:paraId="4C70A1BB">
            <w:pPr>
              <w:ind w:firstLine="240"/>
              <w:jc w:val="center"/>
              <w:rPr>
                <w:rFonts w:hint="eastAsia" w:ascii="仿宋" w:hAnsi="仿宋" w:eastAsia="仿宋"/>
                <w:sz w:val="24"/>
                <w:szCs w:val="24"/>
              </w:rPr>
            </w:pPr>
          </w:p>
        </w:tc>
        <w:tc>
          <w:tcPr>
            <w:tcW w:w="652" w:type="pct"/>
            <w:vMerge w:val="continue"/>
          </w:tcPr>
          <w:p w14:paraId="17F95AD4">
            <w:pPr>
              <w:ind w:firstLine="240"/>
              <w:rPr>
                <w:rFonts w:hint="eastAsia" w:ascii="仿宋" w:hAnsi="仿宋" w:eastAsia="仿宋"/>
                <w:sz w:val="24"/>
                <w:szCs w:val="24"/>
              </w:rPr>
            </w:pPr>
          </w:p>
        </w:tc>
      </w:tr>
      <w:tr w14:paraId="3E6E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657" w:type="pct"/>
            <w:vAlign w:val="center"/>
          </w:tcPr>
          <w:p w14:paraId="24AFD12E">
            <w:pPr>
              <w:jc w:val="center"/>
              <w:rPr>
                <w:rFonts w:hint="eastAsia" w:ascii="仿宋" w:hAnsi="仿宋" w:eastAsia="仿宋"/>
                <w:sz w:val="24"/>
                <w:szCs w:val="24"/>
              </w:rPr>
            </w:pPr>
            <w:r>
              <w:rPr>
                <w:rFonts w:hint="eastAsia" w:ascii="仿宋" w:hAnsi="仿宋" w:eastAsia="仿宋"/>
                <w:sz w:val="24"/>
                <w:szCs w:val="24"/>
              </w:rPr>
              <w:t>项目展示</w:t>
            </w:r>
          </w:p>
        </w:tc>
        <w:tc>
          <w:tcPr>
            <w:tcW w:w="1302" w:type="pct"/>
            <w:vAlign w:val="center"/>
          </w:tcPr>
          <w:p w14:paraId="07F89633">
            <w:pPr>
              <w:jc w:val="center"/>
              <w:rPr>
                <w:rFonts w:hint="eastAsia" w:ascii="仿宋" w:hAnsi="仿宋" w:eastAsia="仿宋"/>
                <w:sz w:val="24"/>
                <w:szCs w:val="24"/>
              </w:rPr>
            </w:pPr>
            <w:r>
              <w:rPr>
                <w:rFonts w:hint="eastAsia" w:ascii="仿宋" w:hAnsi="仿宋" w:eastAsia="仿宋"/>
                <w:sz w:val="24"/>
                <w:szCs w:val="24"/>
              </w:rPr>
              <w:t>项目展示</w:t>
            </w:r>
          </w:p>
        </w:tc>
        <w:tc>
          <w:tcPr>
            <w:tcW w:w="1863" w:type="pct"/>
          </w:tcPr>
          <w:p w14:paraId="66A6D6C0">
            <w:pPr>
              <w:ind w:firstLine="240"/>
              <w:rPr>
                <w:rFonts w:hint="eastAsia" w:ascii="仿宋" w:hAnsi="仿宋" w:eastAsia="仿宋"/>
                <w:sz w:val="24"/>
                <w:szCs w:val="24"/>
              </w:rPr>
            </w:pPr>
            <w:r>
              <w:rPr>
                <w:rFonts w:hint="eastAsia" w:ascii="仿宋" w:hAnsi="仿宋" w:eastAsia="仿宋"/>
                <w:sz w:val="24"/>
                <w:szCs w:val="24"/>
              </w:rPr>
              <w:t>每个项目比赛时长不超过10分钟，由参赛队伍结合所学专业和教育教学实际，围绕生产、管理、服务一线真问题、真场景，自主确定参赛项目名称，自主设计参赛项目内容，自主选择参赛设备，参赛队伍根据项目任务，按团队成员分工，同步进行技能操作和现场讲解，重点突出项目关键环节的技能操作，并进行适当讲解。须有核心技能的实践操作。展示环节使用office2016及以上版本，能确保通用软件正常播放，文件大小不超过20M。选手自行操作在现场播放。比赛过程中及项目展示材料中不可出现所在学校及选手本人的任何信息。</w:t>
            </w:r>
          </w:p>
        </w:tc>
        <w:tc>
          <w:tcPr>
            <w:tcW w:w="525" w:type="pct"/>
            <w:vAlign w:val="center"/>
          </w:tcPr>
          <w:p w14:paraId="298974BE">
            <w:pPr>
              <w:ind w:firstLine="240"/>
              <w:jc w:val="center"/>
              <w:rPr>
                <w:rFonts w:hint="eastAsia" w:ascii="仿宋" w:hAnsi="仿宋" w:eastAsia="仿宋"/>
                <w:sz w:val="24"/>
                <w:szCs w:val="24"/>
              </w:rPr>
            </w:pPr>
            <w:r>
              <w:rPr>
                <w:rFonts w:hint="eastAsia" w:ascii="仿宋" w:hAnsi="仿宋" w:eastAsia="仿宋"/>
                <w:sz w:val="24"/>
                <w:szCs w:val="24"/>
              </w:rPr>
              <w:t>100分</w:t>
            </w:r>
          </w:p>
        </w:tc>
        <w:tc>
          <w:tcPr>
            <w:tcW w:w="652" w:type="pct"/>
            <w:vAlign w:val="center"/>
          </w:tcPr>
          <w:p w14:paraId="19507391">
            <w:pPr>
              <w:ind w:firstLine="240"/>
              <w:jc w:val="center"/>
              <w:rPr>
                <w:rFonts w:hint="eastAsia" w:ascii="仿宋" w:hAnsi="仿宋" w:eastAsia="仿宋"/>
                <w:sz w:val="24"/>
                <w:szCs w:val="24"/>
              </w:rPr>
            </w:pPr>
            <w:r>
              <w:rPr>
                <w:rFonts w:hint="eastAsia" w:ascii="仿宋" w:hAnsi="仿宋" w:eastAsia="仿宋"/>
                <w:sz w:val="24"/>
                <w:szCs w:val="24"/>
              </w:rPr>
              <w:t>（每支队伍10分钟，超过10分钟，由裁判组酌情扣分）</w:t>
            </w:r>
          </w:p>
        </w:tc>
      </w:tr>
    </w:tbl>
    <w:p w14:paraId="298BD635">
      <w:pPr>
        <w:ind w:firstLine="620" w:firstLineChars="200"/>
        <w:rPr>
          <w:rFonts w:hint="eastAsia" w:ascii="仿宋" w:hAnsi="仿宋" w:eastAsia="仿宋" w:cs="仿宋"/>
          <w:spacing w:val="15"/>
          <w:sz w:val="28"/>
          <w:szCs w:val="28"/>
        </w:rPr>
      </w:pPr>
      <w:r>
        <w:rPr>
          <w:rFonts w:hint="eastAsia" w:ascii="仿宋" w:hAnsi="仿宋" w:eastAsia="仿宋" w:cs="仿宋"/>
          <w:spacing w:val="15"/>
          <w:sz w:val="28"/>
          <w:szCs w:val="28"/>
        </w:rPr>
        <w:t>（二）第二阶段项目展示评分细则如下：</w:t>
      </w:r>
    </w:p>
    <w:tbl>
      <w:tblPr>
        <w:tblStyle w:val="9"/>
        <w:tblW w:w="5639" w:type="pct"/>
        <w:tblInd w:w="-5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91"/>
        <w:gridCol w:w="6805"/>
        <w:gridCol w:w="1283"/>
      </w:tblGrid>
      <w:tr w14:paraId="3A850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88" w:type="pct"/>
            <w:tcBorders>
              <w:top w:val="single" w:color="000000" w:sz="4" w:space="0"/>
              <w:left w:val="single" w:color="000000" w:sz="4" w:space="0"/>
              <w:bottom w:val="single" w:color="000000" w:sz="4" w:space="0"/>
              <w:right w:val="single" w:color="000000" w:sz="4" w:space="0"/>
            </w:tcBorders>
            <w:vAlign w:val="center"/>
          </w:tcPr>
          <w:p w14:paraId="74A56CFE">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zCs w:val="24"/>
              </w:rPr>
            </w:pPr>
            <w:r>
              <w:rPr>
                <w:rFonts w:hint="eastAsia" w:ascii="仿宋" w:hAnsi="仿宋" w:eastAsia="仿宋" w:cs="仿宋"/>
                <w:b/>
                <w:bCs/>
                <w:spacing w:val="-7"/>
                <w:szCs w:val="24"/>
              </w:rPr>
              <w:t>评分</w:t>
            </w:r>
            <w:r>
              <w:rPr>
                <w:rFonts w:hint="eastAsia" w:ascii="仿宋" w:hAnsi="仿宋" w:eastAsia="仿宋" w:cs="仿宋"/>
                <w:b/>
                <w:bCs/>
                <w:spacing w:val="4"/>
                <w:szCs w:val="24"/>
              </w:rPr>
              <w:t>要点</w:t>
            </w:r>
          </w:p>
        </w:tc>
        <w:tc>
          <w:tcPr>
            <w:tcW w:w="3628" w:type="pct"/>
            <w:tcBorders>
              <w:top w:val="single" w:color="000000" w:sz="4" w:space="0"/>
              <w:left w:val="single" w:color="000000" w:sz="4" w:space="0"/>
              <w:bottom w:val="single" w:color="000000" w:sz="4" w:space="0"/>
              <w:right w:val="single" w:color="000000" w:sz="4" w:space="0"/>
            </w:tcBorders>
            <w:vAlign w:val="center"/>
          </w:tcPr>
          <w:p w14:paraId="09533FE4">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zCs w:val="24"/>
              </w:rPr>
            </w:pPr>
            <w:r>
              <w:rPr>
                <w:rFonts w:hint="eastAsia" w:ascii="仿宋" w:hAnsi="仿宋" w:eastAsia="仿宋" w:cs="仿宋"/>
                <w:b/>
                <w:bCs/>
                <w:spacing w:val="-5"/>
                <w:szCs w:val="24"/>
              </w:rPr>
              <w:t>评审内容</w:t>
            </w:r>
          </w:p>
        </w:tc>
        <w:tc>
          <w:tcPr>
            <w:tcW w:w="684" w:type="pct"/>
            <w:tcBorders>
              <w:top w:val="single" w:color="000000" w:sz="4" w:space="0"/>
              <w:left w:val="single" w:color="000000" w:sz="4" w:space="0"/>
              <w:bottom w:val="single" w:color="000000" w:sz="4" w:space="0"/>
              <w:right w:val="single" w:color="000000" w:sz="4" w:space="0"/>
            </w:tcBorders>
            <w:vAlign w:val="center"/>
          </w:tcPr>
          <w:p w14:paraId="59C6CBCB">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zCs w:val="24"/>
              </w:rPr>
            </w:pPr>
            <w:r>
              <w:rPr>
                <w:rFonts w:hint="eastAsia" w:ascii="仿宋" w:hAnsi="仿宋" w:eastAsia="仿宋" w:cs="仿宋"/>
                <w:b/>
                <w:bCs/>
                <w:spacing w:val="-5"/>
                <w:szCs w:val="24"/>
              </w:rPr>
              <w:t>分值占比</w:t>
            </w:r>
          </w:p>
        </w:tc>
      </w:tr>
      <w:tr w14:paraId="3E77A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88" w:type="pct"/>
            <w:tcBorders>
              <w:top w:val="single" w:color="000000" w:sz="4" w:space="0"/>
              <w:left w:val="single" w:color="000000" w:sz="4" w:space="0"/>
              <w:bottom w:val="single" w:color="000000" w:sz="4" w:space="0"/>
              <w:right w:val="single" w:color="000000" w:sz="4" w:space="0"/>
            </w:tcBorders>
            <w:vAlign w:val="center"/>
          </w:tcPr>
          <w:p w14:paraId="1D4CD1D0">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zCs w:val="24"/>
              </w:rPr>
            </w:pPr>
            <w:r>
              <w:rPr>
                <w:rFonts w:hint="eastAsia" w:ascii="仿宋" w:hAnsi="仿宋" w:eastAsia="仿宋" w:cs="仿宋"/>
                <w:spacing w:val="6"/>
                <w:szCs w:val="24"/>
              </w:rPr>
              <w:t>技能</w:t>
            </w:r>
            <w:r>
              <w:rPr>
                <w:rFonts w:hint="eastAsia" w:ascii="仿宋" w:hAnsi="仿宋" w:eastAsia="仿宋" w:cs="仿宋"/>
                <w:spacing w:val="5"/>
                <w:szCs w:val="24"/>
              </w:rPr>
              <w:t>水平</w:t>
            </w:r>
          </w:p>
        </w:tc>
        <w:tc>
          <w:tcPr>
            <w:tcW w:w="3628" w:type="pct"/>
            <w:tcBorders>
              <w:top w:val="single" w:color="000000" w:sz="4" w:space="0"/>
              <w:left w:val="single" w:color="000000" w:sz="4" w:space="0"/>
              <w:bottom w:val="single" w:color="000000" w:sz="4" w:space="0"/>
              <w:right w:val="single" w:color="000000" w:sz="4" w:space="0"/>
            </w:tcBorders>
            <w:vAlign w:val="center"/>
          </w:tcPr>
          <w:p w14:paraId="2719CE83">
            <w:pPr>
              <w:pStyle w:val="8"/>
              <w:kinsoku w:val="0"/>
              <w:autoSpaceDE w:val="0"/>
              <w:autoSpaceDN w:val="0"/>
              <w:adjustRightInd w:val="0"/>
              <w:snapToGrid w:val="0"/>
              <w:spacing w:before="29" w:beforeAutospacing="0" w:after="0" w:afterAutospacing="0"/>
              <w:ind w:left="131"/>
              <w:textAlignment w:val="baseline"/>
              <w:rPr>
                <w:rFonts w:hint="eastAsia" w:ascii="仿宋" w:hAnsi="仿宋" w:eastAsia="仿宋" w:cs="仿宋"/>
                <w:szCs w:val="24"/>
              </w:rPr>
            </w:pPr>
            <w:r>
              <w:rPr>
                <w:rFonts w:hint="eastAsia" w:ascii="仿宋" w:hAnsi="仿宋" w:eastAsia="仿宋" w:cs="仿宋"/>
                <w:spacing w:val="-1"/>
                <w:szCs w:val="24"/>
              </w:rPr>
              <w:t>1.熟练掌握本专业或工作岗位的技能。</w:t>
            </w:r>
          </w:p>
          <w:p w14:paraId="2414490A">
            <w:pPr>
              <w:pStyle w:val="8"/>
              <w:kinsoku w:val="0"/>
              <w:autoSpaceDE w:val="0"/>
              <w:autoSpaceDN w:val="0"/>
              <w:adjustRightInd w:val="0"/>
              <w:snapToGrid w:val="0"/>
              <w:spacing w:before="27" w:beforeAutospacing="0" w:after="0" w:afterAutospacing="0"/>
              <w:ind w:left="131"/>
              <w:textAlignment w:val="baseline"/>
              <w:rPr>
                <w:rFonts w:hint="eastAsia" w:ascii="仿宋" w:hAnsi="仿宋" w:eastAsia="仿宋" w:cs="仿宋"/>
                <w:szCs w:val="24"/>
              </w:rPr>
            </w:pPr>
            <w:r>
              <w:rPr>
                <w:rFonts w:hint="eastAsia" w:ascii="仿宋" w:hAnsi="仿宋" w:eastAsia="仿宋" w:cs="仿宋"/>
                <w:szCs w:val="24"/>
              </w:rPr>
              <w:t>2.技能操作规范，符合行业和岗位标准。</w:t>
            </w:r>
          </w:p>
          <w:p w14:paraId="3942C91E">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zCs w:val="24"/>
              </w:rPr>
            </w:pPr>
            <w:r>
              <w:rPr>
                <w:rFonts w:hint="eastAsia" w:ascii="仿宋" w:hAnsi="仿宋" w:eastAsia="仿宋" w:cs="仿宋"/>
                <w:spacing w:val="1"/>
                <w:szCs w:val="24"/>
              </w:rPr>
              <w:t>3.具备较高的技能操作水平及解决复杂问</w:t>
            </w:r>
            <w:r>
              <w:rPr>
                <w:rFonts w:hint="eastAsia" w:ascii="仿宋" w:hAnsi="仿宋" w:eastAsia="仿宋" w:cs="仿宋"/>
                <w:szCs w:val="24"/>
              </w:rPr>
              <w:t>题的综合能力。</w:t>
            </w:r>
          </w:p>
        </w:tc>
        <w:tc>
          <w:tcPr>
            <w:tcW w:w="684" w:type="pct"/>
            <w:tcBorders>
              <w:top w:val="single" w:color="000000" w:sz="4" w:space="0"/>
              <w:left w:val="single" w:color="000000" w:sz="4" w:space="0"/>
              <w:bottom w:val="single" w:color="000000" w:sz="4" w:space="0"/>
              <w:right w:val="single" w:color="000000" w:sz="4" w:space="0"/>
            </w:tcBorders>
            <w:vAlign w:val="center"/>
          </w:tcPr>
          <w:p w14:paraId="522A5E7C">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zCs w:val="24"/>
              </w:rPr>
            </w:pPr>
            <w:r>
              <w:rPr>
                <w:rFonts w:hint="eastAsia" w:ascii="仿宋" w:hAnsi="仿宋" w:eastAsia="仿宋" w:cs="仿宋"/>
                <w:spacing w:val="-3"/>
                <w:szCs w:val="24"/>
              </w:rPr>
              <w:t>60%</w:t>
            </w:r>
          </w:p>
        </w:tc>
      </w:tr>
      <w:tr w14:paraId="471D2A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0" w:hRule="atLeast"/>
        </w:trPr>
        <w:tc>
          <w:tcPr>
            <w:tcW w:w="688" w:type="pct"/>
            <w:tcBorders>
              <w:top w:val="single" w:color="000000" w:sz="4" w:space="0"/>
              <w:left w:val="single" w:color="000000" w:sz="4" w:space="0"/>
              <w:bottom w:val="single" w:color="000000" w:sz="4" w:space="0"/>
              <w:right w:val="single" w:color="000000" w:sz="4" w:space="0"/>
            </w:tcBorders>
            <w:vAlign w:val="center"/>
          </w:tcPr>
          <w:p w14:paraId="100FD22E">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zCs w:val="24"/>
              </w:rPr>
            </w:pPr>
            <w:r>
              <w:rPr>
                <w:rFonts w:hint="eastAsia" w:ascii="仿宋" w:hAnsi="仿宋" w:eastAsia="仿宋" w:cs="仿宋"/>
                <w:spacing w:val="-6"/>
                <w:szCs w:val="24"/>
              </w:rPr>
              <w:t>职业</w:t>
            </w:r>
            <w:r>
              <w:rPr>
                <w:rFonts w:hint="eastAsia" w:ascii="仿宋" w:hAnsi="仿宋" w:eastAsia="仿宋" w:cs="仿宋"/>
                <w:spacing w:val="5"/>
                <w:szCs w:val="24"/>
              </w:rPr>
              <w:t>素养</w:t>
            </w:r>
          </w:p>
        </w:tc>
        <w:tc>
          <w:tcPr>
            <w:tcW w:w="3628" w:type="pct"/>
            <w:tcBorders>
              <w:top w:val="single" w:color="000000" w:sz="4" w:space="0"/>
              <w:left w:val="single" w:color="000000" w:sz="4" w:space="0"/>
              <w:bottom w:val="single" w:color="000000" w:sz="4" w:space="0"/>
              <w:right w:val="single" w:color="000000" w:sz="4" w:space="0"/>
            </w:tcBorders>
            <w:vAlign w:val="center"/>
          </w:tcPr>
          <w:p w14:paraId="49FEDA52">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1"/>
                <w:szCs w:val="24"/>
              </w:rPr>
              <w:t>1.展现较好的职业伦理，具有工匠精神。</w:t>
            </w:r>
          </w:p>
          <w:p w14:paraId="510A4AB0">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1"/>
                <w:szCs w:val="24"/>
              </w:rPr>
              <w:t>2.展现学校对学生全面培养、基本素养培育和成长发展的成效。</w:t>
            </w:r>
          </w:p>
          <w:p w14:paraId="12E0260B">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1"/>
                <w:szCs w:val="24"/>
              </w:rPr>
              <w:t>3.展现职业教育育人成果，体现产教融合、科教融汇。</w:t>
            </w:r>
          </w:p>
          <w:p w14:paraId="3C20413F">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zCs w:val="24"/>
              </w:rPr>
            </w:pPr>
            <w:r>
              <w:rPr>
                <w:rFonts w:hint="eastAsia" w:ascii="仿宋" w:hAnsi="仿宋" w:eastAsia="仿宋" w:cs="仿宋"/>
                <w:spacing w:val="1"/>
                <w:szCs w:val="24"/>
              </w:rPr>
              <w:t>4.具备良好的职业道德、职业精神、职业素养。</w:t>
            </w:r>
          </w:p>
        </w:tc>
        <w:tc>
          <w:tcPr>
            <w:tcW w:w="684" w:type="pct"/>
            <w:tcBorders>
              <w:top w:val="single" w:color="000000" w:sz="4" w:space="0"/>
              <w:left w:val="single" w:color="000000" w:sz="4" w:space="0"/>
              <w:bottom w:val="single" w:color="000000" w:sz="4" w:space="0"/>
              <w:right w:val="single" w:color="000000" w:sz="4" w:space="0"/>
            </w:tcBorders>
            <w:vAlign w:val="center"/>
          </w:tcPr>
          <w:p w14:paraId="3C73F224">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zCs w:val="24"/>
              </w:rPr>
            </w:pPr>
            <w:r>
              <w:rPr>
                <w:rFonts w:hint="eastAsia" w:ascii="仿宋" w:hAnsi="仿宋" w:eastAsia="仿宋" w:cs="仿宋"/>
                <w:spacing w:val="-7"/>
                <w:szCs w:val="24"/>
              </w:rPr>
              <w:t>10</w:t>
            </w:r>
            <w:r>
              <w:rPr>
                <w:rFonts w:hint="eastAsia" w:ascii="仿宋" w:hAnsi="仿宋" w:eastAsia="仿宋" w:cs="仿宋"/>
                <w:spacing w:val="-3"/>
                <w:szCs w:val="24"/>
              </w:rPr>
              <w:t>%</w:t>
            </w:r>
          </w:p>
        </w:tc>
      </w:tr>
      <w:tr w14:paraId="18B5A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0" w:hRule="atLeast"/>
        </w:trPr>
        <w:tc>
          <w:tcPr>
            <w:tcW w:w="688" w:type="pct"/>
            <w:tcBorders>
              <w:top w:val="single" w:color="000000" w:sz="4" w:space="0"/>
              <w:left w:val="single" w:color="000000" w:sz="4" w:space="0"/>
              <w:bottom w:val="single" w:color="000000" w:sz="4" w:space="0"/>
              <w:right w:val="single" w:color="000000" w:sz="4" w:space="0"/>
            </w:tcBorders>
            <w:vAlign w:val="center"/>
          </w:tcPr>
          <w:p w14:paraId="44EB4EB7">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pacing w:val="-6"/>
                <w:szCs w:val="24"/>
              </w:rPr>
            </w:pPr>
            <w:r>
              <w:rPr>
                <w:rFonts w:hint="eastAsia" w:ascii="仿宋" w:hAnsi="仿宋" w:eastAsia="仿宋" w:cs="仿宋"/>
                <w:spacing w:val="-6"/>
                <w:szCs w:val="24"/>
              </w:rPr>
              <w:t>应用</w:t>
            </w:r>
          </w:p>
          <w:p w14:paraId="12379E6C">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pacing w:val="-6"/>
                <w:szCs w:val="24"/>
              </w:rPr>
            </w:pPr>
            <w:r>
              <w:rPr>
                <w:rFonts w:hint="eastAsia" w:ascii="仿宋" w:hAnsi="仿宋" w:eastAsia="仿宋" w:cs="仿宋"/>
                <w:spacing w:val="-6"/>
                <w:szCs w:val="24"/>
              </w:rPr>
              <w:t>价值</w:t>
            </w:r>
          </w:p>
        </w:tc>
        <w:tc>
          <w:tcPr>
            <w:tcW w:w="3628" w:type="pct"/>
            <w:tcBorders>
              <w:top w:val="single" w:color="000000" w:sz="4" w:space="0"/>
              <w:left w:val="single" w:color="000000" w:sz="4" w:space="0"/>
              <w:bottom w:val="single" w:color="000000" w:sz="4" w:space="0"/>
              <w:right w:val="single" w:color="000000" w:sz="4" w:space="0"/>
            </w:tcBorders>
            <w:vAlign w:val="center"/>
          </w:tcPr>
          <w:p w14:paraId="7AC543D6">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1"/>
                <w:szCs w:val="24"/>
              </w:rPr>
              <w:t>1.有助于解决生产一线实际问题或现实困难。</w:t>
            </w:r>
          </w:p>
          <w:p w14:paraId="7CC86831">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1"/>
                <w:szCs w:val="24"/>
              </w:rPr>
              <w:t>2.能够促进职业学校学生高质量就业，包括直接和间接推动扩大就业规模等。</w:t>
            </w:r>
          </w:p>
          <w:p w14:paraId="2F521EF5">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1"/>
                <w:szCs w:val="24"/>
              </w:rPr>
              <w:t>3.对推动产业转型升级、区域经济发展、乡村振兴、城市社区治理、城乡融合发展等具有积极作用。</w:t>
            </w:r>
          </w:p>
          <w:p w14:paraId="7C7A59EB">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zCs w:val="24"/>
              </w:rPr>
            </w:pPr>
            <w:r>
              <w:rPr>
                <w:rFonts w:hint="eastAsia" w:ascii="仿宋" w:hAnsi="仿宋" w:eastAsia="仿宋" w:cs="仿宋"/>
                <w:spacing w:val="1"/>
                <w:szCs w:val="24"/>
              </w:rPr>
              <w:t>4.符合绿色低碳节能的可持续发展理念，有利于改善人民生活、提升人民生活质量。</w:t>
            </w:r>
          </w:p>
        </w:tc>
        <w:tc>
          <w:tcPr>
            <w:tcW w:w="684" w:type="pct"/>
            <w:tcBorders>
              <w:top w:val="single" w:color="000000" w:sz="4" w:space="0"/>
              <w:left w:val="single" w:color="000000" w:sz="4" w:space="0"/>
              <w:bottom w:val="single" w:color="000000" w:sz="4" w:space="0"/>
              <w:right w:val="single" w:color="000000" w:sz="4" w:space="0"/>
            </w:tcBorders>
            <w:vAlign w:val="center"/>
          </w:tcPr>
          <w:p w14:paraId="7CD8800F">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zCs w:val="24"/>
              </w:rPr>
            </w:pPr>
            <w:r>
              <w:rPr>
                <w:rFonts w:hint="eastAsia" w:ascii="仿宋" w:hAnsi="仿宋" w:eastAsia="仿宋" w:cs="仿宋"/>
                <w:spacing w:val="-3"/>
                <w:szCs w:val="24"/>
              </w:rPr>
              <w:t>10%</w:t>
            </w:r>
          </w:p>
        </w:tc>
      </w:tr>
      <w:tr w14:paraId="51908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8" w:hRule="atLeast"/>
        </w:trPr>
        <w:tc>
          <w:tcPr>
            <w:tcW w:w="688" w:type="pct"/>
            <w:tcBorders>
              <w:top w:val="single" w:color="000000" w:sz="4" w:space="0"/>
              <w:left w:val="single" w:color="000000" w:sz="4" w:space="0"/>
              <w:bottom w:val="single" w:color="000000" w:sz="4" w:space="0"/>
              <w:right w:val="single" w:color="000000" w:sz="4" w:space="0"/>
            </w:tcBorders>
            <w:vAlign w:val="center"/>
          </w:tcPr>
          <w:p w14:paraId="0C615FA1">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pacing w:val="-6"/>
                <w:szCs w:val="24"/>
              </w:rPr>
            </w:pPr>
            <w:r>
              <w:rPr>
                <w:rFonts w:hint="eastAsia" w:ascii="仿宋" w:hAnsi="仿宋" w:eastAsia="仿宋" w:cs="仿宋"/>
                <w:spacing w:val="-6"/>
                <w:szCs w:val="24"/>
              </w:rPr>
              <w:t>团队</w:t>
            </w:r>
          </w:p>
          <w:p w14:paraId="0E9E607C">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pacing w:val="-6"/>
                <w:szCs w:val="24"/>
              </w:rPr>
            </w:pPr>
            <w:r>
              <w:rPr>
                <w:rFonts w:hint="eastAsia" w:ascii="仿宋" w:hAnsi="仿宋" w:eastAsia="仿宋" w:cs="仿宋"/>
                <w:spacing w:val="-6"/>
                <w:szCs w:val="24"/>
              </w:rPr>
              <w:t>合作</w:t>
            </w:r>
          </w:p>
        </w:tc>
        <w:tc>
          <w:tcPr>
            <w:tcW w:w="3628" w:type="pct"/>
            <w:tcBorders>
              <w:top w:val="single" w:color="000000" w:sz="4" w:space="0"/>
              <w:left w:val="single" w:color="000000" w:sz="4" w:space="0"/>
              <w:bottom w:val="single" w:color="000000" w:sz="4" w:space="0"/>
              <w:right w:val="single" w:color="000000" w:sz="4" w:space="0"/>
            </w:tcBorders>
            <w:vAlign w:val="center"/>
          </w:tcPr>
          <w:p w14:paraId="6CE822FA">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2"/>
                <w:szCs w:val="24"/>
              </w:rPr>
              <w:t>1</w:t>
            </w:r>
            <w:r>
              <w:rPr>
                <w:rFonts w:hint="eastAsia" w:ascii="仿宋" w:hAnsi="仿宋" w:eastAsia="仿宋" w:cs="仿宋"/>
                <w:spacing w:val="1"/>
                <w:szCs w:val="24"/>
              </w:rPr>
              <w:t>.团队成员能够准确理解共同目标和任务，清楚自己的角色定位和职责。</w:t>
            </w:r>
          </w:p>
          <w:p w14:paraId="2092B7ED">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1"/>
                <w:szCs w:val="24"/>
              </w:rPr>
              <w:t xml:space="preserve">2.团队成员在比赛中能够有效沟通、紧密协作。 </w:t>
            </w:r>
          </w:p>
          <w:p w14:paraId="37A6B02D">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1"/>
                <w:szCs w:val="24"/>
              </w:rPr>
              <w:t>3.团队成员能够相互补台，共同应对突发情况。</w:t>
            </w:r>
          </w:p>
          <w:p w14:paraId="10C18737">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zCs w:val="24"/>
              </w:rPr>
            </w:pPr>
            <w:r>
              <w:rPr>
                <w:rFonts w:hint="eastAsia" w:ascii="仿宋" w:hAnsi="仿宋" w:eastAsia="仿宋" w:cs="仿宋"/>
                <w:spacing w:val="1"/>
                <w:szCs w:val="24"/>
              </w:rPr>
              <w:t>4.团队成员相互尊重、信任和支持，拥有良好的团队氛围。</w:t>
            </w:r>
          </w:p>
        </w:tc>
        <w:tc>
          <w:tcPr>
            <w:tcW w:w="684" w:type="pct"/>
            <w:tcBorders>
              <w:top w:val="single" w:color="000000" w:sz="4" w:space="0"/>
              <w:left w:val="single" w:color="000000" w:sz="4" w:space="0"/>
              <w:bottom w:val="single" w:color="000000" w:sz="4" w:space="0"/>
              <w:right w:val="single" w:color="000000" w:sz="4" w:space="0"/>
            </w:tcBorders>
            <w:vAlign w:val="center"/>
          </w:tcPr>
          <w:p w14:paraId="6B6D0CCA">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zCs w:val="24"/>
              </w:rPr>
            </w:pPr>
            <w:r>
              <w:rPr>
                <w:rFonts w:hint="eastAsia" w:ascii="仿宋" w:hAnsi="仿宋" w:eastAsia="仿宋" w:cs="仿宋"/>
                <w:spacing w:val="-7"/>
                <w:szCs w:val="24"/>
              </w:rPr>
              <w:t>10</w:t>
            </w:r>
            <w:r>
              <w:rPr>
                <w:rFonts w:hint="eastAsia" w:ascii="仿宋" w:hAnsi="仿宋" w:eastAsia="仿宋" w:cs="仿宋"/>
                <w:spacing w:val="-3"/>
                <w:szCs w:val="24"/>
              </w:rPr>
              <w:t>%</w:t>
            </w:r>
          </w:p>
        </w:tc>
      </w:tr>
      <w:tr w14:paraId="24AD4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3" w:hRule="atLeast"/>
        </w:trPr>
        <w:tc>
          <w:tcPr>
            <w:tcW w:w="688" w:type="pct"/>
            <w:tcBorders>
              <w:top w:val="single" w:color="000000" w:sz="4" w:space="0"/>
              <w:left w:val="single" w:color="000000" w:sz="4" w:space="0"/>
              <w:bottom w:val="single" w:color="000000" w:sz="4" w:space="0"/>
              <w:right w:val="single" w:color="000000" w:sz="4" w:space="0"/>
            </w:tcBorders>
            <w:vAlign w:val="center"/>
          </w:tcPr>
          <w:p w14:paraId="310A51E7">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pacing w:val="-6"/>
                <w:szCs w:val="24"/>
              </w:rPr>
            </w:pPr>
            <w:r>
              <w:rPr>
                <w:rFonts w:hint="eastAsia" w:ascii="仿宋" w:hAnsi="仿宋" w:eastAsia="仿宋" w:cs="仿宋"/>
                <w:spacing w:val="-6"/>
                <w:szCs w:val="24"/>
              </w:rPr>
              <w:t>创新</w:t>
            </w:r>
          </w:p>
          <w:p w14:paraId="73F4DE16">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pacing w:val="-6"/>
                <w:szCs w:val="24"/>
              </w:rPr>
            </w:pPr>
            <w:r>
              <w:rPr>
                <w:rFonts w:hint="eastAsia" w:ascii="仿宋" w:hAnsi="仿宋" w:eastAsia="仿宋" w:cs="仿宋"/>
                <w:spacing w:val="-6"/>
                <w:szCs w:val="24"/>
              </w:rPr>
              <w:t>创意</w:t>
            </w:r>
          </w:p>
        </w:tc>
        <w:tc>
          <w:tcPr>
            <w:tcW w:w="3628" w:type="pct"/>
            <w:tcBorders>
              <w:top w:val="single" w:color="000000" w:sz="4" w:space="0"/>
              <w:left w:val="single" w:color="000000" w:sz="4" w:space="0"/>
              <w:bottom w:val="single" w:color="000000" w:sz="4" w:space="0"/>
              <w:right w:val="single" w:color="000000" w:sz="4" w:space="0"/>
            </w:tcBorders>
            <w:vAlign w:val="center"/>
          </w:tcPr>
          <w:p w14:paraId="13F8E3A9">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1"/>
                <w:szCs w:val="24"/>
              </w:rPr>
              <w:t>1.体现原始创意、创新。</w:t>
            </w:r>
          </w:p>
          <w:p w14:paraId="4E429300">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pacing w:val="1"/>
                <w:szCs w:val="24"/>
              </w:rPr>
            </w:pPr>
            <w:r>
              <w:rPr>
                <w:rFonts w:hint="eastAsia" w:ascii="仿宋" w:hAnsi="仿宋" w:eastAsia="仿宋" w:cs="仿宋"/>
                <w:spacing w:val="1"/>
                <w:szCs w:val="24"/>
              </w:rPr>
              <w:t>2.体现面向职业和岗位的创意及创新，侧重于加工工艺创新、实用技术创新、产品（技术）数字化改良、应用性优化、民生类创意等。</w:t>
            </w:r>
          </w:p>
          <w:p w14:paraId="6B0E4136">
            <w:pPr>
              <w:pStyle w:val="8"/>
              <w:kinsoku w:val="0"/>
              <w:autoSpaceDE w:val="0"/>
              <w:autoSpaceDN w:val="0"/>
              <w:adjustRightInd w:val="0"/>
              <w:snapToGrid w:val="0"/>
              <w:spacing w:before="0" w:beforeAutospacing="0" w:after="0" w:afterAutospacing="0"/>
              <w:ind w:left="131"/>
              <w:textAlignment w:val="baseline"/>
              <w:rPr>
                <w:rFonts w:hint="eastAsia" w:ascii="仿宋" w:hAnsi="仿宋" w:eastAsia="仿宋" w:cs="仿宋"/>
                <w:szCs w:val="24"/>
              </w:rPr>
            </w:pPr>
            <w:r>
              <w:rPr>
                <w:rFonts w:hint="eastAsia" w:ascii="仿宋" w:hAnsi="仿宋" w:eastAsia="仿宋" w:cs="仿宋"/>
                <w:spacing w:val="1"/>
                <w:szCs w:val="24"/>
              </w:rPr>
              <w:t>3.体现团队成员创新精神和创新能力。</w:t>
            </w:r>
          </w:p>
        </w:tc>
        <w:tc>
          <w:tcPr>
            <w:tcW w:w="684" w:type="pct"/>
            <w:tcBorders>
              <w:top w:val="single" w:color="000000" w:sz="4" w:space="0"/>
              <w:left w:val="single" w:color="000000" w:sz="4" w:space="0"/>
              <w:bottom w:val="single" w:color="000000" w:sz="4" w:space="0"/>
              <w:right w:val="single" w:color="000000" w:sz="4" w:space="0"/>
            </w:tcBorders>
            <w:vAlign w:val="center"/>
          </w:tcPr>
          <w:p w14:paraId="1CE8A922">
            <w:pPr>
              <w:pStyle w:val="8"/>
              <w:kinsoku w:val="0"/>
              <w:autoSpaceDE w:val="0"/>
              <w:autoSpaceDN w:val="0"/>
              <w:adjustRightInd w:val="0"/>
              <w:snapToGrid w:val="0"/>
              <w:spacing w:before="0" w:beforeAutospacing="0" w:after="0" w:afterAutospacing="0"/>
              <w:jc w:val="center"/>
              <w:textAlignment w:val="baseline"/>
              <w:rPr>
                <w:rFonts w:hint="eastAsia" w:ascii="仿宋" w:hAnsi="仿宋" w:eastAsia="仿宋" w:cs="仿宋"/>
                <w:szCs w:val="24"/>
              </w:rPr>
            </w:pPr>
            <w:r>
              <w:rPr>
                <w:rFonts w:hint="eastAsia" w:ascii="仿宋" w:hAnsi="仿宋" w:eastAsia="仿宋" w:cs="仿宋"/>
                <w:spacing w:val="-7"/>
                <w:szCs w:val="24"/>
              </w:rPr>
              <w:t>10</w:t>
            </w:r>
            <w:r>
              <w:rPr>
                <w:rFonts w:hint="eastAsia" w:ascii="仿宋" w:hAnsi="仿宋" w:eastAsia="仿宋" w:cs="仿宋"/>
                <w:spacing w:val="-3"/>
                <w:szCs w:val="24"/>
              </w:rPr>
              <w:t>%</w:t>
            </w:r>
          </w:p>
        </w:tc>
      </w:tr>
    </w:tbl>
    <w:p w14:paraId="25D1E8B0">
      <w:pPr>
        <w:ind w:firstLine="210"/>
      </w:pPr>
    </w:p>
    <w:p w14:paraId="00D85DF7">
      <w:pPr>
        <w:pStyle w:val="2"/>
        <w:numPr>
          <w:ilvl w:val="0"/>
          <w:numId w:val="1"/>
        </w:numPr>
        <w:spacing w:after="156"/>
        <w:ind w:firstLine="300"/>
      </w:pPr>
      <w:r>
        <w:rPr>
          <w:rFonts w:hint="eastAsia"/>
        </w:rPr>
        <w:t xml:space="preserve"> 赛项方式</w:t>
      </w:r>
    </w:p>
    <w:p w14:paraId="07997EC9">
      <w:pPr>
        <w:numPr>
          <w:ilvl w:val="0"/>
          <w:numId w:val="2"/>
        </w:numPr>
        <w:spacing w:line="360" w:lineRule="auto"/>
        <w:ind w:firstLine="562" w:firstLineChars="200"/>
        <w:rPr>
          <w:rFonts w:hint="eastAsia" w:ascii="仿宋" w:hAnsi="仿宋" w:eastAsia="仿宋" w:cs="仿宋"/>
          <w:b/>
          <w:sz w:val="28"/>
          <w:szCs w:val="21"/>
        </w:rPr>
      </w:pPr>
      <w:r>
        <w:rPr>
          <w:rFonts w:hint="eastAsia" w:ascii="仿宋" w:hAnsi="仿宋" w:eastAsia="仿宋" w:cs="仿宋"/>
          <w:b/>
          <w:sz w:val="28"/>
          <w:szCs w:val="21"/>
        </w:rPr>
        <w:t>参赛要求</w:t>
      </w:r>
    </w:p>
    <w:p w14:paraId="26A1A563">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hint="eastAsia"/>
        </w:rPr>
        <w:t xml:space="preserve"> </w:t>
      </w:r>
      <w:r>
        <w:rPr>
          <w:rFonts w:hint="eastAsia" w:ascii="仿宋" w:hAnsi="仿宋" w:eastAsia="仿宋" w:cs="仿宋"/>
          <w:sz w:val="28"/>
          <w:szCs w:val="28"/>
        </w:rPr>
        <w:t>本赛项为团体赛，以院校为单位组队参赛，不得跨校组队。每支参赛队选手人数2人，各参赛队可配指导教师，每队限报2名。</w:t>
      </w:r>
    </w:p>
    <w:p w14:paraId="2252871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2.参赛选手需为高职院校全日制在籍学生，不得跨校组队。每支参赛队伍中参赛选手和指导老师报名获得确认后不得随意更换。</w:t>
      </w:r>
    </w:p>
    <w:p w14:paraId="53146CE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人员变更：参赛选手和指导教师报名完成后，报名期止进入选拔赛不得随意更换。如备赛过程中参赛选手和指导教师因故无法参赛，须由省级教育行政部门于赛项开赛前10个工作日之前出具书面说明，经大赛组委会办公室核实后予以更换；团体赛选手因特殊原因不能参加比赛时，则视为自动放弃竞赛。</w:t>
      </w:r>
    </w:p>
    <w:p w14:paraId="51A3CF2C">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（二）比赛方式</w:t>
      </w:r>
    </w:p>
    <w:p w14:paraId="144FB1F0">
      <w:pPr>
        <w:spacing w:after="156" w:afterLines="50" w:line="360" w:lineRule="auto"/>
        <w:ind w:firstLine="560" w:firstLineChars="200"/>
      </w:pPr>
      <w:r>
        <w:rPr>
          <w:rFonts w:hint="eastAsia" w:ascii="仿宋" w:hAnsi="仿宋" w:eastAsia="仿宋" w:cs="仿宋"/>
          <w:sz w:val="28"/>
          <w:szCs w:val="28"/>
        </w:rPr>
        <w:t>比赛采取现场的方式进行。所有参赛队伍，按照组委会指定流程、指定场地开展现场比赛。</w:t>
      </w:r>
    </w:p>
    <w:p w14:paraId="506A0DB1">
      <w:pPr>
        <w:pStyle w:val="2"/>
        <w:spacing w:after="156"/>
        <w:ind w:firstLine="300"/>
      </w:pPr>
      <w:r>
        <w:rPr>
          <w:rFonts w:hint="eastAsia"/>
        </w:rPr>
        <w:t>五、竞赛流程</w:t>
      </w:r>
    </w:p>
    <w:p w14:paraId="0F9C2069">
      <w:pPr>
        <w:spacing w:after="156" w:afterLines="50" w:line="360" w:lineRule="auto"/>
        <w:ind w:firstLine="560" w:firstLineChars="200"/>
      </w:pPr>
      <w:r>
        <w:rPr>
          <w:rFonts w:hint="eastAsia" w:ascii="仿宋" w:hAnsi="仿宋" w:eastAsia="仿宋" w:cs="仿宋"/>
          <w:sz w:val="28"/>
          <w:szCs w:val="28"/>
        </w:rPr>
        <w:t>比赛限定在1天内进行，分为两个阶段进行，专业技能竞赛时间为4小时，各项目展示时长为每组10-15分钟，具体安排如下：</w:t>
      </w:r>
    </w:p>
    <w:tbl>
      <w:tblPr>
        <w:tblStyle w:val="10"/>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725"/>
        <w:gridCol w:w="2955"/>
        <w:gridCol w:w="2829"/>
      </w:tblGrid>
      <w:tr w14:paraId="7919D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749" w:type="dxa"/>
            <w:shd w:val="clear" w:color="auto" w:fill="F1F1F1" w:themeFill="background1" w:themeFillShade="F2"/>
            <w:vAlign w:val="center"/>
          </w:tcPr>
          <w:p w14:paraId="73941F34">
            <w:pPr>
              <w:pStyle w:val="3"/>
              <w:spacing w:line="240" w:lineRule="auto"/>
              <w:ind w:firstLine="0" w:firstLineChars="0"/>
              <w:jc w:val="center"/>
              <w:rPr>
                <w:rFonts w:hint="eastAsia" w:cs="仿宋"/>
                <w:b/>
                <w:bCs w:val="0"/>
                <w:sz w:val="24"/>
                <w:szCs w:val="24"/>
              </w:rPr>
            </w:pPr>
            <w:r>
              <w:rPr>
                <w:rFonts w:hint="eastAsia" w:cs="仿宋"/>
                <w:b/>
                <w:bCs w:val="0"/>
                <w:sz w:val="24"/>
                <w:szCs w:val="24"/>
              </w:rPr>
              <w:t>日期</w:t>
            </w:r>
          </w:p>
        </w:tc>
        <w:tc>
          <w:tcPr>
            <w:tcW w:w="1725" w:type="dxa"/>
            <w:shd w:val="clear" w:color="auto" w:fill="F1F1F1" w:themeFill="background1" w:themeFillShade="F2"/>
            <w:vAlign w:val="center"/>
          </w:tcPr>
          <w:p w14:paraId="147DFD89">
            <w:pPr>
              <w:pStyle w:val="3"/>
              <w:spacing w:line="240" w:lineRule="auto"/>
              <w:ind w:firstLine="0" w:firstLineChars="0"/>
              <w:jc w:val="center"/>
              <w:rPr>
                <w:rFonts w:hint="eastAsia" w:cs="仿宋"/>
                <w:b/>
                <w:bCs w:val="0"/>
                <w:sz w:val="24"/>
                <w:szCs w:val="24"/>
              </w:rPr>
            </w:pPr>
            <w:r>
              <w:rPr>
                <w:rFonts w:hint="eastAsia" w:cs="仿宋"/>
                <w:b/>
                <w:bCs w:val="0"/>
                <w:sz w:val="24"/>
                <w:szCs w:val="24"/>
              </w:rPr>
              <w:t>时间</w:t>
            </w:r>
          </w:p>
        </w:tc>
        <w:tc>
          <w:tcPr>
            <w:tcW w:w="2955" w:type="dxa"/>
            <w:shd w:val="clear" w:color="auto" w:fill="F1F1F1" w:themeFill="background1" w:themeFillShade="F2"/>
            <w:vAlign w:val="center"/>
          </w:tcPr>
          <w:p w14:paraId="40743D1F">
            <w:pPr>
              <w:pStyle w:val="3"/>
              <w:spacing w:line="240" w:lineRule="auto"/>
              <w:ind w:firstLine="0" w:firstLineChars="0"/>
              <w:jc w:val="center"/>
              <w:rPr>
                <w:rFonts w:hint="eastAsia" w:cs="仿宋"/>
                <w:b/>
                <w:bCs w:val="0"/>
                <w:sz w:val="24"/>
                <w:szCs w:val="24"/>
              </w:rPr>
            </w:pPr>
            <w:r>
              <w:rPr>
                <w:rFonts w:hint="eastAsia" w:cs="仿宋"/>
                <w:b/>
                <w:bCs w:val="0"/>
                <w:sz w:val="24"/>
                <w:szCs w:val="24"/>
              </w:rPr>
              <w:t>具体事项</w:t>
            </w:r>
          </w:p>
        </w:tc>
        <w:tc>
          <w:tcPr>
            <w:tcW w:w="2829" w:type="dxa"/>
            <w:shd w:val="clear" w:color="auto" w:fill="F1F1F1" w:themeFill="background1" w:themeFillShade="F2"/>
            <w:vAlign w:val="center"/>
          </w:tcPr>
          <w:p w14:paraId="4659AB9F">
            <w:pPr>
              <w:pStyle w:val="3"/>
              <w:spacing w:line="240" w:lineRule="auto"/>
              <w:ind w:firstLine="0" w:firstLineChars="0"/>
              <w:jc w:val="center"/>
              <w:rPr>
                <w:rFonts w:hint="eastAsia" w:cs="仿宋"/>
                <w:b/>
                <w:bCs w:val="0"/>
                <w:sz w:val="24"/>
                <w:szCs w:val="24"/>
              </w:rPr>
            </w:pPr>
            <w:r>
              <w:rPr>
                <w:rFonts w:hint="eastAsia" w:cs="仿宋"/>
                <w:b/>
                <w:bCs w:val="0"/>
                <w:sz w:val="24"/>
                <w:szCs w:val="24"/>
              </w:rPr>
              <w:t>参与人员</w:t>
            </w:r>
          </w:p>
        </w:tc>
      </w:tr>
      <w:tr w14:paraId="77C14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749" w:type="dxa"/>
            <w:vMerge w:val="restart"/>
            <w:vAlign w:val="center"/>
          </w:tcPr>
          <w:p w14:paraId="6FA82C25">
            <w:pPr>
              <w:jc w:val="center"/>
              <w:rPr>
                <w:rFonts w:hint="eastAsia" w:ascii="仿宋" w:hAnsi="仿宋" w:eastAsia="仿宋" w:cs="仿宋"/>
                <w:sz w:val="24"/>
                <w:szCs w:val="24"/>
              </w:rPr>
            </w:pPr>
            <w:r>
              <w:rPr>
                <w:rFonts w:hint="eastAsia" w:ascii="仿宋" w:hAnsi="仿宋" w:eastAsia="仿宋" w:cs="仿宋"/>
                <w:sz w:val="24"/>
                <w:szCs w:val="24"/>
              </w:rPr>
              <w:t>竞赛前一天</w:t>
            </w:r>
          </w:p>
        </w:tc>
        <w:tc>
          <w:tcPr>
            <w:tcW w:w="1725" w:type="dxa"/>
            <w:vAlign w:val="center"/>
          </w:tcPr>
          <w:p w14:paraId="21B28DA4">
            <w:pPr>
              <w:jc w:val="center"/>
              <w:rPr>
                <w:rFonts w:hint="eastAsia" w:ascii="仿宋" w:hAnsi="仿宋" w:eastAsia="仿宋" w:cs="仿宋"/>
                <w:sz w:val="24"/>
                <w:szCs w:val="24"/>
              </w:rPr>
            </w:pPr>
            <w:r>
              <w:rPr>
                <w:rFonts w:hint="eastAsia" w:ascii="仿宋" w:hAnsi="仿宋" w:eastAsia="仿宋" w:cs="仿宋"/>
                <w:sz w:val="24"/>
                <w:szCs w:val="24"/>
              </w:rPr>
              <w:t>09:00-14:00</w:t>
            </w:r>
          </w:p>
        </w:tc>
        <w:tc>
          <w:tcPr>
            <w:tcW w:w="2955" w:type="dxa"/>
            <w:vAlign w:val="center"/>
          </w:tcPr>
          <w:p w14:paraId="59F08C57">
            <w:pPr>
              <w:jc w:val="center"/>
              <w:rPr>
                <w:rFonts w:hint="eastAsia" w:ascii="仿宋" w:hAnsi="仿宋" w:eastAsia="仿宋" w:cs="仿宋"/>
                <w:sz w:val="24"/>
                <w:szCs w:val="24"/>
              </w:rPr>
            </w:pPr>
            <w:r>
              <w:rPr>
                <w:rFonts w:hint="eastAsia" w:ascii="仿宋" w:hAnsi="仿宋" w:eastAsia="仿宋" w:cs="仿宋"/>
                <w:sz w:val="24"/>
                <w:szCs w:val="24"/>
              </w:rPr>
              <w:t>参赛队报到及领取资料，安排住宿</w:t>
            </w:r>
          </w:p>
        </w:tc>
        <w:tc>
          <w:tcPr>
            <w:tcW w:w="2829" w:type="dxa"/>
            <w:vAlign w:val="center"/>
          </w:tcPr>
          <w:p w14:paraId="7C44D58C">
            <w:pPr>
              <w:jc w:val="center"/>
              <w:rPr>
                <w:rFonts w:hint="eastAsia" w:ascii="仿宋" w:hAnsi="仿宋" w:eastAsia="仿宋" w:cs="仿宋"/>
                <w:sz w:val="24"/>
                <w:szCs w:val="24"/>
              </w:rPr>
            </w:pPr>
            <w:r>
              <w:rPr>
                <w:rFonts w:hint="eastAsia" w:ascii="仿宋" w:hAnsi="仿宋" w:eastAsia="仿宋" w:cs="仿宋"/>
                <w:sz w:val="24"/>
                <w:szCs w:val="24"/>
              </w:rPr>
              <w:t>工作人员、参赛队</w:t>
            </w:r>
          </w:p>
        </w:tc>
      </w:tr>
      <w:tr w14:paraId="5726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continue"/>
            <w:vAlign w:val="center"/>
          </w:tcPr>
          <w:p w14:paraId="4C580D34">
            <w:pPr>
              <w:ind w:firstLine="482"/>
              <w:jc w:val="center"/>
              <w:rPr>
                <w:rFonts w:hint="eastAsia" w:ascii="仿宋" w:hAnsi="仿宋" w:eastAsia="仿宋" w:cs="仿宋"/>
                <w:sz w:val="24"/>
                <w:szCs w:val="24"/>
              </w:rPr>
            </w:pPr>
          </w:p>
        </w:tc>
        <w:tc>
          <w:tcPr>
            <w:tcW w:w="1725" w:type="dxa"/>
            <w:vAlign w:val="center"/>
          </w:tcPr>
          <w:p w14:paraId="68FF5496">
            <w:pPr>
              <w:jc w:val="center"/>
              <w:rPr>
                <w:rFonts w:hint="eastAsia" w:ascii="仿宋" w:hAnsi="仿宋" w:eastAsia="仿宋" w:cs="仿宋"/>
                <w:sz w:val="24"/>
                <w:szCs w:val="24"/>
              </w:rPr>
            </w:pPr>
            <w:r>
              <w:rPr>
                <w:rFonts w:hint="eastAsia" w:ascii="仿宋" w:hAnsi="仿宋" w:eastAsia="仿宋" w:cs="仿宋"/>
                <w:sz w:val="24"/>
                <w:szCs w:val="24"/>
              </w:rPr>
              <w:t>09:00-12:00</w:t>
            </w:r>
          </w:p>
        </w:tc>
        <w:tc>
          <w:tcPr>
            <w:tcW w:w="2955" w:type="dxa"/>
            <w:vAlign w:val="center"/>
          </w:tcPr>
          <w:p w14:paraId="265CF063">
            <w:pPr>
              <w:jc w:val="center"/>
              <w:rPr>
                <w:rFonts w:hint="eastAsia" w:ascii="仿宋" w:hAnsi="仿宋" w:eastAsia="仿宋" w:cs="仿宋"/>
                <w:sz w:val="24"/>
                <w:szCs w:val="24"/>
              </w:rPr>
            </w:pPr>
            <w:r>
              <w:rPr>
                <w:rFonts w:hint="eastAsia" w:ascii="仿宋" w:hAnsi="仿宋" w:eastAsia="仿宋" w:cs="仿宋"/>
                <w:sz w:val="24"/>
                <w:szCs w:val="24"/>
              </w:rPr>
              <w:t>裁判工作会议</w:t>
            </w:r>
          </w:p>
        </w:tc>
        <w:tc>
          <w:tcPr>
            <w:tcW w:w="2829" w:type="dxa"/>
            <w:vAlign w:val="center"/>
          </w:tcPr>
          <w:p w14:paraId="567EBD09">
            <w:pPr>
              <w:jc w:val="center"/>
              <w:rPr>
                <w:rFonts w:hint="eastAsia" w:ascii="仿宋" w:hAnsi="仿宋" w:eastAsia="仿宋" w:cs="仿宋"/>
                <w:sz w:val="24"/>
                <w:szCs w:val="24"/>
              </w:rPr>
            </w:pPr>
            <w:r>
              <w:rPr>
                <w:rFonts w:hint="eastAsia" w:ascii="仿宋" w:hAnsi="仿宋" w:eastAsia="仿宋" w:cs="仿宋"/>
                <w:sz w:val="24"/>
                <w:szCs w:val="24"/>
              </w:rPr>
              <w:t>裁判长、裁判员、监督仲裁组</w:t>
            </w:r>
          </w:p>
        </w:tc>
      </w:tr>
      <w:tr w14:paraId="0C77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49" w:type="dxa"/>
            <w:vMerge w:val="continue"/>
            <w:vAlign w:val="center"/>
          </w:tcPr>
          <w:p w14:paraId="0BBF6E5A">
            <w:pPr>
              <w:ind w:firstLine="482"/>
              <w:jc w:val="center"/>
              <w:rPr>
                <w:rFonts w:hint="eastAsia" w:ascii="仿宋" w:hAnsi="仿宋" w:eastAsia="仿宋" w:cs="仿宋"/>
                <w:sz w:val="24"/>
                <w:szCs w:val="24"/>
              </w:rPr>
            </w:pPr>
          </w:p>
        </w:tc>
        <w:tc>
          <w:tcPr>
            <w:tcW w:w="1725" w:type="dxa"/>
            <w:vAlign w:val="center"/>
          </w:tcPr>
          <w:p w14:paraId="49F92C8A">
            <w:pPr>
              <w:jc w:val="center"/>
              <w:rPr>
                <w:rFonts w:hint="eastAsia" w:ascii="仿宋" w:hAnsi="仿宋" w:eastAsia="仿宋" w:cs="仿宋"/>
                <w:sz w:val="24"/>
                <w:szCs w:val="24"/>
              </w:rPr>
            </w:pPr>
            <w:r>
              <w:rPr>
                <w:rFonts w:hint="eastAsia" w:ascii="仿宋" w:hAnsi="仿宋" w:eastAsia="仿宋" w:cs="仿宋"/>
                <w:sz w:val="24"/>
                <w:szCs w:val="24"/>
              </w:rPr>
              <w:t>14:30-15:00</w:t>
            </w:r>
          </w:p>
        </w:tc>
        <w:tc>
          <w:tcPr>
            <w:tcW w:w="2955" w:type="dxa"/>
            <w:vAlign w:val="center"/>
          </w:tcPr>
          <w:p w14:paraId="772E8CA9">
            <w:pPr>
              <w:jc w:val="center"/>
              <w:rPr>
                <w:rFonts w:hint="eastAsia" w:ascii="仿宋" w:hAnsi="仿宋" w:eastAsia="仿宋" w:cs="仿宋"/>
                <w:sz w:val="24"/>
                <w:szCs w:val="24"/>
              </w:rPr>
            </w:pPr>
            <w:r>
              <w:rPr>
                <w:rFonts w:hint="eastAsia" w:ascii="仿宋" w:hAnsi="仿宋" w:eastAsia="仿宋" w:cs="仿宋"/>
                <w:sz w:val="24"/>
                <w:szCs w:val="24"/>
              </w:rPr>
              <w:t>领队会议、赛前说明会</w:t>
            </w:r>
          </w:p>
        </w:tc>
        <w:tc>
          <w:tcPr>
            <w:tcW w:w="2829" w:type="dxa"/>
            <w:vAlign w:val="center"/>
          </w:tcPr>
          <w:p w14:paraId="4FD72A20">
            <w:pPr>
              <w:jc w:val="center"/>
              <w:rPr>
                <w:rFonts w:hint="eastAsia" w:ascii="仿宋" w:hAnsi="仿宋" w:eastAsia="仿宋" w:cs="仿宋"/>
                <w:sz w:val="24"/>
                <w:szCs w:val="24"/>
              </w:rPr>
            </w:pPr>
            <w:r>
              <w:rPr>
                <w:rFonts w:hint="eastAsia" w:ascii="仿宋" w:hAnsi="仿宋" w:eastAsia="仿宋" w:cs="仿宋"/>
                <w:sz w:val="24"/>
                <w:szCs w:val="24"/>
              </w:rPr>
              <w:t>各参赛队领队、裁判长</w:t>
            </w:r>
          </w:p>
        </w:tc>
      </w:tr>
      <w:tr w14:paraId="5B28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749" w:type="dxa"/>
            <w:vMerge w:val="continue"/>
            <w:vAlign w:val="center"/>
          </w:tcPr>
          <w:p w14:paraId="72056EB9">
            <w:pPr>
              <w:ind w:firstLine="482"/>
              <w:jc w:val="center"/>
              <w:rPr>
                <w:rFonts w:hint="eastAsia" w:ascii="仿宋" w:hAnsi="仿宋" w:eastAsia="仿宋" w:cs="仿宋"/>
                <w:sz w:val="24"/>
                <w:szCs w:val="24"/>
              </w:rPr>
            </w:pPr>
          </w:p>
        </w:tc>
        <w:tc>
          <w:tcPr>
            <w:tcW w:w="1725" w:type="dxa"/>
            <w:vAlign w:val="center"/>
          </w:tcPr>
          <w:p w14:paraId="5575A691">
            <w:pPr>
              <w:jc w:val="center"/>
              <w:rPr>
                <w:rFonts w:hint="eastAsia" w:ascii="仿宋" w:hAnsi="仿宋" w:eastAsia="仿宋" w:cs="仿宋"/>
                <w:sz w:val="24"/>
                <w:szCs w:val="24"/>
              </w:rPr>
            </w:pPr>
            <w:r>
              <w:rPr>
                <w:rFonts w:hint="eastAsia" w:ascii="仿宋" w:hAnsi="仿宋" w:eastAsia="仿宋" w:cs="仿宋"/>
                <w:sz w:val="24"/>
                <w:szCs w:val="24"/>
              </w:rPr>
              <w:t>15:00-16:00</w:t>
            </w:r>
          </w:p>
        </w:tc>
        <w:tc>
          <w:tcPr>
            <w:tcW w:w="2955" w:type="dxa"/>
            <w:vAlign w:val="center"/>
          </w:tcPr>
          <w:p w14:paraId="1D83F027">
            <w:pPr>
              <w:jc w:val="center"/>
              <w:rPr>
                <w:rFonts w:hint="eastAsia" w:ascii="仿宋" w:hAnsi="仿宋" w:eastAsia="仿宋" w:cs="仿宋"/>
                <w:sz w:val="24"/>
                <w:szCs w:val="24"/>
              </w:rPr>
            </w:pPr>
            <w:r>
              <w:rPr>
                <w:rFonts w:hint="eastAsia" w:ascii="仿宋" w:hAnsi="仿宋" w:eastAsia="仿宋" w:cs="仿宋"/>
                <w:sz w:val="24"/>
                <w:szCs w:val="24"/>
              </w:rPr>
              <w:t>熟悉场地</w:t>
            </w:r>
          </w:p>
        </w:tc>
        <w:tc>
          <w:tcPr>
            <w:tcW w:w="2829" w:type="dxa"/>
            <w:vAlign w:val="center"/>
          </w:tcPr>
          <w:p w14:paraId="69A0DC16">
            <w:pPr>
              <w:jc w:val="center"/>
              <w:rPr>
                <w:rFonts w:hint="eastAsia" w:ascii="仿宋" w:hAnsi="仿宋" w:eastAsia="仿宋" w:cs="仿宋"/>
                <w:sz w:val="24"/>
                <w:szCs w:val="24"/>
              </w:rPr>
            </w:pPr>
            <w:r>
              <w:rPr>
                <w:rFonts w:hint="eastAsia" w:ascii="仿宋" w:hAnsi="仿宋" w:eastAsia="仿宋" w:cs="仿宋"/>
                <w:sz w:val="24"/>
                <w:szCs w:val="24"/>
              </w:rPr>
              <w:t>各参赛队领队</w:t>
            </w:r>
          </w:p>
        </w:tc>
      </w:tr>
      <w:tr w14:paraId="3BCD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749" w:type="dxa"/>
            <w:vMerge w:val="continue"/>
            <w:vAlign w:val="center"/>
          </w:tcPr>
          <w:p w14:paraId="2DC4CD15">
            <w:pPr>
              <w:ind w:firstLine="482"/>
              <w:jc w:val="center"/>
              <w:rPr>
                <w:rFonts w:hint="eastAsia" w:ascii="仿宋" w:hAnsi="仿宋" w:eastAsia="仿宋" w:cs="仿宋"/>
                <w:sz w:val="24"/>
                <w:szCs w:val="24"/>
              </w:rPr>
            </w:pPr>
          </w:p>
        </w:tc>
        <w:tc>
          <w:tcPr>
            <w:tcW w:w="1725" w:type="dxa"/>
            <w:vAlign w:val="center"/>
          </w:tcPr>
          <w:p w14:paraId="71FC759E">
            <w:pPr>
              <w:jc w:val="center"/>
              <w:rPr>
                <w:rFonts w:hint="eastAsia" w:ascii="仿宋" w:hAnsi="仿宋" w:eastAsia="仿宋" w:cs="仿宋"/>
                <w:sz w:val="24"/>
                <w:szCs w:val="24"/>
              </w:rPr>
            </w:pPr>
            <w:r>
              <w:rPr>
                <w:rFonts w:hint="eastAsia" w:ascii="仿宋" w:hAnsi="仿宋" w:eastAsia="仿宋" w:cs="仿宋"/>
                <w:sz w:val="24"/>
                <w:szCs w:val="24"/>
              </w:rPr>
              <w:t>16:00——</w:t>
            </w:r>
          </w:p>
        </w:tc>
        <w:tc>
          <w:tcPr>
            <w:tcW w:w="2955" w:type="dxa"/>
            <w:vAlign w:val="center"/>
          </w:tcPr>
          <w:p w14:paraId="7D392A2D">
            <w:pPr>
              <w:jc w:val="center"/>
              <w:rPr>
                <w:rFonts w:hint="eastAsia" w:ascii="仿宋" w:hAnsi="仿宋" w:eastAsia="仿宋" w:cs="仿宋"/>
                <w:sz w:val="24"/>
                <w:szCs w:val="24"/>
              </w:rPr>
            </w:pPr>
            <w:r>
              <w:rPr>
                <w:rFonts w:hint="eastAsia" w:ascii="仿宋" w:hAnsi="仿宋" w:eastAsia="仿宋" w:cs="仿宋"/>
                <w:sz w:val="24"/>
                <w:szCs w:val="24"/>
              </w:rPr>
              <w:t>检查封闭赛场</w:t>
            </w:r>
          </w:p>
        </w:tc>
        <w:tc>
          <w:tcPr>
            <w:tcW w:w="2829" w:type="dxa"/>
            <w:vAlign w:val="center"/>
          </w:tcPr>
          <w:p w14:paraId="15140340">
            <w:pPr>
              <w:jc w:val="center"/>
              <w:rPr>
                <w:rFonts w:hint="eastAsia" w:ascii="仿宋" w:hAnsi="仿宋" w:eastAsia="仿宋" w:cs="仿宋"/>
                <w:sz w:val="24"/>
                <w:szCs w:val="24"/>
              </w:rPr>
            </w:pPr>
            <w:r>
              <w:rPr>
                <w:rFonts w:hint="eastAsia" w:ascii="仿宋" w:hAnsi="仿宋" w:eastAsia="仿宋" w:cs="仿宋"/>
                <w:sz w:val="24"/>
                <w:szCs w:val="24"/>
              </w:rPr>
              <w:t>裁判长、监督仲裁组</w:t>
            </w:r>
          </w:p>
        </w:tc>
      </w:tr>
      <w:tr w14:paraId="37CBE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restart"/>
            <w:vAlign w:val="center"/>
          </w:tcPr>
          <w:p w14:paraId="530DD884">
            <w:pPr>
              <w:pStyle w:val="3"/>
              <w:spacing w:line="240" w:lineRule="auto"/>
              <w:ind w:firstLine="0" w:firstLineChars="0"/>
              <w:jc w:val="center"/>
              <w:rPr>
                <w:rFonts w:hint="eastAsia" w:cs="仿宋"/>
                <w:sz w:val="24"/>
                <w:szCs w:val="24"/>
              </w:rPr>
            </w:pPr>
            <w:r>
              <w:rPr>
                <w:rFonts w:hint="eastAsia" w:cs="仿宋"/>
                <w:sz w:val="24"/>
                <w:szCs w:val="24"/>
              </w:rPr>
              <w:t>竞赛第一天</w:t>
            </w:r>
          </w:p>
        </w:tc>
        <w:tc>
          <w:tcPr>
            <w:tcW w:w="1725" w:type="dxa"/>
            <w:vAlign w:val="center"/>
          </w:tcPr>
          <w:p w14:paraId="5538178B">
            <w:pPr>
              <w:pStyle w:val="3"/>
              <w:spacing w:line="240" w:lineRule="auto"/>
              <w:ind w:firstLine="0" w:firstLineChars="0"/>
              <w:jc w:val="center"/>
              <w:rPr>
                <w:rFonts w:hint="eastAsia" w:cs="仿宋"/>
                <w:sz w:val="24"/>
                <w:szCs w:val="24"/>
              </w:rPr>
            </w:pPr>
            <w:r>
              <w:rPr>
                <w:rFonts w:hint="eastAsia" w:cs="仿宋"/>
                <w:sz w:val="24"/>
                <w:szCs w:val="24"/>
              </w:rPr>
              <w:t>07:00-07:30</w:t>
            </w:r>
          </w:p>
        </w:tc>
        <w:tc>
          <w:tcPr>
            <w:tcW w:w="2955" w:type="dxa"/>
            <w:vAlign w:val="center"/>
          </w:tcPr>
          <w:p w14:paraId="63EC164C">
            <w:pPr>
              <w:pStyle w:val="3"/>
              <w:spacing w:line="240" w:lineRule="auto"/>
              <w:ind w:firstLine="0" w:firstLineChars="0"/>
              <w:jc w:val="center"/>
              <w:rPr>
                <w:rFonts w:hint="eastAsia" w:cs="仿宋"/>
                <w:sz w:val="24"/>
                <w:szCs w:val="24"/>
              </w:rPr>
            </w:pPr>
            <w:r>
              <w:rPr>
                <w:rFonts w:hint="eastAsia" w:cs="仿宋"/>
                <w:sz w:val="24"/>
                <w:szCs w:val="24"/>
              </w:rPr>
              <w:t>学生抵达赛场，抽签入场</w:t>
            </w:r>
          </w:p>
        </w:tc>
        <w:tc>
          <w:tcPr>
            <w:tcW w:w="2829" w:type="dxa"/>
            <w:vAlign w:val="center"/>
          </w:tcPr>
          <w:p w14:paraId="7320438A">
            <w:pPr>
              <w:pStyle w:val="3"/>
              <w:spacing w:line="240" w:lineRule="auto"/>
              <w:ind w:firstLine="0" w:firstLineChars="0"/>
              <w:jc w:val="center"/>
              <w:rPr>
                <w:rFonts w:hint="eastAsia" w:cs="仿宋"/>
                <w:sz w:val="24"/>
                <w:szCs w:val="24"/>
              </w:rPr>
            </w:pPr>
            <w:r>
              <w:rPr>
                <w:rFonts w:hint="eastAsia" w:cs="仿宋"/>
                <w:sz w:val="24"/>
                <w:szCs w:val="24"/>
              </w:rPr>
              <w:t>全员</w:t>
            </w:r>
          </w:p>
        </w:tc>
      </w:tr>
      <w:tr w14:paraId="1B08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continue"/>
            <w:vAlign w:val="center"/>
          </w:tcPr>
          <w:p w14:paraId="2588CD83">
            <w:pPr>
              <w:pStyle w:val="3"/>
              <w:spacing w:line="240" w:lineRule="auto"/>
              <w:ind w:firstLine="480"/>
              <w:jc w:val="center"/>
              <w:rPr>
                <w:rFonts w:hint="eastAsia" w:cs="仿宋"/>
                <w:sz w:val="24"/>
                <w:szCs w:val="24"/>
              </w:rPr>
            </w:pPr>
          </w:p>
        </w:tc>
        <w:tc>
          <w:tcPr>
            <w:tcW w:w="1725" w:type="dxa"/>
            <w:vAlign w:val="center"/>
          </w:tcPr>
          <w:p w14:paraId="0C40D27D">
            <w:pPr>
              <w:pStyle w:val="3"/>
              <w:spacing w:line="240" w:lineRule="auto"/>
              <w:ind w:firstLine="0" w:firstLineChars="0"/>
              <w:jc w:val="center"/>
              <w:rPr>
                <w:rFonts w:hint="eastAsia" w:cs="仿宋"/>
                <w:sz w:val="24"/>
                <w:szCs w:val="24"/>
              </w:rPr>
            </w:pPr>
            <w:r>
              <w:rPr>
                <w:rFonts w:hint="eastAsia" w:cs="仿宋"/>
                <w:sz w:val="24"/>
                <w:szCs w:val="24"/>
              </w:rPr>
              <w:t>07:30-08:00</w:t>
            </w:r>
          </w:p>
        </w:tc>
        <w:tc>
          <w:tcPr>
            <w:tcW w:w="2955" w:type="dxa"/>
            <w:vAlign w:val="center"/>
          </w:tcPr>
          <w:p w14:paraId="2DD7CC38">
            <w:pPr>
              <w:pStyle w:val="3"/>
              <w:spacing w:line="240" w:lineRule="auto"/>
              <w:ind w:firstLine="0" w:firstLineChars="0"/>
              <w:jc w:val="center"/>
              <w:rPr>
                <w:rFonts w:hint="eastAsia" w:cs="仿宋"/>
                <w:sz w:val="24"/>
                <w:szCs w:val="24"/>
              </w:rPr>
            </w:pPr>
            <w:r>
              <w:rPr>
                <w:rFonts w:hint="eastAsia" w:cs="仿宋"/>
                <w:sz w:val="24"/>
                <w:szCs w:val="24"/>
              </w:rPr>
              <w:t>学生入场</w:t>
            </w:r>
          </w:p>
        </w:tc>
        <w:tc>
          <w:tcPr>
            <w:tcW w:w="2829" w:type="dxa"/>
            <w:vAlign w:val="center"/>
          </w:tcPr>
          <w:p w14:paraId="4AC24CC5">
            <w:pPr>
              <w:pStyle w:val="3"/>
              <w:spacing w:line="240" w:lineRule="auto"/>
              <w:ind w:firstLine="0" w:firstLineChars="0"/>
              <w:jc w:val="center"/>
              <w:rPr>
                <w:rFonts w:hint="eastAsia" w:cs="仿宋"/>
                <w:sz w:val="24"/>
                <w:szCs w:val="24"/>
              </w:rPr>
            </w:pPr>
            <w:r>
              <w:rPr>
                <w:rFonts w:hint="eastAsia" w:cs="仿宋"/>
                <w:sz w:val="24"/>
                <w:szCs w:val="24"/>
              </w:rPr>
              <w:t>全员</w:t>
            </w:r>
          </w:p>
        </w:tc>
      </w:tr>
      <w:tr w14:paraId="20FCA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continue"/>
            <w:vAlign w:val="center"/>
          </w:tcPr>
          <w:p w14:paraId="1DD7045A">
            <w:pPr>
              <w:pStyle w:val="3"/>
              <w:spacing w:line="240" w:lineRule="auto"/>
              <w:ind w:firstLine="480"/>
              <w:jc w:val="center"/>
              <w:rPr>
                <w:rFonts w:hint="eastAsia" w:cs="仿宋"/>
                <w:sz w:val="24"/>
                <w:szCs w:val="24"/>
              </w:rPr>
            </w:pPr>
          </w:p>
        </w:tc>
        <w:tc>
          <w:tcPr>
            <w:tcW w:w="1725" w:type="dxa"/>
            <w:vAlign w:val="center"/>
          </w:tcPr>
          <w:p w14:paraId="5CCEA239">
            <w:pPr>
              <w:pStyle w:val="3"/>
              <w:spacing w:line="240" w:lineRule="auto"/>
              <w:ind w:firstLine="0" w:firstLineChars="0"/>
              <w:jc w:val="center"/>
              <w:rPr>
                <w:rFonts w:hint="eastAsia" w:cs="仿宋"/>
                <w:sz w:val="24"/>
                <w:szCs w:val="24"/>
              </w:rPr>
            </w:pPr>
            <w:r>
              <w:rPr>
                <w:rFonts w:hint="eastAsia" w:cs="仿宋"/>
                <w:sz w:val="24"/>
                <w:szCs w:val="24"/>
              </w:rPr>
              <w:t>08:00-08:30</w:t>
            </w:r>
          </w:p>
        </w:tc>
        <w:tc>
          <w:tcPr>
            <w:tcW w:w="2955" w:type="dxa"/>
            <w:vAlign w:val="center"/>
          </w:tcPr>
          <w:p w14:paraId="7E324104">
            <w:pPr>
              <w:jc w:val="center"/>
              <w:rPr>
                <w:rFonts w:hint="eastAsia" w:ascii="仿宋" w:hAnsi="仿宋" w:eastAsia="仿宋" w:cs="仿宋"/>
                <w:sz w:val="24"/>
                <w:szCs w:val="24"/>
              </w:rPr>
            </w:pPr>
            <w:r>
              <w:rPr>
                <w:rFonts w:hint="eastAsia" w:ascii="仿宋" w:hAnsi="仿宋" w:eastAsia="仿宋" w:cs="仿宋"/>
                <w:sz w:val="24"/>
                <w:szCs w:val="24"/>
              </w:rPr>
              <w:t>裁判进入裁判室</w:t>
            </w:r>
          </w:p>
        </w:tc>
        <w:tc>
          <w:tcPr>
            <w:tcW w:w="2829" w:type="dxa"/>
            <w:vAlign w:val="center"/>
          </w:tcPr>
          <w:p w14:paraId="68F52E43">
            <w:pPr>
              <w:jc w:val="center"/>
              <w:rPr>
                <w:rFonts w:hint="eastAsia" w:ascii="仿宋" w:hAnsi="仿宋" w:eastAsia="仿宋" w:cs="仿宋"/>
                <w:sz w:val="24"/>
                <w:szCs w:val="24"/>
              </w:rPr>
            </w:pPr>
            <w:r>
              <w:rPr>
                <w:rFonts w:hint="eastAsia" w:ascii="仿宋" w:hAnsi="仿宋" w:eastAsia="仿宋" w:cs="仿宋"/>
                <w:sz w:val="24"/>
                <w:szCs w:val="24"/>
              </w:rPr>
              <w:t>裁判长、现场裁判</w:t>
            </w:r>
          </w:p>
        </w:tc>
      </w:tr>
      <w:tr w14:paraId="5CC81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continue"/>
            <w:vAlign w:val="center"/>
          </w:tcPr>
          <w:p w14:paraId="18430AE6">
            <w:pPr>
              <w:pStyle w:val="3"/>
              <w:spacing w:line="240" w:lineRule="auto"/>
              <w:ind w:firstLine="480"/>
              <w:jc w:val="center"/>
              <w:rPr>
                <w:rFonts w:hint="eastAsia" w:cs="仿宋"/>
                <w:sz w:val="24"/>
                <w:szCs w:val="24"/>
              </w:rPr>
            </w:pPr>
          </w:p>
        </w:tc>
        <w:tc>
          <w:tcPr>
            <w:tcW w:w="1725" w:type="dxa"/>
            <w:vAlign w:val="center"/>
          </w:tcPr>
          <w:p w14:paraId="5F05E010">
            <w:pPr>
              <w:pStyle w:val="3"/>
              <w:spacing w:line="240" w:lineRule="auto"/>
              <w:ind w:firstLine="0" w:firstLineChars="0"/>
              <w:jc w:val="center"/>
              <w:rPr>
                <w:rFonts w:hint="eastAsia" w:cs="仿宋"/>
                <w:sz w:val="24"/>
                <w:szCs w:val="24"/>
              </w:rPr>
            </w:pPr>
            <w:r>
              <w:rPr>
                <w:rFonts w:hint="eastAsia" w:cs="仿宋"/>
                <w:sz w:val="24"/>
                <w:szCs w:val="24"/>
              </w:rPr>
              <w:t>08:00-08:20</w:t>
            </w:r>
          </w:p>
        </w:tc>
        <w:tc>
          <w:tcPr>
            <w:tcW w:w="2955" w:type="dxa"/>
            <w:vAlign w:val="center"/>
          </w:tcPr>
          <w:p w14:paraId="7F719CBA">
            <w:pPr>
              <w:jc w:val="center"/>
              <w:rPr>
                <w:rFonts w:hint="eastAsia" w:ascii="仿宋" w:hAnsi="仿宋" w:eastAsia="仿宋" w:cs="仿宋"/>
                <w:sz w:val="24"/>
                <w:szCs w:val="24"/>
              </w:rPr>
            </w:pPr>
            <w:r>
              <w:rPr>
                <w:rFonts w:hint="eastAsia" w:ascii="仿宋" w:hAnsi="仿宋" w:eastAsia="仿宋" w:cs="仿宋"/>
                <w:sz w:val="24"/>
                <w:szCs w:val="24"/>
              </w:rPr>
              <w:t>选手抽签</w:t>
            </w:r>
          </w:p>
        </w:tc>
        <w:tc>
          <w:tcPr>
            <w:tcW w:w="2829" w:type="dxa"/>
            <w:vAlign w:val="center"/>
          </w:tcPr>
          <w:p w14:paraId="44968062">
            <w:pPr>
              <w:jc w:val="center"/>
              <w:rPr>
                <w:rFonts w:hint="eastAsia" w:ascii="仿宋" w:hAnsi="仿宋" w:eastAsia="仿宋" w:cs="仿宋"/>
                <w:sz w:val="24"/>
                <w:szCs w:val="24"/>
              </w:rPr>
            </w:pPr>
            <w:r>
              <w:rPr>
                <w:rFonts w:hint="eastAsia" w:ascii="仿宋" w:hAnsi="仿宋" w:eastAsia="仿宋" w:cs="仿宋"/>
                <w:sz w:val="24"/>
                <w:szCs w:val="24"/>
              </w:rPr>
              <w:t>参赛选手、现场裁判</w:t>
            </w:r>
          </w:p>
        </w:tc>
      </w:tr>
      <w:tr w14:paraId="4D7C3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continue"/>
            <w:vAlign w:val="center"/>
          </w:tcPr>
          <w:p w14:paraId="022779D4">
            <w:pPr>
              <w:pStyle w:val="3"/>
              <w:spacing w:line="240" w:lineRule="auto"/>
              <w:ind w:firstLine="480"/>
              <w:jc w:val="center"/>
              <w:rPr>
                <w:rFonts w:hint="eastAsia" w:cs="仿宋"/>
                <w:sz w:val="24"/>
                <w:szCs w:val="24"/>
              </w:rPr>
            </w:pPr>
          </w:p>
        </w:tc>
        <w:tc>
          <w:tcPr>
            <w:tcW w:w="1725" w:type="dxa"/>
            <w:vAlign w:val="center"/>
          </w:tcPr>
          <w:p w14:paraId="3F79718A">
            <w:pPr>
              <w:pStyle w:val="3"/>
              <w:spacing w:line="240" w:lineRule="auto"/>
              <w:ind w:firstLine="0" w:firstLineChars="0"/>
              <w:jc w:val="center"/>
              <w:rPr>
                <w:rFonts w:hint="eastAsia" w:cs="仿宋"/>
                <w:sz w:val="24"/>
                <w:szCs w:val="24"/>
              </w:rPr>
            </w:pPr>
            <w:r>
              <w:rPr>
                <w:rFonts w:hint="eastAsia" w:cs="仿宋"/>
                <w:sz w:val="24"/>
                <w:szCs w:val="24"/>
              </w:rPr>
              <w:t>08:20-08:30</w:t>
            </w:r>
          </w:p>
        </w:tc>
        <w:tc>
          <w:tcPr>
            <w:tcW w:w="2955" w:type="dxa"/>
            <w:vAlign w:val="center"/>
          </w:tcPr>
          <w:p w14:paraId="31058577">
            <w:pPr>
              <w:jc w:val="center"/>
              <w:rPr>
                <w:rFonts w:hint="eastAsia" w:ascii="仿宋" w:hAnsi="仿宋" w:eastAsia="仿宋" w:cs="仿宋"/>
                <w:sz w:val="24"/>
                <w:szCs w:val="24"/>
              </w:rPr>
            </w:pPr>
            <w:r>
              <w:rPr>
                <w:rFonts w:hint="eastAsia" w:ascii="仿宋" w:hAnsi="仿宋" w:eastAsia="仿宋" w:cs="仿宋"/>
                <w:sz w:val="24"/>
                <w:szCs w:val="24"/>
              </w:rPr>
              <w:t>参赛代表就位，宣读考场纪律,抽取赛题参数表,赛题发放时间</w:t>
            </w:r>
          </w:p>
        </w:tc>
        <w:tc>
          <w:tcPr>
            <w:tcW w:w="2829" w:type="dxa"/>
            <w:vAlign w:val="center"/>
          </w:tcPr>
          <w:p w14:paraId="3BDDF7E7">
            <w:pPr>
              <w:jc w:val="center"/>
              <w:rPr>
                <w:rFonts w:hint="eastAsia" w:ascii="仿宋" w:hAnsi="仿宋" w:eastAsia="仿宋" w:cs="仿宋"/>
                <w:sz w:val="24"/>
                <w:szCs w:val="24"/>
              </w:rPr>
            </w:pPr>
            <w:r>
              <w:rPr>
                <w:rFonts w:hint="eastAsia" w:ascii="仿宋" w:hAnsi="仿宋" w:eastAsia="仿宋" w:cs="仿宋"/>
                <w:sz w:val="24"/>
                <w:szCs w:val="24"/>
              </w:rPr>
              <w:t>参赛选手、现场裁判</w:t>
            </w:r>
          </w:p>
        </w:tc>
      </w:tr>
      <w:tr w14:paraId="5E19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continue"/>
            <w:vAlign w:val="center"/>
          </w:tcPr>
          <w:p w14:paraId="30A2CEED">
            <w:pPr>
              <w:pStyle w:val="3"/>
              <w:spacing w:line="240" w:lineRule="auto"/>
              <w:ind w:firstLine="480"/>
              <w:jc w:val="center"/>
              <w:rPr>
                <w:rFonts w:hint="eastAsia" w:cs="仿宋"/>
                <w:sz w:val="24"/>
                <w:szCs w:val="24"/>
              </w:rPr>
            </w:pPr>
          </w:p>
        </w:tc>
        <w:tc>
          <w:tcPr>
            <w:tcW w:w="1725" w:type="dxa"/>
            <w:vAlign w:val="center"/>
          </w:tcPr>
          <w:p w14:paraId="70E925D9">
            <w:pPr>
              <w:pStyle w:val="3"/>
              <w:spacing w:line="240" w:lineRule="auto"/>
              <w:ind w:firstLine="0" w:firstLineChars="0"/>
              <w:jc w:val="center"/>
              <w:rPr>
                <w:rFonts w:hint="eastAsia" w:cs="仿宋"/>
                <w:sz w:val="24"/>
                <w:szCs w:val="24"/>
              </w:rPr>
            </w:pPr>
            <w:r>
              <w:rPr>
                <w:rFonts w:hint="eastAsia" w:cs="仿宋"/>
                <w:sz w:val="24"/>
                <w:szCs w:val="24"/>
              </w:rPr>
              <w:t>08:30-12:30</w:t>
            </w:r>
          </w:p>
        </w:tc>
        <w:tc>
          <w:tcPr>
            <w:tcW w:w="2955" w:type="dxa"/>
            <w:vAlign w:val="center"/>
          </w:tcPr>
          <w:p w14:paraId="3B5DE82C">
            <w:pPr>
              <w:jc w:val="center"/>
              <w:rPr>
                <w:rFonts w:hint="eastAsia" w:ascii="仿宋" w:hAnsi="仿宋" w:eastAsia="仿宋" w:cs="仿宋"/>
                <w:sz w:val="24"/>
                <w:szCs w:val="24"/>
              </w:rPr>
            </w:pPr>
            <w:r>
              <w:rPr>
                <w:rFonts w:hint="eastAsia" w:ascii="仿宋" w:hAnsi="仿宋" w:eastAsia="仿宋" w:cs="仿宋"/>
                <w:sz w:val="24"/>
                <w:szCs w:val="24"/>
              </w:rPr>
              <w:t>专业技能竞赛</w:t>
            </w:r>
          </w:p>
        </w:tc>
        <w:tc>
          <w:tcPr>
            <w:tcW w:w="2829" w:type="dxa"/>
            <w:vAlign w:val="center"/>
          </w:tcPr>
          <w:p w14:paraId="1CA0C105">
            <w:pPr>
              <w:jc w:val="center"/>
              <w:rPr>
                <w:rFonts w:hint="eastAsia" w:ascii="仿宋" w:hAnsi="仿宋" w:eastAsia="仿宋" w:cs="仿宋"/>
                <w:sz w:val="24"/>
                <w:szCs w:val="24"/>
              </w:rPr>
            </w:pPr>
            <w:r>
              <w:rPr>
                <w:rFonts w:hint="eastAsia" w:ascii="仿宋" w:hAnsi="仿宋" w:eastAsia="仿宋" w:cs="仿宋"/>
                <w:sz w:val="24"/>
                <w:szCs w:val="24"/>
              </w:rPr>
              <w:t>参赛选手、现场裁判</w:t>
            </w:r>
          </w:p>
        </w:tc>
      </w:tr>
      <w:tr w14:paraId="64E7A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continue"/>
            <w:vAlign w:val="center"/>
          </w:tcPr>
          <w:p w14:paraId="170BF00C">
            <w:pPr>
              <w:pStyle w:val="3"/>
              <w:spacing w:line="240" w:lineRule="auto"/>
              <w:ind w:firstLine="480"/>
              <w:jc w:val="center"/>
              <w:rPr>
                <w:rFonts w:hint="eastAsia" w:cs="仿宋"/>
                <w:sz w:val="24"/>
                <w:szCs w:val="24"/>
              </w:rPr>
            </w:pPr>
          </w:p>
        </w:tc>
        <w:tc>
          <w:tcPr>
            <w:tcW w:w="1725" w:type="dxa"/>
            <w:vAlign w:val="center"/>
          </w:tcPr>
          <w:p w14:paraId="4004C830">
            <w:pPr>
              <w:pStyle w:val="3"/>
              <w:spacing w:line="240" w:lineRule="auto"/>
              <w:ind w:firstLine="0" w:firstLineChars="0"/>
              <w:jc w:val="center"/>
              <w:rPr>
                <w:rFonts w:hint="eastAsia" w:cs="仿宋"/>
                <w:sz w:val="24"/>
                <w:szCs w:val="24"/>
              </w:rPr>
            </w:pPr>
            <w:r>
              <w:rPr>
                <w:rFonts w:hint="eastAsia" w:cs="仿宋"/>
                <w:sz w:val="24"/>
                <w:szCs w:val="24"/>
              </w:rPr>
              <w:t>13:30-18:30</w:t>
            </w:r>
          </w:p>
        </w:tc>
        <w:tc>
          <w:tcPr>
            <w:tcW w:w="2955" w:type="dxa"/>
            <w:vAlign w:val="center"/>
          </w:tcPr>
          <w:p w14:paraId="1280AC63">
            <w:pPr>
              <w:jc w:val="center"/>
              <w:rPr>
                <w:rFonts w:hint="eastAsia" w:ascii="仿宋" w:hAnsi="仿宋" w:eastAsia="仿宋" w:cs="仿宋"/>
                <w:sz w:val="24"/>
                <w:szCs w:val="24"/>
              </w:rPr>
            </w:pPr>
            <w:r>
              <w:rPr>
                <w:rFonts w:hint="eastAsia" w:ascii="仿宋" w:hAnsi="仿宋" w:eastAsia="仿宋" w:cs="仿宋"/>
                <w:sz w:val="24"/>
                <w:szCs w:val="24"/>
              </w:rPr>
              <w:t>项目展示</w:t>
            </w:r>
          </w:p>
        </w:tc>
        <w:tc>
          <w:tcPr>
            <w:tcW w:w="2829" w:type="dxa"/>
            <w:vAlign w:val="center"/>
          </w:tcPr>
          <w:p w14:paraId="6D62085C">
            <w:pPr>
              <w:jc w:val="center"/>
              <w:rPr>
                <w:rFonts w:hint="eastAsia" w:ascii="仿宋" w:hAnsi="仿宋" w:eastAsia="仿宋" w:cs="仿宋"/>
                <w:sz w:val="24"/>
                <w:szCs w:val="24"/>
              </w:rPr>
            </w:pPr>
            <w:r>
              <w:rPr>
                <w:rFonts w:hint="eastAsia" w:ascii="仿宋" w:hAnsi="仿宋" w:eastAsia="仿宋" w:cs="仿宋"/>
                <w:sz w:val="24"/>
                <w:szCs w:val="24"/>
              </w:rPr>
              <w:t>参赛选手、现场裁判</w:t>
            </w:r>
          </w:p>
        </w:tc>
      </w:tr>
      <w:tr w14:paraId="25507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9" w:type="dxa"/>
            <w:vMerge w:val="continue"/>
            <w:vAlign w:val="center"/>
          </w:tcPr>
          <w:p w14:paraId="26D86169">
            <w:pPr>
              <w:pStyle w:val="3"/>
              <w:spacing w:line="240" w:lineRule="auto"/>
              <w:ind w:firstLine="480"/>
              <w:jc w:val="center"/>
              <w:rPr>
                <w:rFonts w:hint="eastAsia" w:cs="仿宋"/>
                <w:sz w:val="24"/>
                <w:szCs w:val="24"/>
              </w:rPr>
            </w:pPr>
          </w:p>
        </w:tc>
        <w:tc>
          <w:tcPr>
            <w:tcW w:w="1725" w:type="dxa"/>
            <w:vAlign w:val="center"/>
          </w:tcPr>
          <w:p w14:paraId="561DB696">
            <w:pPr>
              <w:pStyle w:val="3"/>
              <w:spacing w:line="240" w:lineRule="auto"/>
              <w:ind w:firstLine="0" w:firstLineChars="0"/>
              <w:jc w:val="center"/>
              <w:rPr>
                <w:rFonts w:hint="eastAsia" w:cs="仿宋"/>
                <w:sz w:val="24"/>
                <w:szCs w:val="24"/>
              </w:rPr>
            </w:pPr>
            <w:r>
              <w:rPr>
                <w:rFonts w:hint="eastAsia" w:cs="仿宋"/>
                <w:sz w:val="24"/>
                <w:szCs w:val="24"/>
              </w:rPr>
              <w:t>18:30——</w:t>
            </w:r>
          </w:p>
        </w:tc>
        <w:tc>
          <w:tcPr>
            <w:tcW w:w="2955" w:type="dxa"/>
            <w:vAlign w:val="center"/>
          </w:tcPr>
          <w:p w14:paraId="4CF2703C">
            <w:pPr>
              <w:jc w:val="center"/>
              <w:rPr>
                <w:rFonts w:hint="eastAsia" w:ascii="仿宋" w:hAnsi="仿宋" w:eastAsia="仿宋" w:cs="仿宋"/>
                <w:sz w:val="24"/>
                <w:szCs w:val="24"/>
              </w:rPr>
            </w:pPr>
            <w:r>
              <w:rPr>
                <w:rFonts w:hint="eastAsia" w:ascii="仿宋" w:hAnsi="仿宋" w:eastAsia="仿宋" w:cs="仿宋"/>
                <w:sz w:val="24"/>
                <w:szCs w:val="24"/>
              </w:rPr>
              <w:t>比赛结果提交</w:t>
            </w:r>
          </w:p>
        </w:tc>
        <w:tc>
          <w:tcPr>
            <w:tcW w:w="2829" w:type="dxa"/>
            <w:vAlign w:val="center"/>
          </w:tcPr>
          <w:p w14:paraId="0BC87C2D">
            <w:pPr>
              <w:jc w:val="center"/>
              <w:rPr>
                <w:rFonts w:hint="eastAsia" w:ascii="仿宋" w:hAnsi="仿宋" w:eastAsia="仿宋" w:cs="仿宋"/>
                <w:sz w:val="24"/>
                <w:szCs w:val="24"/>
              </w:rPr>
            </w:pPr>
            <w:r>
              <w:rPr>
                <w:rFonts w:hint="eastAsia" w:ascii="仿宋" w:hAnsi="仿宋" w:eastAsia="仿宋" w:cs="仿宋"/>
                <w:sz w:val="24"/>
                <w:szCs w:val="24"/>
              </w:rPr>
              <w:t>参赛选手、现场裁判</w:t>
            </w:r>
          </w:p>
        </w:tc>
      </w:tr>
      <w:tr w14:paraId="0CE4D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1749" w:type="dxa"/>
            <w:vAlign w:val="center"/>
          </w:tcPr>
          <w:p w14:paraId="1BF21996">
            <w:pPr>
              <w:pStyle w:val="3"/>
              <w:spacing w:line="240" w:lineRule="auto"/>
              <w:ind w:firstLine="0" w:firstLineChars="0"/>
              <w:jc w:val="center"/>
              <w:rPr>
                <w:rFonts w:hint="eastAsia" w:cs="仿宋"/>
                <w:sz w:val="24"/>
                <w:szCs w:val="24"/>
              </w:rPr>
            </w:pPr>
            <w:r>
              <w:rPr>
                <w:rFonts w:hint="eastAsia" w:cs="仿宋"/>
                <w:sz w:val="24"/>
                <w:szCs w:val="24"/>
              </w:rPr>
              <w:t>竞赛后一天</w:t>
            </w:r>
          </w:p>
        </w:tc>
        <w:tc>
          <w:tcPr>
            <w:tcW w:w="1725" w:type="dxa"/>
            <w:vAlign w:val="center"/>
          </w:tcPr>
          <w:p w14:paraId="31CC4AC3">
            <w:pPr>
              <w:pStyle w:val="3"/>
              <w:spacing w:line="240" w:lineRule="auto"/>
              <w:ind w:firstLine="480"/>
              <w:jc w:val="center"/>
              <w:rPr>
                <w:rFonts w:hint="eastAsia" w:cs="仿宋"/>
                <w:sz w:val="24"/>
                <w:szCs w:val="24"/>
              </w:rPr>
            </w:pPr>
          </w:p>
        </w:tc>
        <w:tc>
          <w:tcPr>
            <w:tcW w:w="2955" w:type="dxa"/>
            <w:vAlign w:val="center"/>
          </w:tcPr>
          <w:p w14:paraId="055CE852">
            <w:pPr>
              <w:jc w:val="center"/>
              <w:rPr>
                <w:rFonts w:cs="仿宋"/>
                <w:sz w:val="24"/>
                <w:szCs w:val="24"/>
              </w:rPr>
            </w:pPr>
            <w:r>
              <w:rPr>
                <w:rFonts w:hint="eastAsia" w:eastAsia="仿宋_GB2312"/>
                <w:sz w:val="24"/>
                <w:szCs w:val="24"/>
              </w:rPr>
              <w:t>返程</w:t>
            </w:r>
          </w:p>
        </w:tc>
        <w:tc>
          <w:tcPr>
            <w:tcW w:w="2829" w:type="dxa"/>
            <w:vAlign w:val="center"/>
          </w:tcPr>
          <w:p w14:paraId="58493E38">
            <w:pPr>
              <w:pStyle w:val="3"/>
              <w:spacing w:line="240" w:lineRule="auto"/>
              <w:ind w:firstLine="0" w:firstLineChars="0"/>
              <w:jc w:val="center"/>
              <w:rPr>
                <w:rFonts w:hint="eastAsia" w:cs="仿宋"/>
                <w:sz w:val="24"/>
                <w:szCs w:val="24"/>
              </w:rPr>
            </w:pPr>
            <w:r>
              <w:rPr>
                <w:rFonts w:hint="eastAsia" w:cs="仿宋"/>
                <w:sz w:val="24"/>
                <w:szCs w:val="24"/>
              </w:rPr>
              <w:t>全员</w:t>
            </w:r>
          </w:p>
        </w:tc>
      </w:tr>
    </w:tbl>
    <w:p w14:paraId="4360418B"/>
    <w:p w14:paraId="5EBF42DE">
      <w:pPr>
        <w:ind w:firstLine="210"/>
      </w:pPr>
    </w:p>
    <w:p w14:paraId="6A752287">
      <w:pPr>
        <w:pStyle w:val="2"/>
        <w:spacing w:after="156"/>
        <w:ind w:firstLine="300"/>
      </w:pPr>
      <w:r>
        <w:rPr>
          <w:rFonts w:hint="eastAsia"/>
        </w:rPr>
        <w:t>六、竞赛规则</w:t>
      </w:r>
    </w:p>
    <w:p w14:paraId="2ABA73C1">
      <w:pPr>
        <w:numPr>
          <w:ilvl w:val="0"/>
          <w:numId w:val="3"/>
        </w:num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参赛选手报名</w:t>
      </w:r>
    </w:p>
    <w:p w14:paraId="4DF77D5E">
      <w:pPr>
        <w:numPr>
          <w:ilvl w:val="0"/>
          <w:numId w:val="4"/>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参赛队资格：参赛选手需为职业院校全日制在籍学生。</w:t>
      </w:r>
    </w:p>
    <w:p w14:paraId="2A915937">
      <w:pPr>
        <w:numPr>
          <w:ilvl w:val="0"/>
          <w:numId w:val="4"/>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组队要求：学生组参赛选手须为2名，2025年度普通高等学校全日制在籍专科学生、本科院校中高职类全日制在籍学生、五年制高职四、五年级学生可报名参加高职组比赛。高职组参赛选手年龄须不超过25周岁（当年），年龄计算的截止时间以2025年11月1日为准。凡获得过世界职业院校技能大赛金奖或全国职业院校技能大赛一等奖的学生，不能参加同一赛项同一组别（中职组、高职组）的省赛。</w:t>
      </w:r>
    </w:p>
    <w:p w14:paraId="25185332">
      <w:pPr>
        <w:numPr>
          <w:ilvl w:val="0"/>
          <w:numId w:val="4"/>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参赛选手须认真填写报名表各项内容，提供个人真实身份证明，凡弄虚作假者，将取消其比赛资格。各参赛报名单位负责本单位参赛人员的资格审查工作，并保存相关证明材料的复印件，以备查阅。</w:t>
      </w:r>
    </w:p>
    <w:p w14:paraId="76F59126">
      <w:pPr>
        <w:numPr>
          <w:ilvl w:val="0"/>
          <w:numId w:val="4"/>
        </w:numPr>
        <w:spacing w:line="360" w:lineRule="auto"/>
        <w:ind w:firstLine="560" w:firstLineChars="200"/>
        <w:rPr>
          <w:rFonts w:hint="eastAsia"/>
        </w:rPr>
      </w:pPr>
      <w:r>
        <w:rPr>
          <w:rFonts w:hint="eastAsia" w:ascii="仿宋" w:hAnsi="仿宋" w:eastAsia="仿宋" w:cs="仿宋"/>
          <w:sz w:val="28"/>
          <w:szCs w:val="28"/>
        </w:rPr>
        <w:t>各高职院校按照大赛组委会规定的报名要求，通过“河北省职业院校技能大赛网络报名系统”报名参赛。</w:t>
      </w:r>
      <w:bookmarkStart w:id="2" w:name="_GoBack"/>
      <w:bookmarkEnd w:id="2"/>
    </w:p>
    <w:p w14:paraId="45CE465B">
      <w:pPr>
        <w:numPr>
          <w:ilvl w:val="0"/>
          <w:numId w:val="3"/>
        </w:num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熟悉场地</w:t>
      </w:r>
    </w:p>
    <w:p w14:paraId="156DEC19">
      <w:pPr>
        <w:numPr>
          <w:ilvl w:val="0"/>
          <w:numId w:val="5"/>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组委会安排在报到结束后各参赛队统一有序的熟悉场地。</w:t>
      </w:r>
    </w:p>
    <w:p w14:paraId="35074929">
      <w:pPr>
        <w:numPr>
          <w:ilvl w:val="0"/>
          <w:numId w:val="5"/>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熟悉场地严格遵守大赛各种制度，严禁拥挤，喧哗，以免发生意外事故。</w:t>
      </w:r>
    </w:p>
    <w:p w14:paraId="738E67B5">
      <w:pPr>
        <w:numPr>
          <w:ilvl w:val="0"/>
          <w:numId w:val="3"/>
        </w:num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比赛入场</w:t>
      </w:r>
    </w:p>
    <w:p w14:paraId="392D8556">
      <w:pPr>
        <w:numPr>
          <w:ilvl w:val="0"/>
          <w:numId w:val="6"/>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参赛选手根据赛项要求，按规定的时间准时到达赛场后，参赛选手须提供参赛证、身份证、经学校注册的学生证，完成检录后有序进入赛场。</w:t>
      </w:r>
    </w:p>
    <w:p w14:paraId="22611461">
      <w:pPr>
        <w:numPr>
          <w:ilvl w:val="0"/>
          <w:numId w:val="6"/>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竞赛工位通过抽签决定，竞赛期间参赛选手不得离开竞赛工位。</w:t>
      </w:r>
    </w:p>
    <w:p w14:paraId="01578271">
      <w:pPr>
        <w:numPr>
          <w:ilvl w:val="0"/>
          <w:numId w:val="6"/>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竞赛所需的硬件设备、系统软件和辅助工具由赛项执委会统一安排，参赛选手不得自带硬件设备、软件、移动存储、辅助工具、移动通信设备等进入竞赛现场。</w:t>
      </w:r>
    </w:p>
    <w:p w14:paraId="1533DB2E">
      <w:pPr>
        <w:numPr>
          <w:ilvl w:val="0"/>
          <w:numId w:val="6"/>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参赛选手自行决定选手分工、工作程序和时间安排。</w:t>
      </w:r>
    </w:p>
    <w:p w14:paraId="016C3B0C">
      <w:pPr>
        <w:numPr>
          <w:ilvl w:val="0"/>
          <w:numId w:val="6"/>
        </w:num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参赛选手在赛前10分钟进入竞赛工位并领取竞赛任务，竞赛正式开始后方可展开相关工作。</w:t>
      </w:r>
    </w:p>
    <w:p w14:paraId="3021F757">
      <w:pPr>
        <w:numPr>
          <w:ilvl w:val="0"/>
          <w:numId w:val="3"/>
        </w:num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比赛过程</w:t>
      </w:r>
    </w:p>
    <w:p w14:paraId="221A9ABD">
      <w:pPr>
        <w:numPr>
          <w:ilvl w:val="0"/>
          <w:numId w:val="7"/>
        </w:numPr>
        <w:ind w:firstLine="560" w:firstLineChars="200"/>
        <w:rPr>
          <w:rFonts w:hint="eastAsia" w:ascii="仿宋" w:hAnsi="仿宋" w:eastAsia="仿宋" w:cs="仿宋"/>
          <w:sz w:val="28"/>
          <w:szCs w:val="28"/>
        </w:rPr>
      </w:pPr>
      <w:r>
        <w:rPr>
          <w:rFonts w:hint="eastAsia" w:ascii="仿宋" w:hAnsi="仿宋" w:eastAsia="仿宋" w:cs="仿宋"/>
          <w:sz w:val="28"/>
          <w:szCs w:val="28"/>
        </w:rPr>
        <w:t>选手进入赛场必须听从现场裁判员的统一布置和指挥，首先需对比赛设备、运行环境等进行检查和测试，如有问题及时向裁判员报告。</w:t>
      </w:r>
    </w:p>
    <w:p w14:paraId="71AF0EFC">
      <w:pPr>
        <w:numPr>
          <w:ilvl w:val="0"/>
          <w:numId w:val="7"/>
        </w:numPr>
        <w:ind w:firstLine="560" w:firstLineChars="200"/>
        <w:rPr>
          <w:rFonts w:hint="eastAsia" w:ascii="仿宋" w:hAnsi="仿宋" w:eastAsia="仿宋" w:cs="仿宋"/>
          <w:sz w:val="28"/>
          <w:szCs w:val="28"/>
        </w:rPr>
      </w:pPr>
      <w:r>
        <w:rPr>
          <w:rFonts w:hint="eastAsia" w:ascii="仿宋" w:hAnsi="仿宋" w:eastAsia="仿宋" w:cs="仿宋"/>
          <w:sz w:val="28"/>
          <w:szCs w:val="28"/>
        </w:rPr>
        <w:t>参赛选手必须在裁判宣布比赛开始后才能进行正式比赛操作。</w:t>
      </w:r>
    </w:p>
    <w:p w14:paraId="63DEE0F1">
      <w:pPr>
        <w:numPr>
          <w:ilvl w:val="0"/>
          <w:numId w:val="7"/>
        </w:numPr>
        <w:ind w:firstLine="560" w:firstLineChars="200"/>
        <w:rPr>
          <w:rFonts w:hint="eastAsia" w:ascii="仿宋" w:hAnsi="仿宋" w:eastAsia="仿宋" w:cs="仿宋"/>
          <w:sz w:val="28"/>
          <w:szCs w:val="28"/>
        </w:rPr>
      </w:pPr>
      <w:r>
        <w:rPr>
          <w:rFonts w:hint="eastAsia" w:ascii="仿宋" w:hAnsi="仿宋" w:eastAsia="仿宋" w:cs="仿宋"/>
          <w:sz w:val="28"/>
          <w:szCs w:val="28"/>
        </w:rPr>
        <w:t>参赛选手所携带进入赛场的参赛证件和其它物品，现场裁判员有权进行检验和核准。</w:t>
      </w:r>
    </w:p>
    <w:p w14:paraId="78686014">
      <w:pPr>
        <w:numPr>
          <w:ilvl w:val="0"/>
          <w:numId w:val="7"/>
        </w:numPr>
        <w:ind w:firstLine="560" w:firstLineChars="200"/>
        <w:rPr>
          <w:rFonts w:hint="eastAsia" w:ascii="仿宋" w:hAnsi="仿宋" w:eastAsia="仿宋" w:cs="仿宋"/>
          <w:sz w:val="28"/>
          <w:szCs w:val="28"/>
        </w:rPr>
      </w:pPr>
      <w:r>
        <w:rPr>
          <w:rFonts w:hint="eastAsia" w:ascii="仿宋" w:hAnsi="仿宋" w:eastAsia="仿宋" w:cs="仿宋"/>
          <w:sz w:val="28"/>
          <w:szCs w:val="28"/>
        </w:rPr>
        <w:t>比赛过程中选手不得随意离开工位范围，不得与其它选手交流或擅自离开赛场。如遇问题时须举手向裁判员示意询问后处理，否则按作弊行为处理。</w:t>
      </w:r>
    </w:p>
    <w:p w14:paraId="573AD9FF">
      <w:pPr>
        <w:numPr>
          <w:ilvl w:val="0"/>
          <w:numId w:val="7"/>
        </w:numPr>
        <w:ind w:firstLine="560" w:firstLineChars="200"/>
        <w:rPr>
          <w:rFonts w:hint="eastAsia" w:ascii="仿宋" w:hAnsi="仿宋" w:eastAsia="仿宋" w:cs="仿宋"/>
          <w:sz w:val="28"/>
          <w:szCs w:val="28"/>
        </w:rPr>
      </w:pPr>
      <w:r>
        <w:rPr>
          <w:rFonts w:hint="eastAsia" w:ascii="仿宋" w:hAnsi="仿宋" w:eastAsia="仿宋" w:cs="仿宋"/>
          <w:sz w:val="28"/>
          <w:szCs w:val="28"/>
        </w:rPr>
        <w:t>在比赛过程中只允许裁判员、工作人员进入现场，其余人员（包括领队、指导教师和其他参赛选手）未经组委会同意不得进入赛场。</w:t>
      </w:r>
    </w:p>
    <w:p w14:paraId="07C9F9DC">
      <w:pPr>
        <w:numPr>
          <w:ilvl w:val="0"/>
          <w:numId w:val="7"/>
        </w:numPr>
        <w:ind w:firstLine="560" w:firstLineChars="200"/>
        <w:rPr>
          <w:rFonts w:hint="eastAsia" w:ascii="仿宋" w:hAnsi="仿宋" w:eastAsia="仿宋" w:cs="仿宋"/>
          <w:sz w:val="28"/>
          <w:szCs w:val="28"/>
        </w:rPr>
      </w:pPr>
      <w:r>
        <w:rPr>
          <w:rFonts w:hint="eastAsia" w:ascii="仿宋" w:hAnsi="仿宋" w:eastAsia="仿宋" w:cs="仿宋"/>
          <w:sz w:val="28"/>
          <w:szCs w:val="28"/>
        </w:rPr>
        <w:t>比赛过程中，选手必须严格遵守安全操作规程，确保人身和设备安全，并接受现场裁判和技术人员的监督和警示。因选手造成设备故障或损坏，无法继续比赛，裁判长有权决定终止比赛。因非选手个人因素造成设备故障，由裁判长视具体情况做出裁决。如果确定为设备故障问题，裁判长将酌情给与补时。</w:t>
      </w:r>
    </w:p>
    <w:p w14:paraId="6A8327D0">
      <w:pPr>
        <w:numPr>
          <w:ilvl w:val="0"/>
          <w:numId w:val="7"/>
        </w:numPr>
        <w:ind w:firstLine="560" w:firstLineChars="200"/>
        <w:rPr>
          <w:rFonts w:hint="eastAsia" w:ascii="仿宋" w:hAnsi="仿宋" w:eastAsia="仿宋" w:cs="仿宋"/>
          <w:sz w:val="28"/>
          <w:szCs w:val="28"/>
        </w:rPr>
      </w:pPr>
      <w:r>
        <w:rPr>
          <w:rFonts w:hint="eastAsia" w:ascii="仿宋" w:hAnsi="仿宋" w:eastAsia="仿宋" w:cs="仿宋"/>
          <w:sz w:val="28"/>
          <w:szCs w:val="28"/>
        </w:rPr>
        <w:t>竞赛结束（或提前完成）后，参赛选手要确认已成功提交所有竞赛文档，裁判员与参赛选手一起签字确认，参赛选手在确认后不得再进行任何操作。</w:t>
      </w:r>
    </w:p>
    <w:p w14:paraId="449B4DEC">
      <w:pPr>
        <w:numPr>
          <w:ilvl w:val="0"/>
          <w:numId w:val="3"/>
        </w:num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比赛结束</w:t>
      </w:r>
    </w:p>
    <w:p w14:paraId="15093E23">
      <w:pPr>
        <w:numPr>
          <w:ilvl w:val="0"/>
          <w:numId w:val="8"/>
        </w:numPr>
        <w:snapToGrid w:val="0"/>
        <w:spacing w:after="156" w:afterLines="50"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最终竞赛成绩经复核无误及裁判长、监督仲裁长签字确认后，在指定地点，以纸质形式向全体参赛选手进行公布，并在闭赛式上予以宣布。</w:t>
      </w:r>
    </w:p>
    <w:p w14:paraId="1EA191AB">
      <w:pPr>
        <w:numPr>
          <w:ilvl w:val="0"/>
          <w:numId w:val="8"/>
        </w:numPr>
        <w:snapToGrid w:val="0"/>
        <w:spacing w:after="156" w:afterLines="50"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本赛项各参赛选手最终成绩由承办单位信息员录入赛务管理系统。承办单位信息员对成绩数据审核后，将赛务管理系统中录入的成绩导出打印，经赛项裁判长审核无误后签字。承办单位信息员将裁判长确认的电子版赛项成绩信息上传赛务管理系统，同时将裁判长签字的纸质打印成绩单报送大赛执委会。</w:t>
      </w:r>
    </w:p>
    <w:p w14:paraId="375E1581">
      <w:pPr>
        <w:numPr>
          <w:ilvl w:val="0"/>
          <w:numId w:val="8"/>
        </w:numPr>
        <w:snapToGrid w:val="0"/>
        <w:spacing w:after="156" w:afterLines="50"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赛项结束后专家工作组根据裁判判分情况，分析参赛选手在比赛过程中对各个知识点、技术的掌握程度，并将分析报告报备大赛执委会办公室，执委会办公室根据实际情况适时公布。</w:t>
      </w:r>
    </w:p>
    <w:p w14:paraId="2F6BBB2C">
      <w:pPr>
        <w:numPr>
          <w:ilvl w:val="0"/>
          <w:numId w:val="8"/>
        </w:numPr>
        <w:snapToGrid w:val="0"/>
        <w:spacing w:after="156" w:afterLines="50" w:line="360"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赛项每个比赛环节裁判判分的原始材料和最终成绩等结果性材料经监督仲裁组人员和裁判长签字后装袋密封留档，并由赛项承办院校封存，委派专人妥善保管。</w:t>
      </w:r>
    </w:p>
    <w:p w14:paraId="52F8617F">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（六）赛事规定</w:t>
      </w:r>
    </w:p>
    <w:p w14:paraId="1DC12F2A">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 参赛选手和指导教师必须遵守赛项规程和相关要求。</w:t>
      </w:r>
    </w:p>
    <w:p w14:paraId="173B1290">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 领队代表负责管理参赛选手和指导教师，应当严格遵守大赛制度的有关规定，有效管理参赛选手和指导教师，遵守申诉与监督仲裁程序。</w:t>
      </w:r>
    </w:p>
    <w:p w14:paraId="5043C98C">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 专家、裁判、监督仲裁人员必须遵守技能大赛制度，按制度规定履行职责，严格执行保密制度、遵守竞赛规程，公平公正履职。</w:t>
      </w:r>
    </w:p>
    <w:p w14:paraId="5397D248">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 赛务工作人员必须遵守规章制度，认真负责履行有关赛务岗位职责。</w:t>
      </w:r>
    </w:p>
    <w:p w14:paraId="026AE682">
      <w:pPr>
        <w:ind w:firstLine="210"/>
      </w:pPr>
    </w:p>
    <w:p w14:paraId="5A19AE3D">
      <w:pPr>
        <w:pStyle w:val="2"/>
        <w:spacing w:after="156"/>
        <w:ind w:firstLine="300"/>
      </w:pPr>
      <w:r>
        <w:rPr>
          <w:rFonts w:hint="eastAsia"/>
        </w:rPr>
        <w:t>七、技术平台</w:t>
      </w:r>
    </w:p>
    <w:p w14:paraId="263E5007">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（一）竞赛软件</w:t>
      </w:r>
    </w:p>
    <w:p w14:paraId="3F90DC4F">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应用技能平台完成理论及实践题目，竞赛环境网络拓扑图如下：</w:t>
      </w:r>
    </w:p>
    <w:p w14:paraId="33608C48">
      <w:pPr>
        <w:spacing w:after="156" w:afterLines="50" w:line="360" w:lineRule="auto"/>
        <w:ind w:firstLine="420" w:firstLineChars="200"/>
        <w:jc w:val="center"/>
      </w:pPr>
      <w:r>
        <w:drawing>
          <wp:inline distT="0" distB="0" distL="114300" distR="114300">
            <wp:extent cx="4164330" cy="442023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166626" cy="4422626"/>
                    </a:xfrm>
                    <a:prstGeom prst="rect">
                      <a:avLst/>
                    </a:prstGeom>
                    <a:noFill/>
                    <a:ln>
                      <a:noFill/>
                    </a:ln>
                  </pic:spPr>
                </pic:pic>
              </a:graphicData>
            </a:graphic>
          </wp:inline>
        </w:drawing>
      </w:r>
    </w:p>
    <w:p w14:paraId="19F267DF">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（二）竞赛设备</w:t>
      </w:r>
    </w:p>
    <w:p w14:paraId="038794F5">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本次竞赛使用云沙箱作为计算基座，应用的环境配置如下：</w:t>
      </w:r>
    </w:p>
    <w:tbl>
      <w:tblPr>
        <w:tblStyle w:val="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5831"/>
      </w:tblGrid>
      <w:tr w14:paraId="71DF8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78" w:type="pct"/>
            <w:vAlign w:val="center"/>
          </w:tcPr>
          <w:p w14:paraId="036A1E4D">
            <w:pPr>
              <w:adjustRightInd w:val="0"/>
              <w:snapToGrid w:val="0"/>
              <w:jc w:val="center"/>
              <w:rPr>
                <w:rFonts w:hint="eastAsia" w:ascii="仿宋" w:hAnsi="仿宋" w:eastAsia="仿宋" w:cs="仿宋"/>
                <w:b/>
                <w:bCs/>
                <w:sz w:val="24"/>
                <w:szCs w:val="24"/>
              </w:rPr>
            </w:pPr>
            <w:r>
              <w:rPr>
                <w:rFonts w:hint="eastAsia" w:ascii="仿宋" w:hAnsi="仿宋" w:eastAsia="仿宋" w:cs="仿宋"/>
                <w:b/>
                <w:bCs/>
                <w:sz w:val="24"/>
                <w:szCs w:val="24"/>
              </w:rPr>
              <w:t>参数</w:t>
            </w:r>
          </w:p>
        </w:tc>
        <w:tc>
          <w:tcPr>
            <w:tcW w:w="3422" w:type="pct"/>
            <w:vAlign w:val="center"/>
          </w:tcPr>
          <w:p w14:paraId="1919124B">
            <w:pPr>
              <w:adjustRightInd w:val="0"/>
              <w:snapToGrid w:val="0"/>
              <w:jc w:val="center"/>
              <w:rPr>
                <w:rFonts w:hint="eastAsia" w:ascii="仿宋" w:hAnsi="仿宋" w:eastAsia="仿宋" w:cs="仿宋"/>
                <w:b/>
                <w:bCs/>
                <w:sz w:val="24"/>
                <w:szCs w:val="24"/>
              </w:rPr>
            </w:pPr>
            <w:r>
              <w:rPr>
                <w:rFonts w:hint="eastAsia" w:ascii="仿宋" w:hAnsi="仿宋" w:eastAsia="仿宋" w:cs="仿宋"/>
                <w:b/>
                <w:bCs/>
                <w:sz w:val="24"/>
                <w:szCs w:val="24"/>
              </w:rPr>
              <w:t>配置</w:t>
            </w:r>
          </w:p>
        </w:tc>
      </w:tr>
      <w:tr w14:paraId="3D1C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14:paraId="268D9035">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CPU架构</w:t>
            </w:r>
          </w:p>
        </w:tc>
        <w:tc>
          <w:tcPr>
            <w:tcW w:w="5831" w:type="dxa"/>
            <w:vAlign w:val="center"/>
          </w:tcPr>
          <w:p w14:paraId="1FE2066A">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ARM和X86架构</w:t>
            </w:r>
          </w:p>
        </w:tc>
      </w:tr>
      <w:tr w14:paraId="2A6A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14:paraId="175A60E6">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规格</w:t>
            </w:r>
          </w:p>
        </w:tc>
        <w:tc>
          <w:tcPr>
            <w:tcW w:w="5831" w:type="dxa"/>
            <w:vAlign w:val="center"/>
          </w:tcPr>
          <w:p w14:paraId="01440B1C">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2vCPUs | 4GB</w:t>
            </w:r>
          </w:p>
        </w:tc>
      </w:tr>
      <w:tr w14:paraId="36AB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14:paraId="61A4880C">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镜像</w:t>
            </w:r>
          </w:p>
        </w:tc>
        <w:tc>
          <w:tcPr>
            <w:tcW w:w="5831" w:type="dxa"/>
            <w:vAlign w:val="center"/>
          </w:tcPr>
          <w:p w14:paraId="00040E77">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openEuler 20.03 64bit with ARM | Ubuntu 20.04 with X86 GUI</w:t>
            </w:r>
          </w:p>
        </w:tc>
      </w:tr>
      <w:tr w14:paraId="48274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9" w:type="dxa"/>
            <w:vAlign w:val="center"/>
          </w:tcPr>
          <w:p w14:paraId="70843C78">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系统盘</w:t>
            </w:r>
          </w:p>
        </w:tc>
        <w:tc>
          <w:tcPr>
            <w:tcW w:w="5831" w:type="dxa"/>
            <w:vAlign w:val="center"/>
          </w:tcPr>
          <w:p w14:paraId="1C10B61E">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40GB</w:t>
            </w:r>
          </w:p>
        </w:tc>
      </w:tr>
      <w:tr w14:paraId="30F04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78" w:type="pct"/>
            <w:vAlign w:val="center"/>
          </w:tcPr>
          <w:p w14:paraId="26D049B9">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系统默认用户</w:t>
            </w:r>
          </w:p>
        </w:tc>
        <w:tc>
          <w:tcPr>
            <w:tcW w:w="3422" w:type="pct"/>
            <w:vAlign w:val="center"/>
          </w:tcPr>
          <w:p w14:paraId="1FA8FCA0">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root</w:t>
            </w:r>
          </w:p>
        </w:tc>
      </w:tr>
      <w:tr w14:paraId="2F99D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78" w:type="pct"/>
            <w:vAlign w:val="center"/>
          </w:tcPr>
          <w:p w14:paraId="0CA1E651">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默认用户的密码</w:t>
            </w:r>
          </w:p>
        </w:tc>
        <w:tc>
          <w:tcPr>
            <w:tcW w:w="3422" w:type="pct"/>
            <w:vAlign w:val="center"/>
          </w:tcPr>
          <w:p w14:paraId="3A0D699F">
            <w:pPr>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沙箱环境提供</w:t>
            </w:r>
          </w:p>
        </w:tc>
      </w:tr>
    </w:tbl>
    <w:p w14:paraId="3C84605B">
      <w:pPr>
        <w:spacing w:after="156" w:afterLines="50" w:line="360" w:lineRule="auto"/>
        <w:ind w:firstLine="560" w:firstLineChars="200"/>
      </w:pPr>
      <w:r>
        <w:rPr>
          <w:rFonts w:hint="eastAsia" w:ascii="仿宋" w:hAnsi="仿宋" w:eastAsia="仿宋" w:cs="仿宋"/>
          <w:sz w:val="28"/>
          <w:szCs w:val="28"/>
        </w:rPr>
        <w:t>注：竞赛中需要两台服务器，分别为kp-001、kp-002。</w:t>
      </w:r>
    </w:p>
    <w:p w14:paraId="3D7168E3">
      <w:pPr>
        <w:ind w:firstLine="210"/>
      </w:pPr>
    </w:p>
    <w:p w14:paraId="42D1A089">
      <w:pPr>
        <w:pStyle w:val="2"/>
        <w:spacing w:after="156"/>
        <w:ind w:firstLine="300"/>
      </w:pPr>
      <w:r>
        <w:rPr>
          <w:rFonts w:hint="eastAsia"/>
        </w:rPr>
        <w:t>八、成绩评定</w:t>
      </w:r>
    </w:p>
    <w:p w14:paraId="7F0879F6">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按照《专家和裁判工作管理办法》建立大赛赛项裁判库，裁判长由赛项执委会向大赛执委会推荐，由大赛执委会聘任。赛前建立健全裁判组。裁判组为裁判长负责制，划分裁判小组（2人为一组），并设有专职督导人员1-2名，负责比赛过程全程监督，防止营私舞弊。</w:t>
      </w:r>
    </w:p>
    <w:p w14:paraId="033BDC8A">
      <w:pPr>
        <w:spacing w:after="156" w:afterLines="50" w:line="360" w:lineRule="auto"/>
        <w:ind w:firstLine="280"/>
        <w:rPr>
          <w:rFonts w:hint="eastAsia" w:ascii="仿宋" w:hAnsi="仿宋" w:eastAsia="仿宋" w:cs="仿宋"/>
          <w:sz w:val="28"/>
          <w:szCs w:val="28"/>
        </w:rPr>
      </w:pPr>
      <w:r>
        <w:rPr>
          <w:rFonts w:hint="eastAsia" w:ascii="仿宋" w:hAnsi="仿宋" w:eastAsia="仿宋" w:cs="仿宋"/>
          <w:sz w:val="28"/>
          <w:szCs w:val="28"/>
        </w:rPr>
        <w:t>本次竞赛中，对裁判的需求如下：</w:t>
      </w:r>
    </w:p>
    <w:tbl>
      <w:tblPr>
        <w:tblStyle w:val="9"/>
        <w:tblpPr w:leftFromText="180" w:rightFromText="180" w:vertAnchor="text" w:horzAnchor="margin" w:tblpXSpec="center" w:tblpY="8"/>
        <w:tblW w:w="935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6"/>
        <w:gridCol w:w="996"/>
        <w:gridCol w:w="3768"/>
        <w:gridCol w:w="1884"/>
        <w:gridCol w:w="1696"/>
        <w:gridCol w:w="472"/>
      </w:tblGrid>
      <w:tr w14:paraId="4DFD01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6" w:type="dxa"/>
            <w:tcBorders>
              <w:top w:val="single" w:color="auto" w:sz="8" w:space="0"/>
            </w:tcBorders>
            <w:vAlign w:val="center"/>
          </w:tcPr>
          <w:p w14:paraId="2A884B83">
            <w:pPr>
              <w:adjustRightInd w:val="0"/>
              <w:snapToGrid w:val="0"/>
              <w:jc w:val="center"/>
              <w:rPr>
                <w:rFonts w:hint="eastAsia" w:ascii="仿宋" w:hAnsi="仿宋" w:eastAsia="仿宋"/>
                <w:b/>
                <w:sz w:val="24"/>
                <w:szCs w:val="24"/>
              </w:rPr>
            </w:pPr>
            <w:r>
              <w:rPr>
                <w:rFonts w:hint="eastAsia" w:ascii="仿宋" w:hAnsi="仿宋" w:eastAsia="仿宋"/>
                <w:b/>
                <w:sz w:val="24"/>
                <w:szCs w:val="24"/>
              </w:rPr>
              <w:t>序号</w:t>
            </w:r>
          </w:p>
        </w:tc>
        <w:tc>
          <w:tcPr>
            <w:tcW w:w="996" w:type="dxa"/>
            <w:tcBorders>
              <w:top w:val="single" w:color="auto" w:sz="8" w:space="0"/>
            </w:tcBorders>
            <w:vAlign w:val="center"/>
          </w:tcPr>
          <w:p w14:paraId="49C5AEF8">
            <w:pPr>
              <w:adjustRightInd w:val="0"/>
              <w:snapToGrid w:val="0"/>
              <w:jc w:val="center"/>
              <w:rPr>
                <w:rFonts w:hint="eastAsia" w:ascii="仿宋" w:hAnsi="仿宋" w:eastAsia="仿宋"/>
                <w:b/>
                <w:sz w:val="24"/>
                <w:szCs w:val="24"/>
              </w:rPr>
            </w:pPr>
            <w:r>
              <w:rPr>
                <w:rFonts w:ascii="仿宋" w:hAnsi="仿宋" w:eastAsia="仿宋"/>
                <w:b/>
                <w:sz w:val="24"/>
                <w:szCs w:val="24"/>
              </w:rPr>
              <w:t>专业技术方向</w:t>
            </w:r>
          </w:p>
        </w:tc>
        <w:tc>
          <w:tcPr>
            <w:tcW w:w="3768" w:type="dxa"/>
            <w:tcBorders>
              <w:top w:val="single" w:color="auto" w:sz="8" w:space="0"/>
            </w:tcBorders>
            <w:vAlign w:val="center"/>
          </w:tcPr>
          <w:p w14:paraId="3FD62A6C">
            <w:pPr>
              <w:adjustRightInd w:val="0"/>
              <w:snapToGrid w:val="0"/>
              <w:jc w:val="center"/>
              <w:rPr>
                <w:rFonts w:hint="eastAsia" w:ascii="仿宋" w:hAnsi="仿宋" w:eastAsia="仿宋"/>
                <w:b/>
                <w:sz w:val="24"/>
                <w:szCs w:val="24"/>
              </w:rPr>
            </w:pPr>
            <w:r>
              <w:rPr>
                <w:rFonts w:ascii="仿宋" w:hAnsi="仿宋" w:eastAsia="仿宋"/>
                <w:b/>
                <w:sz w:val="24"/>
                <w:szCs w:val="24"/>
              </w:rPr>
              <w:t>知识能力要求</w:t>
            </w:r>
          </w:p>
        </w:tc>
        <w:tc>
          <w:tcPr>
            <w:tcW w:w="1884" w:type="dxa"/>
            <w:tcBorders>
              <w:top w:val="single" w:color="auto" w:sz="8" w:space="0"/>
            </w:tcBorders>
            <w:vAlign w:val="center"/>
          </w:tcPr>
          <w:p w14:paraId="16265245">
            <w:pPr>
              <w:adjustRightInd w:val="0"/>
              <w:snapToGrid w:val="0"/>
              <w:jc w:val="center"/>
              <w:rPr>
                <w:rFonts w:hint="eastAsia" w:ascii="仿宋" w:hAnsi="仿宋" w:eastAsia="仿宋"/>
                <w:b/>
                <w:sz w:val="24"/>
                <w:szCs w:val="24"/>
              </w:rPr>
            </w:pPr>
            <w:r>
              <w:rPr>
                <w:rFonts w:ascii="仿宋" w:hAnsi="仿宋" w:eastAsia="仿宋"/>
                <w:b/>
                <w:sz w:val="24"/>
                <w:szCs w:val="24"/>
              </w:rPr>
              <w:t>执裁、教学、工作经历</w:t>
            </w:r>
          </w:p>
        </w:tc>
        <w:tc>
          <w:tcPr>
            <w:tcW w:w="1696" w:type="dxa"/>
            <w:tcBorders>
              <w:top w:val="single" w:color="auto" w:sz="8" w:space="0"/>
            </w:tcBorders>
            <w:vAlign w:val="center"/>
          </w:tcPr>
          <w:p w14:paraId="572EDD28">
            <w:pPr>
              <w:adjustRightInd w:val="0"/>
              <w:snapToGrid w:val="0"/>
              <w:jc w:val="center"/>
              <w:rPr>
                <w:rFonts w:hint="eastAsia" w:ascii="仿宋" w:hAnsi="仿宋" w:eastAsia="仿宋"/>
                <w:b/>
                <w:sz w:val="24"/>
                <w:szCs w:val="24"/>
              </w:rPr>
            </w:pPr>
            <w:r>
              <w:rPr>
                <w:rFonts w:ascii="仿宋" w:hAnsi="仿宋" w:eastAsia="仿宋"/>
                <w:b/>
                <w:sz w:val="24"/>
                <w:szCs w:val="24"/>
              </w:rPr>
              <w:t>专业技术职称</w:t>
            </w:r>
          </w:p>
          <w:p w14:paraId="3BE73B4C">
            <w:pPr>
              <w:adjustRightInd w:val="0"/>
              <w:snapToGrid w:val="0"/>
              <w:jc w:val="center"/>
              <w:rPr>
                <w:rFonts w:hint="eastAsia" w:ascii="仿宋" w:hAnsi="仿宋" w:eastAsia="仿宋"/>
                <w:b/>
                <w:sz w:val="24"/>
                <w:szCs w:val="24"/>
              </w:rPr>
            </w:pPr>
            <w:r>
              <w:rPr>
                <w:rFonts w:ascii="仿宋" w:hAnsi="仿宋" w:eastAsia="仿宋"/>
                <w:b/>
                <w:sz w:val="24"/>
                <w:szCs w:val="24"/>
              </w:rPr>
              <w:t>（职业资格等级）</w:t>
            </w:r>
          </w:p>
        </w:tc>
        <w:tc>
          <w:tcPr>
            <w:tcW w:w="472" w:type="dxa"/>
            <w:tcBorders>
              <w:top w:val="single" w:color="auto" w:sz="8" w:space="0"/>
            </w:tcBorders>
            <w:vAlign w:val="center"/>
          </w:tcPr>
          <w:p w14:paraId="30DA9E70">
            <w:pPr>
              <w:adjustRightInd w:val="0"/>
              <w:snapToGrid w:val="0"/>
              <w:jc w:val="center"/>
              <w:rPr>
                <w:rFonts w:hint="eastAsia" w:ascii="仿宋" w:hAnsi="仿宋" w:eastAsia="仿宋"/>
                <w:b/>
                <w:sz w:val="24"/>
                <w:szCs w:val="24"/>
              </w:rPr>
            </w:pPr>
            <w:r>
              <w:rPr>
                <w:rFonts w:hint="eastAsia" w:ascii="仿宋" w:hAnsi="仿宋" w:eastAsia="仿宋"/>
                <w:b/>
                <w:sz w:val="24"/>
                <w:szCs w:val="24"/>
              </w:rPr>
              <w:t>数量</w:t>
            </w:r>
          </w:p>
        </w:tc>
      </w:tr>
      <w:tr w14:paraId="69DFEB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6" w:type="dxa"/>
            <w:vAlign w:val="center"/>
          </w:tcPr>
          <w:p w14:paraId="7E34809C">
            <w:pPr>
              <w:adjustRightInd w:val="0"/>
              <w:snapToGrid w:val="0"/>
              <w:ind w:firstLine="482"/>
              <w:jc w:val="center"/>
              <w:rPr>
                <w:rFonts w:hint="eastAsia" w:ascii="仿宋" w:hAnsi="仿宋" w:eastAsia="仿宋"/>
                <w:sz w:val="24"/>
                <w:szCs w:val="24"/>
              </w:rPr>
            </w:pPr>
            <w:r>
              <w:rPr>
                <w:rFonts w:hint="eastAsia" w:ascii="仿宋" w:hAnsi="仿宋" w:eastAsia="仿宋"/>
                <w:sz w:val="24"/>
                <w:szCs w:val="24"/>
              </w:rPr>
              <w:t>1</w:t>
            </w:r>
            <w:r>
              <w:rPr>
                <w:rFonts w:ascii="仿宋" w:hAnsi="仿宋" w:eastAsia="仿宋"/>
                <w:sz w:val="24"/>
                <w:szCs w:val="24"/>
              </w:rPr>
              <w:t>1</w:t>
            </w:r>
          </w:p>
        </w:tc>
        <w:tc>
          <w:tcPr>
            <w:tcW w:w="996" w:type="dxa"/>
            <w:vAlign w:val="center"/>
          </w:tcPr>
          <w:p w14:paraId="3F36DBEE">
            <w:pPr>
              <w:adjustRightInd w:val="0"/>
              <w:snapToGrid w:val="0"/>
              <w:jc w:val="center"/>
              <w:rPr>
                <w:rFonts w:hint="eastAsia" w:ascii="仿宋" w:hAnsi="仿宋" w:eastAsia="仿宋"/>
                <w:sz w:val="24"/>
                <w:szCs w:val="24"/>
              </w:rPr>
            </w:pPr>
            <w:r>
              <w:rPr>
                <w:rFonts w:hint="eastAsia" w:ascii="仿宋" w:hAnsi="仿宋" w:eastAsia="仿宋"/>
                <w:sz w:val="24"/>
                <w:szCs w:val="24"/>
              </w:rPr>
              <w:t>云计算、计算机网络、信息安全、物联网等相关专业</w:t>
            </w:r>
          </w:p>
        </w:tc>
        <w:tc>
          <w:tcPr>
            <w:tcW w:w="3768" w:type="dxa"/>
            <w:vAlign w:val="center"/>
          </w:tcPr>
          <w:p w14:paraId="36A00BA8">
            <w:pPr>
              <w:tabs>
                <w:tab w:val="left" w:pos="312"/>
              </w:tabs>
              <w:snapToGrid w:val="0"/>
              <w:rPr>
                <w:rFonts w:hint="eastAsia" w:ascii="仿宋" w:hAnsi="仿宋" w:eastAsia="仿宋"/>
                <w:sz w:val="24"/>
                <w:szCs w:val="24"/>
              </w:rPr>
            </w:pPr>
            <w:r>
              <w:rPr>
                <w:rFonts w:hint="eastAsia" w:ascii="仿宋" w:hAnsi="仿宋" w:eastAsia="仿宋"/>
                <w:sz w:val="24"/>
                <w:szCs w:val="24"/>
              </w:rPr>
              <w:t>1，</w:t>
            </w:r>
            <w:r>
              <w:rPr>
                <w:rFonts w:ascii="仿宋" w:hAnsi="仿宋" w:eastAsia="仿宋"/>
                <w:sz w:val="24"/>
                <w:szCs w:val="24"/>
              </w:rPr>
              <w:t>具备良好的本专业理论知识、实操技能和工作经验。</w:t>
            </w:r>
          </w:p>
          <w:p w14:paraId="34EC0FD6">
            <w:pPr>
              <w:tabs>
                <w:tab w:val="left" w:pos="312"/>
              </w:tabs>
              <w:snapToGrid w:val="0"/>
              <w:rPr>
                <w:rFonts w:hint="eastAsia" w:ascii="仿宋" w:hAnsi="仿宋" w:eastAsia="仿宋"/>
                <w:sz w:val="24"/>
                <w:szCs w:val="24"/>
              </w:rPr>
            </w:pPr>
            <w:r>
              <w:rPr>
                <w:rFonts w:hint="eastAsia" w:ascii="仿宋" w:hAnsi="仿宋" w:eastAsia="仿宋"/>
                <w:sz w:val="24"/>
                <w:szCs w:val="24"/>
              </w:rPr>
              <w:t>2.</w:t>
            </w:r>
            <w:r>
              <w:rPr>
                <w:rFonts w:ascii="仿宋" w:hAnsi="仿宋" w:eastAsia="仿宋"/>
                <w:sz w:val="24"/>
                <w:szCs w:val="24"/>
              </w:rPr>
              <w:t>具有较高的组织协调沟通能力，在本专业领域有较高威望和良好声誉，行业内认可度高。</w:t>
            </w:r>
          </w:p>
          <w:p w14:paraId="5F285C7B">
            <w:pPr>
              <w:tabs>
                <w:tab w:val="left" w:pos="312"/>
              </w:tabs>
              <w:snapToGrid w:val="0"/>
              <w:rPr>
                <w:rFonts w:hint="eastAsia" w:ascii="仿宋" w:hAnsi="仿宋" w:eastAsia="仿宋"/>
                <w:sz w:val="24"/>
                <w:szCs w:val="24"/>
              </w:rPr>
            </w:pPr>
            <w:r>
              <w:rPr>
                <w:rFonts w:hint="eastAsia" w:ascii="仿宋" w:hAnsi="仿宋" w:eastAsia="仿宋"/>
                <w:sz w:val="24"/>
                <w:szCs w:val="24"/>
              </w:rPr>
              <w:t>3.</w:t>
            </w:r>
            <w:r>
              <w:rPr>
                <w:rFonts w:ascii="仿宋" w:hAnsi="仿宋" w:eastAsia="仿宋"/>
                <w:sz w:val="24"/>
                <w:szCs w:val="24"/>
              </w:rPr>
              <w:t>了解信创系统IT架构，拥有完备的IT系统运维、加固及渗透测试理论体系，能对竞赛进行精确把控。</w:t>
            </w:r>
          </w:p>
        </w:tc>
        <w:tc>
          <w:tcPr>
            <w:tcW w:w="1884" w:type="dxa"/>
            <w:vAlign w:val="center"/>
          </w:tcPr>
          <w:p w14:paraId="2A70CF6C">
            <w:pPr>
              <w:snapToGrid w:val="0"/>
              <w:jc w:val="center"/>
              <w:rPr>
                <w:rFonts w:hint="eastAsia" w:ascii="仿宋" w:hAnsi="仿宋" w:eastAsia="仿宋"/>
                <w:sz w:val="24"/>
                <w:szCs w:val="24"/>
              </w:rPr>
            </w:pPr>
            <w:r>
              <w:rPr>
                <w:rFonts w:ascii="仿宋" w:hAnsi="仿宋" w:eastAsia="仿宋"/>
                <w:sz w:val="24"/>
                <w:szCs w:val="24"/>
              </w:rPr>
              <w:t>了解掌握职业技能竞赛政策、工作规则和裁判方法，能准确、熟练运用。参与过国家级或行业（省级）职业技能竞赛执裁或其他技术工作。</w:t>
            </w:r>
          </w:p>
        </w:tc>
        <w:tc>
          <w:tcPr>
            <w:tcW w:w="1696" w:type="dxa"/>
            <w:vAlign w:val="center"/>
          </w:tcPr>
          <w:p w14:paraId="44D23BEC">
            <w:pPr>
              <w:snapToGrid w:val="0"/>
              <w:jc w:val="center"/>
              <w:rPr>
                <w:rFonts w:hint="eastAsia" w:ascii="仿宋" w:hAnsi="仿宋" w:eastAsia="仿宋"/>
                <w:sz w:val="24"/>
                <w:szCs w:val="24"/>
              </w:rPr>
            </w:pPr>
            <w:r>
              <w:rPr>
                <w:rFonts w:ascii="仿宋" w:hAnsi="仿宋" w:eastAsia="仿宋"/>
                <w:sz w:val="24"/>
                <w:szCs w:val="24"/>
              </w:rPr>
              <w:t>原则上应具有技师及以上职业资格（职业技能等级）或副高级及以上专业技术职务</w:t>
            </w:r>
          </w:p>
        </w:tc>
        <w:tc>
          <w:tcPr>
            <w:tcW w:w="472" w:type="dxa"/>
            <w:vAlign w:val="center"/>
          </w:tcPr>
          <w:p w14:paraId="5051B6D5">
            <w:pPr>
              <w:adjustRightInd w:val="0"/>
              <w:snapToGrid w:val="0"/>
              <w:ind w:firstLine="482"/>
              <w:jc w:val="center"/>
              <w:rPr>
                <w:rFonts w:hint="eastAsia" w:ascii="仿宋" w:hAnsi="仿宋" w:eastAsia="仿宋"/>
                <w:sz w:val="24"/>
                <w:szCs w:val="24"/>
              </w:rPr>
            </w:pPr>
            <w:r>
              <w:rPr>
                <w:rFonts w:hint="eastAsia" w:ascii="仿宋" w:hAnsi="仿宋" w:eastAsia="仿宋"/>
                <w:sz w:val="24"/>
                <w:szCs w:val="24"/>
              </w:rPr>
              <w:t>1</w:t>
            </w:r>
            <w:r>
              <w:rPr>
                <w:rFonts w:ascii="仿宋" w:hAnsi="仿宋" w:eastAsia="仿宋"/>
                <w:sz w:val="24"/>
                <w:szCs w:val="24"/>
              </w:rPr>
              <w:t>1</w:t>
            </w:r>
          </w:p>
        </w:tc>
      </w:tr>
      <w:tr w14:paraId="17C54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42" w:hRule="atLeast"/>
        </w:trPr>
        <w:tc>
          <w:tcPr>
            <w:tcW w:w="536" w:type="dxa"/>
            <w:vAlign w:val="center"/>
          </w:tcPr>
          <w:p w14:paraId="4E479F91">
            <w:pPr>
              <w:adjustRightInd w:val="0"/>
              <w:snapToGrid w:val="0"/>
              <w:ind w:firstLine="482"/>
              <w:jc w:val="center"/>
              <w:rPr>
                <w:rFonts w:hint="eastAsia" w:ascii="仿宋" w:hAnsi="仿宋" w:eastAsia="仿宋"/>
                <w:sz w:val="24"/>
                <w:szCs w:val="24"/>
              </w:rPr>
            </w:pPr>
            <w:r>
              <w:rPr>
                <w:rFonts w:hint="eastAsia" w:ascii="仿宋" w:hAnsi="仿宋" w:eastAsia="仿宋"/>
                <w:sz w:val="24"/>
                <w:szCs w:val="24"/>
              </w:rPr>
              <w:t>2</w:t>
            </w:r>
            <w:r>
              <w:rPr>
                <w:rFonts w:ascii="仿宋" w:hAnsi="仿宋" w:eastAsia="仿宋"/>
                <w:sz w:val="24"/>
                <w:szCs w:val="24"/>
              </w:rPr>
              <w:t>2</w:t>
            </w:r>
          </w:p>
        </w:tc>
        <w:tc>
          <w:tcPr>
            <w:tcW w:w="996" w:type="dxa"/>
            <w:vAlign w:val="center"/>
          </w:tcPr>
          <w:p w14:paraId="2CC15079">
            <w:pPr>
              <w:adjustRightInd w:val="0"/>
              <w:snapToGrid w:val="0"/>
              <w:jc w:val="center"/>
              <w:rPr>
                <w:rFonts w:hint="eastAsia" w:ascii="仿宋" w:hAnsi="仿宋" w:eastAsia="仿宋"/>
                <w:sz w:val="24"/>
                <w:szCs w:val="24"/>
              </w:rPr>
            </w:pPr>
            <w:r>
              <w:rPr>
                <w:rFonts w:hint="eastAsia" w:ascii="仿宋" w:hAnsi="仿宋" w:eastAsia="仿宋"/>
                <w:sz w:val="24"/>
                <w:szCs w:val="24"/>
              </w:rPr>
              <w:t>云计算、计算机网络、信息安全、物联网等相关专业</w:t>
            </w:r>
          </w:p>
        </w:tc>
        <w:tc>
          <w:tcPr>
            <w:tcW w:w="3768" w:type="dxa"/>
            <w:vAlign w:val="center"/>
          </w:tcPr>
          <w:p w14:paraId="0F3900C9">
            <w:pPr>
              <w:tabs>
                <w:tab w:val="left" w:pos="312"/>
              </w:tabs>
              <w:snapToGrid w:val="0"/>
              <w:rPr>
                <w:rFonts w:hint="eastAsia" w:ascii="仿宋" w:hAnsi="仿宋" w:eastAsia="仿宋"/>
                <w:sz w:val="24"/>
                <w:szCs w:val="24"/>
              </w:rPr>
            </w:pPr>
            <w:r>
              <w:rPr>
                <w:rFonts w:hint="eastAsia" w:ascii="仿宋" w:hAnsi="仿宋" w:eastAsia="仿宋"/>
                <w:sz w:val="24"/>
                <w:szCs w:val="24"/>
              </w:rPr>
              <w:t>1.</w:t>
            </w:r>
            <w:r>
              <w:rPr>
                <w:rFonts w:ascii="仿宋" w:hAnsi="仿宋" w:eastAsia="仿宋"/>
                <w:sz w:val="24"/>
                <w:szCs w:val="24"/>
              </w:rPr>
              <w:t>热爱本职工作，责任心强，服从组织安排，自愿承担本次大赛执裁工作，时间上有保证。</w:t>
            </w:r>
          </w:p>
          <w:p w14:paraId="18DFD5CB">
            <w:pPr>
              <w:tabs>
                <w:tab w:val="left" w:pos="312"/>
              </w:tabs>
              <w:snapToGrid w:val="0"/>
              <w:rPr>
                <w:rFonts w:hint="eastAsia" w:ascii="仿宋" w:hAnsi="仿宋" w:eastAsia="仿宋"/>
                <w:sz w:val="24"/>
                <w:szCs w:val="24"/>
              </w:rPr>
            </w:pPr>
            <w:r>
              <w:rPr>
                <w:rFonts w:hint="eastAsia" w:ascii="仿宋" w:hAnsi="仿宋" w:eastAsia="仿宋"/>
                <w:sz w:val="24"/>
                <w:szCs w:val="24"/>
              </w:rPr>
              <w:t>2.</w:t>
            </w:r>
            <w:r>
              <w:rPr>
                <w:rFonts w:ascii="仿宋" w:hAnsi="仿宋" w:eastAsia="仿宋"/>
                <w:sz w:val="24"/>
                <w:szCs w:val="24"/>
              </w:rPr>
              <w:t>有基本IT运营知识，良好的沟通能力，对可能出现的设备与技术问题能及时与选手及技术支持厂家进行沟通。</w:t>
            </w:r>
          </w:p>
        </w:tc>
        <w:tc>
          <w:tcPr>
            <w:tcW w:w="1884" w:type="dxa"/>
            <w:vAlign w:val="center"/>
          </w:tcPr>
          <w:p w14:paraId="5E199E1E">
            <w:pPr>
              <w:snapToGrid w:val="0"/>
              <w:jc w:val="center"/>
              <w:rPr>
                <w:rFonts w:hint="eastAsia" w:ascii="仿宋" w:hAnsi="仿宋" w:eastAsia="仿宋"/>
                <w:sz w:val="24"/>
                <w:szCs w:val="24"/>
              </w:rPr>
            </w:pPr>
            <w:r>
              <w:rPr>
                <w:rFonts w:ascii="仿宋" w:hAnsi="仿宋" w:eastAsia="仿宋"/>
                <w:sz w:val="24"/>
                <w:szCs w:val="24"/>
              </w:rPr>
              <w:t>从事计算机相关教育教学工作一年以上</w:t>
            </w:r>
          </w:p>
        </w:tc>
        <w:tc>
          <w:tcPr>
            <w:tcW w:w="1696" w:type="dxa"/>
            <w:vAlign w:val="center"/>
          </w:tcPr>
          <w:p w14:paraId="17D3C8C8">
            <w:pPr>
              <w:snapToGrid w:val="0"/>
              <w:jc w:val="center"/>
              <w:rPr>
                <w:rFonts w:hint="eastAsia" w:ascii="仿宋" w:hAnsi="仿宋" w:eastAsia="仿宋"/>
                <w:sz w:val="24"/>
                <w:szCs w:val="24"/>
              </w:rPr>
            </w:pPr>
            <w:r>
              <w:rPr>
                <w:rFonts w:ascii="仿宋" w:hAnsi="仿宋" w:eastAsia="仿宋"/>
                <w:sz w:val="24"/>
                <w:szCs w:val="24"/>
              </w:rPr>
              <w:t>讲师以上技术职务</w:t>
            </w:r>
          </w:p>
        </w:tc>
        <w:tc>
          <w:tcPr>
            <w:tcW w:w="472" w:type="dxa"/>
            <w:vAlign w:val="center"/>
          </w:tcPr>
          <w:p w14:paraId="32CA5901">
            <w:pPr>
              <w:adjustRightInd w:val="0"/>
              <w:snapToGrid w:val="0"/>
              <w:ind w:firstLine="482"/>
              <w:jc w:val="center"/>
              <w:rPr>
                <w:rFonts w:hint="eastAsia" w:ascii="仿宋" w:hAnsi="仿宋" w:eastAsia="仿宋"/>
                <w:sz w:val="24"/>
                <w:szCs w:val="24"/>
              </w:rPr>
            </w:pPr>
            <w:r>
              <w:rPr>
                <w:rFonts w:hint="eastAsia" w:ascii="仿宋" w:hAnsi="仿宋" w:eastAsia="仿宋"/>
                <w:sz w:val="24"/>
                <w:szCs w:val="24"/>
              </w:rPr>
              <w:t>22</w:t>
            </w:r>
          </w:p>
        </w:tc>
      </w:tr>
      <w:tr w14:paraId="7C5683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536" w:type="dxa"/>
            <w:vAlign w:val="center"/>
          </w:tcPr>
          <w:p w14:paraId="060C9877">
            <w:pPr>
              <w:adjustRightInd w:val="0"/>
              <w:snapToGrid w:val="0"/>
              <w:ind w:firstLine="482"/>
              <w:jc w:val="center"/>
              <w:rPr>
                <w:rFonts w:hint="eastAsia" w:ascii="仿宋" w:hAnsi="仿宋" w:eastAsia="仿宋"/>
                <w:sz w:val="24"/>
                <w:szCs w:val="24"/>
              </w:rPr>
            </w:pPr>
            <w:r>
              <w:rPr>
                <w:rFonts w:hint="eastAsia" w:ascii="仿宋" w:hAnsi="仿宋" w:eastAsia="仿宋"/>
                <w:sz w:val="24"/>
                <w:szCs w:val="24"/>
              </w:rPr>
              <w:t>2</w:t>
            </w:r>
            <w:r>
              <w:rPr>
                <w:rFonts w:ascii="仿宋" w:hAnsi="仿宋" w:eastAsia="仿宋"/>
                <w:sz w:val="24"/>
                <w:szCs w:val="24"/>
              </w:rPr>
              <w:t>3</w:t>
            </w:r>
          </w:p>
        </w:tc>
        <w:tc>
          <w:tcPr>
            <w:tcW w:w="996" w:type="dxa"/>
            <w:vAlign w:val="center"/>
          </w:tcPr>
          <w:p w14:paraId="2C41CD72">
            <w:pPr>
              <w:adjustRightInd w:val="0"/>
              <w:snapToGrid w:val="0"/>
              <w:jc w:val="center"/>
              <w:rPr>
                <w:rFonts w:hint="eastAsia" w:ascii="仿宋" w:hAnsi="仿宋" w:eastAsia="仿宋"/>
                <w:sz w:val="24"/>
                <w:szCs w:val="24"/>
              </w:rPr>
            </w:pPr>
            <w:r>
              <w:rPr>
                <w:rFonts w:ascii="仿宋" w:hAnsi="仿宋" w:eastAsia="仿宋"/>
                <w:sz w:val="24"/>
                <w:szCs w:val="24"/>
              </w:rPr>
              <w:t>信息安全、物联网、计算机网络等相关专业</w:t>
            </w:r>
          </w:p>
        </w:tc>
        <w:tc>
          <w:tcPr>
            <w:tcW w:w="3768" w:type="dxa"/>
            <w:vAlign w:val="center"/>
          </w:tcPr>
          <w:p w14:paraId="73735B70">
            <w:pPr>
              <w:tabs>
                <w:tab w:val="left" w:pos="312"/>
              </w:tabs>
              <w:snapToGrid w:val="0"/>
              <w:rPr>
                <w:rFonts w:hint="eastAsia" w:ascii="仿宋" w:hAnsi="仿宋" w:eastAsia="仿宋"/>
                <w:sz w:val="24"/>
                <w:szCs w:val="24"/>
              </w:rPr>
            </w:pPr>
            <w:r>
              <w:rPr>
                <w:rFonts w:hint="eastAsia" w:ascii="仿宋" w:hAnsi="仿宋" w:eastAsia="仿宋"/>
                <w:sz w:val="24"/>
                <w:szCs w:val="24"/>
              </w:rPr>
              <w:t>1.</w:t>
            </w:r>
            <w:r>
              <w:rPr>
                <w:rFonts w:ascii="仿宋" w:hAnsi="仿宋" w:eastAsia="仿宋"/>
                <w:sz w:val="24"/>
                <w:szCs w:val="24"/>
              </w:rPr>
              <w:t>具备良好的本专业理论知识、实操技能和工作经验。</w:t>
            </w:r>
          </w:p>
          <w:p w14:paraId="2B87CD67">
            <w:pPr>
              <w:tabs>
                <w:tab w:val="left" w:pos="312"/>
              </w:tabs>
              <w:snapToGrid w:val="0"/>
              <w:rPr>
                <w:rFonts w:hint="eastAsia" w:ascii="仿宋" w:hAnsi="仿宋" w:eastAsia="仿宋"/>
                <w:sz w:val="24"/>
                <w:szCs w:val="24"/>
              </w:rPr>
            </w:pPr>
            <w:r>
              <w:rPr>
                <w:rFonts w:hint="eastAsia" w:ascii="仿宋" w:hAnsi="仿宋" w:eastAsia="仿宋"/>
                <w:sz w:val="24"/>
                <w:szCs w:val="24"/>
              </w:rPr>
              <w:t>2.</w:t>
            </w:r>
            <w:r>
              <w:rPr>
                <w:rFonts w:ascii="仿宋" w:hAnsi="仿宋" w:eastAsia="仿宋"/>
                <w:sz w:val="24"/>
                <w:szCs w:val="24"/>
              </w:rPr>
              <w:t>具备良好的表达能力和沟通能力，与其他裁判协作完成相关项目的评分工作。</w:t>
            </w:r>
          </w:p>
          <w:p w14:paraId="13DFA9AF">
            <w:pPr>
              <w:tabs>
                <w:tab w:val="left" w:pos="312"/>
              </w:tabs>
              <w:snapToGrid w:val="0"/>
              <w:rPr>
                <w:rFonts w:hint="eastAsia" w:ascii="仿宋" w:hAnsi="仿宋" w:eastAsia="仿宋"/>
                <w:sz w:val="24"/>
                <w:szCs w:val="24"/>
              </w:rPr>
            </w:pPr>
            <w:r>
              <w:rPr>
                <w:rFonts w:hint="eastAsia" w:ascii="仿宋" w:hAnsi="仿宋" w:eastAsia="仿宋"/>
                <w:sz w:val="24"/>
                <w:szCs w:val="24"/>
              </w:rPr>
              <w:t>3.</w:t>
            </w:r>
            <w:r>
              <w:rPr>
                <w:rFonts w:ascii="仿宋" w:hAnsi="仿宋" w:eastAsia="仿宋"/>
                <w:sz w:val="24"/>
                <w:szCs w:val="24"/>
              </w:rPr>
              <w:t>具有IT运维或渗透测试理论体系，能理解现场评分细则及评分技术要点，客观准确的完成现场打分。</w:t>
            </w:r>
          </w:p>
        </w:tc>
        <w:tc>
          <w:tcPr>
            <w:tcW w:w="1884" w:type="dxa"/>
            <w:vAlign w:val="center"/>
          </w:tcPr>
          <w:p w14:paraId="067D5A12">
            <w:pPr>
              <w:snapToGrid w:val="0"/>
              <w:jc w:val="center"/>
              <w:rPr>
                <w:rFonts w:hint="eastAsia" w:ascii="仿宋" w:hAnsi="仿宋" w:eastAsia="仿宋"/>
                <w:sz w:val="24"/>
                <w:szCs w:val="24"/>
              </w:rPr>
            </w:pPr>
            <w:r>
              <w:rPr>
                <w:rFonts w:ascii="仿宋" w:hAnsi="仿宋" w:eastAsia="仿宋"/>
                <w:sz w:val="24"/>
                <w:szCs w:val="24"/>
              </w:rPr>
              <w:t>参与过省级市级以上职业技能竞赛执裁或其他技术工作。</w:t>
            </w:r>
          </w:p>
        </w:tc>
        <w:tc>
          <w:tcPr>
            <w:tcW w:w="1696" w:type="dxa"/>
            <w:vAlign w:val="center"/>
          </w:tcPr>
          <w:p w14:paraId="11F5208F">
            <w:pPr>
              <w:snapToGrid w:val="0"/>
              <w:jc w:val="center"/>
              <w:rPr>
                <w:rFonts w:hint="eastAsia" w:ascii="仿宋" w:hAnsi="仿宋" w:eastAsia="仿宋"/>
                <w:sz w:val="24"/>
                <w:szCs w:val="24"/>
              </w:rPr>
            </w:pPr>
            <w:r>
              <w:rPr>
                <w:rFonts w:ascii="仿宋" w:hAnsi="仿宋" w:eastAsia="仿宋"/>
                <w:sz w:val="24"/>
                <w:szCs w:val="24"/>
              </w:rPr>
              <w:t>讲师以上技术职务</w:t>
            </w:r>
          </w:p>
        </w:tc>
        <w:tc>
          <w:tcPr>
            <w:tcW w:w="472" w:type="dxa"/>
            <w:vAlign w:val="center"/>
          </w:tcPr>
          <w:p w14:paraId="03EED463">
            <w:pPr>
              <w:adjustRightInd w:val="0"/>
              <w:snapToGrid w:val="0"/>
              <w:ind w:firstLine="482"/>
              <w:jc w:val="center"/>
              <w:rPr>
                <w:rFonts w:hint="eastAsia" w:ascii="仿宋" w:hAnsi="仿宋" w:eastAsia="仿宋"/>
                <w:sz w:val="24"/>
                <w:szCs w:val="24"/>
              </w:rPr>
            </w:pPr>
            <w:r>
              <w:rPr>
                <w:rFonts w:hint="eastAsia" w:ascii="仿宋" w:hAnsi="仿宋" w:eastAsia="仿宋"/>
                <w:sz w:val="24"/>
                <w:szCs w:val="24"/>
              </w:rPr>
              <w:t>11</w:t>
            </w:r>
          </w:p>
        </w:tc>
      </w:tr>
      <w:tr w14:paraId="695D13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6" w:type="dxa"/>
            <w:vAlign w:val="center"/>
          </w:tcPr>
          <w:p w14:paraId="1E018ACC">
            <w:pPr>
              <w:adjustRightInd w:val="0"/>
              <w:snapToGrid w:val="0"/>
              <w:ind w:firstLine="482"/>
              <w:jc w:val="center"/>
              <w:rPr>
                <w:rFonts w:hint="eastAsia" w:ascii="仿宋" w:hAnsi="仿宋" w:eastAsia="仿宋"/>
                <w:sz w:val="24"/>
                <w:szCs w:val="24"/>
              </w:rPr>
            </w:pPr>
            <w:r>
              <w:rPr>
                <w:rFonts w:hint="eastAsia" w:ascii="仿宋" w:hAnsi="仿宋" w:eastAsia="仿宋"/>
                <w:sz w:val="24"/>
                <w:szCs w:val="24"/>
              </w:rPr>
              <w:t>4</w:t>
            </w:r>
            <w:r>
              <w:rPr>
                <w:rFonts w:ascii="仿宋" w:hAnsi="仿宋" w:eastAsia="仿宋"/>
                <w:sz w:val="24"/>
                <w:szCs w:val="24"/>
              </w:rPr>
              <w:t>4</w:t>
            </w:r>
          </w:p>
        </w:tc>
        <w:tc>
          <w:tcPr>
            <w:tcW w:w="996" w:type="dxa"/>
            <w:vAlign w:val="center"/>
          </w:tcPr>
          <w:p w14:paraId="3C366E2E">
            <w:pPr>
              <w:adjustRightInd w:val="0"/>
              <w:snapToGrid w:val="0"/>
              <w:jc w:val="center"/>
              <w:rPr>
                <w:rFonts w:hint="eastAsia" w:ascii="仿宋" w:hAnsi="仿宋" w:eastAsia="仿宋"/>
                <w:sz w:val="24"/>
                <w:szCs w:val="24"/>
              </w:rPr>
            </w:pPr>
            <w:r>
              <w:rPr>
                <w:rFonts w:ascii="仿宋" w:hAnsi="仿宋" w:eastAsia="仿宋"/>
                <w:sz w:val="24"/>
                <w:szCs w:val="24"/>
              </w:rPr>
              <w:t>计算机等相关专业</w:t>
            </w:r>
          </w:p>
        </w:tc>
        <w:tc>
          <w:tcPr>
            <w:tcW w:w="3768" w:type="dxa"/>
            <w:vAlign w:val="center"/>
          </w:tcPr>
          <w:p w14:paraId="0F2DABC9">
            <w:pPr>
              <w:tabs>
                <w:tab w:val="left" w:pos="312"/>
              </w:tabs>
              <w:snapToGrid w:val="0"/>
              <w:rPr>
                <w:rFonts w:hint="eastAsia" w:ascii="仿宋" w:hAnsi="仿宋" w:eastAsia="仿宋"/>
                <w:sz w:val="24"/>
                <w:szCs w:val="24"/>
              </w:rPr>
            </w:pPr>
            <w:r>
              <w:rPr>
                <w:rFonts w:hint="eastAsia" w:ascii="仿宋" w:hAnsi="仿宋" w:eastAsia="仿宋"/>
                <w:sz w:val="24"/>
                <w:szCs w:val="24"/>
              </w:rPr>
              <w:t>1.</w:t>
            </w:r>
            <w:r>
              <w:rPr>
                <w:rFonts w:ascii="仿宋" w:hAnsi="仿宋" w:eastAsia="仿宋"/>
                <w:sz w:val="24"/>
                <w:szCs w:val="24"/>
              </w:rPr>
              <w:t>热爱本职工作，责任心强，服从组织安排，自愿承担本次大赛执裁工作，时间上有保证。</w:t>
            </w:r>
          </w:p>
          <w:p w14:paraId="66240606">
            <w:pPr>
              <w:tabs>
                <w:tab w:val="left" w:pos="312"/>
              </w:tabs>
              <w:snapToGrid w:val="0"/>
              <w:rPr>
                <w:rFonts w:hint="eastAsia" w:ascii="仿宋" w:hAnsi="仿宋" w:eastAsia="仿宋"/>
                <w:sz w:val="24"/>
                <w:szCs w:val="24"/>
              </w:rPr>
            </w:pPr>
            <w:r>
              <w:rPr>
                <w:rFonts w:hint="eastAsia" w:ascii="仿宋" w:hAnsi="仿宋" w:eastAsia="仿宋"/>
                <w:sz w:val="24"/>
                <w:szCs w:val="24"/>
              </w:rPr>
              <w:t>2.</w:t>
            </w:r>
            <w:r>
              <w:rPr>
                <w:rFonts w:ascii="仿宋" w:hAnsi="仿宋" w:eastAsia="仿宋"/>
                <w:sz w:val="24"/>
                <w:szCs w:val="24"/>
              </w:rPr>
              <w:t>具备良好的表达能力和沟通能力，能按规定完成竞赛现场相关加密工作。</w:t>
            </w:r>
          </w:p>
        </w:tc>
        <w:tc>
          <w:tcPr>
            <w:tcW w:w="1884" w:type="dxa"/>
            <w:vAlign w:val="center"/>
          </w:tcPr>
          <w:p w14:paraId="0F080360">
            <w:pPr>
              <w:snapToGrid w:val="0"/>
              <w:jc w:val="center"/>
              <w:rPr>
                <w:rFonts w:hint="eastAsia" w:ascii="仿宋" w:hAnsi="仿宋" w:eastAsia="仿宋"/>
                <w:sz w:val="24"/>
                <w:szCs w:val="24"/>
              </w:rPr>
            </w:pPr>
            <w:r>
              <w:rPr>
                <w:rFonts w:ascii="仿宋" w:hAnsi="仿宋" w:eastAsia="仿宋"/>
                <w:sz w:val="24"/>
                <w:szCs w:val="24"/>
              </w:rPr>
              <w:t>从事教学工作一年以上</w:t>
            </w:r>
          </w:p>
        </w:tc>
        <w:tc>
          <w:tcPr>
            <w:tcW w:w="1696" w:type="dxa"/>
            <w:vAlign w:val="center"/>
          </w:tcPr>
          <w:p w14:paraId="417642A1">
            <w:pPr>
              <w:snapToGrid w:val="0"/>
              <w:jc w:val="center"/>
              <w:rPr>
                <w:rFonts w:hint="eastAsia" w:ascii="仿宋" w:hAnsi="仿宋" w:eastAsia="仿宋"/>
                <w:sz w:val="24"/>
                <w:szCs w:val="24"/>
              </w:rPr>
            </w:pPr>
            <w:r>
              <w:rPr>
                <w:rFonts w:ascii="仿宋" w:hAnsi="仿宋" w:eastAsia="仿宋"/>
                <w:sz w:val="24"/>
                <w:szCs w:val="24"/>
              </w:rPr>
              <w:t>助教以上技术职称</w:t>
            </w:r>
          </w:p>
        </w:tc>
        <w:tc>
          <w:tcPr>
            <w:tcW w:w="472" w:type="dxa"/>
            <w:vAlign w:val="center"/>
          </w:tcPr>
          <w:p w14:paraId="70E702A3">
            <w:pPr>
              <w:adjustRightInd w:val="0"/>
              <w:snapToGrid w:val="0"/>
              <w:ind w:firstLine="482"/>
              <w:jc w:val="center"/>
              <w:rPr>
                <w:rFonts w:hint="eastAsia" w:ascii="仿宋" w:hAnsi="仿宋" w:eastAsia="仿宋"/>
                <w:sz w:val="24"/>
                <w:szCs w:val="24"/>
              </w:rPr>
            </w:pPr>
            <w:r>
              <w:rPr>
                <w:rFonts w:hint="eastAsia" w:ascii="仿宋" w:hAnsi="仿宋" w:eastAsia="仿宋"/>
                <w:sz w:val="24"/>
                <w:szCs w:val="24"/>
              </w:rPr>
              <w:t>11</w:t>
            </w:r>
          </w:p>
        </w:tc>
      </w:tr>
      <w:tr w14:paraId="2DF6AC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00" w:type="dxa"/>
            <w:gridSpan w:val="3"/>
            <w:tcBorders>
              <w:bottom w:val="single" w:color="auto" w:sz="8" w:space="0"/>
            </w:tcBorders>
            <w:vAlign w:val="center"/>
          </w:tcPr>
          <w:p w14:paraId="32C16805">
            <w:pPr>
              <w:adjustRightInd w:val="0"/>
              <w:snapToGrid w:val="0"/>
              <w:ind w:firstLine="482"/>
              <w:jc w:val="center"/>
              <w:rPr>
                <w:rFonts w:hint="eastAsia" w:ascii="仿宋" w:hAnsi="仿宋" w:eastAsia="仿宋"/>
                <w:sz w:val="24"/>
                <w:szCs w:val="24"/>
              </w:rPr>
            </w:pPr>
            <w:r>
              <w:rPr>
                <w:rFonts w:ascii="仿宋" w:hAnsi="仿宋" w:eastAsia="仿宋"/>
                <w:b/>
                <w:sz w:val="24"/>
                <w:szCs w:val="24"/>
              </w:rPr>
              <w:t>裁判总人数</w:t>
            </w:r>
          </w:p>
        </w:tc>
        <w:tc>
          <w:tcPr>
            <w:tcW w:w="4052" w:type="dxa"/>
            <w:gridSpan w:val="3"/>
            <w:tcBorders>
              <w:bottom w:val="single" w:color="auto" w:sz="8" w:space="0"/>
            </w:tcBorders>
            <w:vAlign w:val="center"/>
          </w:tcPr>
          <w:p w14:paraId="40C057D7">
            <w:pPr>
              <w:adjustRightInd w:val="0"/>
              <w:snapToGrid w:val="0"/>
              <w:ind w:firstLine="482"/>
              <w:jc w:val="center"/>
              <w:rPr>
                <w:rFonts w:hint="eastAsia" w:ascii="仿宋" w:hAnsi="仿宋" w:eastAsia="仿宋"/>
                <w:sz w:val="24"/>
                <w:szCs w:val="24"/>
              </w:rPr>
            </w:pPr>
            <w:r>
              <w:rPr>
                <w:rFonts w:hint="eastAsia" w:ascii="仿宋" w:hAnsi="仿宋" w:eastAsia="仿宋"/>
                <w:sz w:val="24"/>
                <w:szCs w:val="24"/>
              </w:rPr>
              <w:t>5人</w:t>
            </w:r>
          </w:p>
        </w:tc>
      </w:tr>
    </w:tbl>
    <w:p w14:paraId="6B4A121A">
      <w:pPr>
        <w:pStyle w:val="2"/>
        <w:spacing w:after="156"/>
        <w:ind w:firstLine="300"/>
      </w:pPr>
      <w:r>
        <w:rPr>
          <w:rFonts w:hint="eastAsia"/>
        </w:rPr>
        <w:t>九、奖项设定</w:t>
      </w:r>
    </w:p>
    <w:p w14:paraId="13A55952">
      <w:pPr>
        <w:widowControl/>
        <w:spacing w:line="360" w:lineRule="auto"/>
        <w:ind w:firstLine="560" w:firstLineChars="200"/>
        <w:jc w:val="left"/>
        <w:rPr>
          <w:rFonts w:hint="eastAsia" w:ascii="仿宋_GB2312" w:hAnsi="仿宋_GB2312" w:eastAsia="仿宋_GB2312" w:cs="仿宋_GB2312"/>
          <w:sz w:val="28"/>
          <w:szCs w:val="28"/>
        </w:rPr>
      </w:pPr>
      <w:r>
        <w:rPr>
          <w:rFonts w:hint="eastAsia" w:ascii="仿宋" w:hAnsi="仿宋" w:eastAsia="仿宋" w:cs="仿宋"/>
          <w:sz w:val="28"/>
          <w:szCs w:val="28"/>
        </w:rPr>
        <w:t>以参赛队最终比赛成绩为依据，依据四舍五入的原则，设一等奖占比10%，二等奖占比20%，三等奖占比30%。</w:t>
      </w:r>
      <w:r>
        <w:rPr>
          <w:rFonts w:hint="eastAsia" w:ascii="仿宋" w:hAnsi="仿宋" w:eastAsia="仿宋" w:cs="仿宋"/>
          <w:kern w:val="0"/>
          <w:sz w:val="28"/>
          <w:szCs w:val="28"/>
          <w:lang w:bidi="ar"/>
        </w:rPr>
        <w:t>如遇参赛选手总分相同的情况，则以</w:t>
      </w:r>
      <w:r>
        <w:rPr>
          <w:rFonts w:hint="eastAsia" w:ascii="仿宋" w:hAnsi="仿宋" w:eastAsia="仿宋" w:cs="仿宋"/>
          <w:sz w:val="28"/>
          <w:szCs w:val="28"/>
        </w:rPr>
        <w:t>专业技能竞赛分数进行高低排序，若专业技能竞赛分数也一致</w:t>
      </w:r>
      <w:r>
        <w:rPr>
          <w:rFonts w:ascii="仿宋" w:hAnsi="仿宋" w:eastAsia="仿宋" w:cs="仿宋"/>
          <w:kern w:val="0"/>
          <w:sz w:val="28"/>
          <w:szCs w:val="28"/>
          <w:lang w:bidi="ar"/>
        </w:rPr>
        <w:t>则分别依据</w:t>
      </w:r>
      <w:r>
        <w:rPr>
          <w:rFonts w:hint="eastAsia" w:ascii="仿宋" w:hAnsi="仿宋" w:eastAsia="仿宋" w:cs="仿宋"/>
          <w:kern w:val="0"/>
          <w:sz w:val="28"/>
          <w:szCs w:val="28"/>
          <w:lang w:bidi="ar"/>
        </w:rPr>
        <w:t>鲲鹏环境配置、鲲鹏源码迁移、鲲鹏业务部署、鲲鹏性能优化的得分从高到低排序</w:t>
      </w:r>
      <w:r>
        <w:rPr>
          <w:rFonts w:hint="eastAsia" w:ascii="仿宋_GB2312" w:hAnsi="仿宋_GB2312" w:eastAsia="仿宋_GB2312" w:cs="仿宋_GB2312"/>
          <w:sz w:val="28"/>
          <w:szCs w:val="28"/>
        </w:rPr>
        <w:t>。</w:t>
      </w:r>
    </w:p>
    <w:p w14:paraId="49606B97">
      <w:pPr>
        <w:ind w:firstLine="210"/>
      </w:pPr>
    </w:p>
    <w:p w14:paraId="130C60AA">
      <w:pPr>
        <w:pStyle w:val="2"/>
        <w:spacing w:after="156"/>
        <w:ind w:firstLine="300"/>
      </w:pPr>
      <w:r>
        <w:rPr>
          <w:rFonts w:hint="eastAsia"/>
        </w:rPr>
        <w:t>十、场地管理</w:t>
      </w:r>
    </w:p>
    <w:p w14:paraId="5CE5274F">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1.竞赛过程中出现设备掉电、故障等意外时，现场裁判需及时确认情况，安排技术支持人员进行处理，现场裁判登记详细情况，填写补时登记表，报裁判长批准后，可安排延长补足相应选手的比赛时间。</w:t>
      </w:r>
    </w:p>
    <w:p w14:paraId="5E21DB76">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2.预留充足备用PC和设备，当出现设备掉电、故障等意外时经现场裁判确认后由赛场技术支持人员予以更换。</w:t>
      </w:r>
    </w:p>
    <w:p w14:paraId="53ED2EEF">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赛项出现重大突发事件和重大安全问题，经赛项执委会和专家组同意，暂停比赛，由有关领导，如裁判长、领队、技术支持公司负责人、执委会领导和承办校负责人协调处理解决；如若不能处理，中止比赛，是否停赛由赛区执委会决定。事后，赛区执委会应向大赛执委会报告详细情况。</w:t>
      </w:r>
    </w:p>
    <w:p w14:paraId="4D2E6456">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4.比赛期间发生意外伤害、意外疾病等重大事故，裁判长立即中止相关人员比赛，第一时间由承办校医疗站校医抢救，严重时呼叫120送往医院。</w:t>
      </w:r>
    </w:p>
    <w:p w14:paraId="07CC0519">
      <w:pPr>
        <w:pStyle w:val="2"/>
        <w:spacing w:after="156"/>
        <w:ind w:firstLine="300"/>
      </w:pPr>
      <w:r>
        <w:rPr>
          <w:rFonts w:hint="eastAsia"/>
        </w:rPr>
        <w:t>十一、竞赛安全</w:t>
      </w:r>
    </w:p>
    <w:p w14:paraId="38EC38FE">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赛事安全是大赛一切工作顺利开展的先决条件，是本赛项筹备和运行工作必须考虑的核心问题。</w:t>
      </w:r>
    </w:p>
    <w:p w14:paraId="595348DB">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（一）组织机构</w:t>
      </w:r>
    </w:p>
    <w:p w14:paraId="6B1ED891">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项执委会组织专门机构负责赛区内赛项的安全工作，建立公安、消防、司法行政、交通、卫生、食品、质检等相关部门协调机制保证比赛安全，制定应急预案，及时处置突发事件。制定相应安全管理的规范、流程和突发事件应急预案，全过程保证比赛筹备和实施工作安全。</w:t>
      </w:r>
    </w:p>
    <w:p w14:paraId="196718CE">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（二）赛项设计</w:t>
      </w:r>
    </w:p>
    <w:p w14:paraId="232F607E">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 比赛内容涉及的器材、设备均符合国家有关安全规定。赛项专家组应充分考虑比赛内容和所用器材、耗材可能存在的危险因素，通过完善设计规避风险，采取有效防范措施保证选手备赛和比赛安全。危险提示和防范措施将在赛项技术文件中加以明确。</w:t>
      </w:r>
    </w:p>
    <w:p w14:paraId="6B958A74">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 赛项技术文件包含国家（或行业）有关职业岗位安全的规范、条例和资格证书要求等内容。</w:t>
      </w:r>
    </w:p>
    <w:p w14:paraId="62ED6552">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 赛项执委会将在赛前对本赛项全体裁判员进行裁判培训和安全培训，对服务人员进行安全培训。本赛项源于实际信创产品组建与运维的生产过程，根据《中华人民共和国劳动法》等法律法规，建立了完善的安全事故防范制度，并在赛前对选手进行培训，避免发生人身伤害事故。</w:t>
      </w:r>
    </w:p>
    <w:p w14:paraId="4854EB42">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 赛项执委会将制定专门方案保证比赛命题、赛题保管和评判过程的安全。</w:t>
      </w:r>
    </w:p>
    <w:p w14:paraId="7CD20F1A">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（三）比赛环境</w:t>
      </w:r>
    </w:p>
    <w:p w14:paraId="219A4744">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1.环境安全保障</w:t>
      </w:r>
    </w:p>
    <w:p w14:paraId="36ACC80E">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场组织与管理人员制定安保须知、安全隐患规避方法及突发事件预案，设立紧急疏散路线及通道等，确保比赛期间所有进入竞赛地点的车辆、人员需凭证入内；严禁携带易燃易爆物、管制刀具等危险品及比赛严令禁止的其他物品进入场地；对于紧急发生的拥挤、踩踏、地震、火灾等进行紧急有效的处置。</w:t>
      </w:r>
    </w:p>
    <w:p w14:paraId="1D839E73">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2.操作安全保障</w:t>
      </w:r>
    </w:p>
    <w:p w14:paraId="5D6261B1">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赛前要对选手进行计算机、网络设备、工具等操作的安全培训，进行安全操作的宣讲，确保每个队员能够安全操作设备后方可进行比赛。裁判员在比赛前，宣读安全注意事项，强调用火、用电安全规则。</w:t>
      </w:r>
    </w:p>
    <w:p w14:paraId="224A9AD2">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整个大赛过程邀请当地公安系统、卫生系统和保险系统协助支持。</w:t>
      </w:r>
    </w:p>
    <w:p w14:paraId="232223C3">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参赛队选手从参赛校到承办校的旅途安全由各参赛校负责，参赛选手竞赛过程中的安全保障由赛项执委会负责。</w:t>
      </w:r>
    </w:p>
    <w:p w14:paraId="6FC2AF87">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项执委会须在赛前组织专人对比赛现场、住宿场所和交通保障进行考察，并对安全工作提出明确要求。赛场的布置，赛场内的器材、设备，应符合国家有关安全规定。承办单位赛前须按照赛项执委会要求排除安全隐患。</w:t>
      </w:r>
    </w:p>
    <w:p w14:paraId="1AD4B705">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根据大赛执委会和当地教育厅要求做好疫情防控工作。</w:t>
      </w:r>
    </w:p>
    <w:p w14:paraId="6D7E00B9">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赛场周围要设立警戒线，防止无关人员进入发生意外事件。比赛现场内应参照相关职业岗位的要求为选手提供必要的劳动保护。在具有危险性的操作环节，裁判员要严防选手出现错误操作。</w:t>
      </w:r>
    </w:p>
    <w:p w14:paraId="15EEA51B">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承办单位应提供保证应急预案实施的条件。对于比赛内容涉及高空作业、可能有坠物、大用电量、易发生火灾等情况的赛项，必须明确制度和预案，并配备急救人员与设施。</w:t>
      </w:r>
    </w:p>
    <w:p w14:paraId="7F40C5DC">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赛项执委会须会同承办单位制定开放赛场和体验区的人员疏导方案。赛场环境中存在人员密集、车流人流交错的区域，除了设置齐全的指示标志外，须增加引导人员，并开辟备用通道。</w:t>
      </w:r>
    </w:p>
    <w:p w14:paraId="72F38CF1">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大赛期间，赛项承办单位须在赛场管理的关键岗位，增加力量，建立安全管理日志。</w:t>
      </w:r>
    </w:p>
    <w:p w14:paraId="0472FBDB">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参赛选手进入赛位、赛事裁判工作人员进入工作场所，严禁携带通讯、照相摄录设备，禁止携带记录用具。如确有需要，由赛场统一配置、统一管理。赛项可根据需要配置安检设备对进入赛场重要部位的人员进行安检。</w:t>
      </w:r>
    </w:p>
    <w:p w14:paraId="4A34AF3D">
      <w:pPr>
        <w:numPr>
          <w:ilvl w:val="0"/>
          <w:numId w:val="5"/>
        </w:num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生活条件</w:t>
      </w:r>
    </w:p>
    <w:p w14:paraId="62339737">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比赛期间，原则上由赛事承办单位统一安排参赛选手和指导教师食宿（费用自理）。承办单位须尊重不同民族的信仰及文化，安排好少数民族选手和境外选手的饮食起居。</w:t>
      </w:r>
    </w:p>
    <w:p w14:paraId="703D13EF">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比赛期间安排的住宿地应具有宾馆/住宿经营许可资质。以学校宿舍作为住宿地的，大赛期间的住宿、卫生、饮食安全等由赛项执委会和提供宿舍的学校共同负责。</w:t>
      </w:r>
    </w:p>
    <w:p w14:paraId="7232BACC">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大赛期间有组织的参观和观摩活动的交通安全由赛项执委会负责。赛项执委会和承办单位须保证比赛期间选手、指导教师和裁判员、工作人员的交通安全。</w:t>
      </w:r>
    </w:p>
    <w:p w14:paraId="1F35116F">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各赛项的安全管理，除了可以采取必要的安全隔离措施外，应严格遵守国家相关法律法规，保护个人隐私和人身自由。</w:t>
      </w:r>
    </w:p>
    <w:p w14:paraId="51EA8366">
      <w:pPr>
        <w:numPr>
          <w:ilvl w:val="0"/>
          <w:numId w:val="5"/>
        </w:num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组队责任</w:t>
      </w:r>
    </w:p>
    <w:p w14:paraId="2CBFC31D">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各省、自治区、直辖市在组织参赛队时，须安排为参赛选手购买大赛期间的人身意外伤害保险。</w:t>
      </w:r>
    </w:p>
    <w:p w14:paraId="53ACE7F5">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各省、自治区、直辖市参赛队组成后，须制定相关管理制度，并对所有选手、指导教师进行安全教育。</w:t>
      </w:r>
    </w:p>
    <w:p w14:paraId="2B4B733A">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各参赛队领队须加强参赛人员的安全管理，实现与赛场安全管理的对接。</w:t>
      </w:r>
    </w:p>
    <w:p w14:paraId="08904E04">
      <w:pPr>
        <w:numPr>
          <w:ilvl w:val="0"/>
          <w:numId w:val="5"/>
        </w:num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应急处理</w:t>
      </w:r>
    </w:p>
    <w:p w14:paraId="230DB00B">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比赛期间发生意外事故，发现者应第一时间报告赛项执委会，同时采取措施避免事态扩大。赛项执委会应立即启动预案予以解决并向赛区执委会报告。出现重大安全问题的赛项可以停赛，是否停赛由赛区执委会决定。事后，赛区执委会应向大赛执委会报告详细情况。</w:t>
      </w:r>
    </w:p>
    <w:p w14:paraId="5F275F80">
      <w:pPr>
        <w:numPr>
          <w:ilvl w:val="0"/>
          <w:numId w:val="5"/>
        </w:num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处罚措施</w:t>
      </w:r>
    </w:p>
    <w:p w14:paraId="0487929C">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赛项出现重大安全事故的，停止承办单位的赛项承办资格。</w:t>
      </w:r>
    </w:p>
    <w:p w14:paraId="60102DBB">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因参赛队伍原因造成重大安全事故的，取消其参赛资格。</w:t>
      </w:r>
    </w:p>
    <w:p w14:paraId="67B74E93">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参赛队伍有发生重大安全事故隐患，经赛场工作人员提示、警告无效的，可取消其继续比赛的资格。</w:t>
      </w:r>
    </w:p>
    <w:p w14:paraId="7E4E4FF7">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赛事工作人员违规的，按照相应的制度追究责任。情节恶劣并造成重大安全事故的，由司法机关追究相应法律责任。</w:t>
      </w:r>
    </w:p>
    <w:p w14:paraId="1D5EAC85">
      <w:pPr>
        <w:pStyle w:val="2"/>
        <w:spacing w:after="156"/>
        <w:ind w:firstLine="600" w:firstLineChars="200"/>
      </w:pPr>
      <w:r>
        <w:rPr>
          <w:rFonts w:hint="eastAsia"/>
        </w:rPr>
        <w:t>十二、竞赛须知</w:t>
      </w:r>
    </w:p>
    <w:p w14:paraId="540D3279">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（一）参赛队须知</w:t>
      </w:r>
    </w:p>
    <w:p w14:paraId="195622BA">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1.参赛选手应该参加赛项承办单位组织的闭赛式等各项赛事活动。</w:t>
      </w:r>
    </w:p>
    <w:p w14:paraId="187EFA16">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2.在赛事期间，领队及参赛选手其他成员不得私自接触裁判，凡发现有弄虚作假者，取消其参赛资格，成绩无效。</w:t>
      </w:r>
    </w:p>
    <w:p w14:paraId="5A4CE087">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3.所有参赛人员须按照赛项规程要求完成赛项评价工作。</w:t>
      </w:r>
    </w:p>
    <w:p w14:paraId="524E8045">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 对于有碍比赛公正和比赛正常进行的参赛队，视其情节轻重，按照制度给予警告、取消比赛成绩、通报批评等处理。</w:t>
      </w:r>
    </w:p>
    <w:p w14:paraId="289BC01E">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（二）指导教师须知</w:t>
      </w:r>
    </w:p>
    <w:p w14:paraId="7A260BB2">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 指导教师应该根据专业教学计划和赛项规程合理制定训练方案，认真做好训练工作，克服功利化思想，避免为赛而学、以赛代学。</w:t>
      </w:r>
    </w:p>
    <w:p w14:paraId="209BB2D6">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 指导老师应及时查看大赛官网有关赛项的通知和内容，认真研究和掌握本赛项竞赛的规程、技术规范和赛场要求，做好赛前的一切技术准备和竞赛准备。</w:t>
      </w:r>
    </w:p>
    <w:p w14:paraId="1028894C">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 指导教师应该根据赛项规程要求做好参赛选手保险办理工作，并积极做好选手的安全教育。</w:t>
      </w:r>
    </w:p>
    <w:p w14:paraId="7E27DC02">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（三）参赛选手须知</w:t>
      </w:r>
    </w:p>
    <w:p w14:paraId="5A3029CB">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1.参赛选手应按有关要求如实填报个人信息，否则取消竞赛资格。</w:t>
      </w:r>
    </w:p>
    <w:p w14:paraId="04C02E56">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2.参赛选手需持统一印制的参赛证和有效证件参加竞赛。</w:t>
      </w:r>
    </w:p>
    <w:p w14:paraId="5BBE47B2">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3.参加选手应认真学习领会本次竞赛相关文件，自觉遵守大赛纪律，服从指挥，听从安排，文明参赛。</w:t>
      </w:r>
    </w:p>
    <w:p w14:paraId="2DD1692F">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4.参加选手请勿携带任何电子设备及其他资料、用品进入赛场。</w:t>
      </w:r>
    </w:p>
    <w:p w14:paraId="55BCEAAB">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5.参赛选手应按照规定时间抵达赛场，凭参赛证、有效证件检录，按要求入场，不得迟到早退。</w:t>
      </w:r>
    </w:p>
    <w:p w14:paraId="4B837D9C">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6.参赛选手应增强角色意识，科学合理分工与合作。</w:t>
      </w:r>
    </w:p>
    <w:p w14:paraId="0E769B32">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7.参赛选手应按有关要求在指定位置就坐。</w:t>
      </w:r>
    </w:p>
    <w:p w14:paraId="772C989D">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8.参赛选手须在确认竞赛内容和现场设备等无误后开始竞赛。在竞赛过程中，确因计算机软件或硬件故障，致使操作无法继续的，经项目裁判长确认，予以启用备用设备。</w:t>
      </w:r>
    </w:p>
    <w:p w14:paraId="04E7BBDF">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9.各参赛选手必须按规范要求操作竞赛设备。如因参赛选手操作不当导致出现较严重的安全事故，经总裁判长批准后将立即取消其参赛资格。</w:t>
      </w:r>
    </w:p>
    <w:p w14:paraId="491EFECD">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10.参赛选手需详细阅读赛题中竞赛文档命名的要求，不得在提交的竞赛文档中标识出任何关于参赛选手地名、校名、姓名、参赛编号等信息，否则取消竞赛成绩。</w:t>
      </w:r>
    </w:p>
    <w:p w14:paraId="4521DF6E">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11.竞赛时间终了，选手应全体起立，结束操作。将资料和工具整齐摆放在操作平台上，经工作人员清点后可离开赛场，离开赛场时不得带走任何资料。</w:t>
      </w:r>
    </w:p>
    <w:p w14:paraId="3F855A73">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12.在竞赛期间，未经执委会批准，参赛选手不得接受其他单位和个人进行的与竞赛内容相关的采访。参赛选手不得将竞赛的相关信息私自公布。</w:t>
      </w:r>
    </w:p>
    <w:p w14:paraId="79EBBF4C">
      <w:pPr>
        <w:spacing w:after="156" w:afterLines="50"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（四）工作人员须知</w:t>
      </w:r>
    </w:p>
    <w:p w14:paraId="6416B86C">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1.树立服务观念，一切为选手着想，以高度负责的精神、严肃认真的态度和严谨细致的作风，在赛项执委会的领导下，按照各自职责分工和要求认真做好岗位工作。</w:t>
      </w:r>
    </w:p>
    <w:p w14:paraId="56AE0424">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2.所有工作人员必须佩带证件，忠于职守，秉公办理，保守秘密。</w:t>
      </w:r>
    </w:p>
    <w:p w14:paraId="6CE1AB0C">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3.注意文明礼貌，保持良好形象，熟悉赛项指南。</w:t>
      </w:r>
    </w:p>
    <w:p w14:paraId="286BE0A0">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4.自觉遵守赛项纪律和规则，服从调配和分工，确保竞赛工作的顺利进行。</w:t>
      </w:r>
    </w:p>
    <w:p w14:paraId="4D9517F1">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5.提前30分钟到达赛场，严守工作岗位，不迟到，不早退，不得无故离岗，特殊情况需向工作组组长请假。</w:t>
      </w:r>
    </w:p>
    <w:p w14:paraId="6BC44CC5">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6.熟悉竞赛规程，严格按照工作程序和有关规定办事，遇突发事件，按照应急预案，组织指挥人员疏散，确保人员安全。</w:t>
      </w:r>
    </w:p>
    <w:p w14:paraId="64C201B3">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7.工作人员在竞赛中若有舞弊行为，立即撤销其工作资格，并严肃处理。</w:t>
      </w:r>
    </w:p>
    <w:p w14:paraId="01C80BAB">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8.保持通讯畅通，服从统一领导，严格遵守竞赛纪律，加强协作配合，提高工作效率。</w:t>
      </w:r>
    </w:p>
    <w:p w14:paraId="72745837">
      <w:pPr>
        <w:pStyle w:val="2"/>
        <w:spacing w:after="156"/>
        <w:ind w:firstLine="300"/>
      </w:pPr>
      <w:r>
        <w:rPr>
          <w:rFonts w:hint="eastAsia"/>
        </w:rPr>
        <w:t>十三、申诉与仲裁</w:t>
      </w:r>
    </w:p>
    <w:p w14:paraId="74691F8E">
      <w:pPr>
        <w:spacing w:after="156" w:afterLines="50" w:line="360" w:lineRule="auto"/>
        <w:ind w:firstLine="560" w:firstLineChars="200"/>
        <w:rPr>
          <w:rFonts w:hint="eastAsia" w:ascii="仿宋" w:hAnsi="仿宋" w:eastAsia="仿宋" w:cs="仿宋"/>
          <w:sz w:val="28"/>
          <w:szCs w:val="28"/>
        </w:rPr>
      </w:pPr>
      <w:bookmarkStart w:id="0" w:name="_Hlk509331311"/>
      <w:r>
        <w:rPr>
          <w:rFonts w:hint="eastAsia" w:ascii="仿宋" w:hAnsi="仿宋" w:eastAsia="仿宋" w:cs="仿宋"/>
          <w:sz w:val="28"/>
          <w:szCs w:val="28"/>
        </w:rPr>
        <w:t>各参赛队对不符合大赛和赛项规程规定的仪器、设备、工装、材料、物件、计算机软硬件、竞赛使用工具、用品，竞赛执裁、赛场管理，以及工作人员的不规范行为等，可向赛项监督仲裁组提出申诉。申诉主体为参赛队领队。</w:t>
      </w:r>
      <w:bookmarkEnd w:id="0"/>
      <w:r>
        <w:rPr>
          <w:rFonts w:hint="eastAsia" w:ascii="仿宋" w:hAnsi="仿宋" w:eastAsia="仿宋" w:cs="仿宋"/>
          <w:sz w:val="28"/>
          <w:szCs w:val="28"/>
        </w:rPr>
        <w:t>参赛队领队可在比赛结束后</w:t>
      </w:r>
      <w:bookmarkStart w:id="1" w:name="_Hlk509331324"/>
      <w:r>
        <w:rPr>
          <w:rFonts w:hint="eastAsia" w:ascii="仿宋" w:hAnsi="仿宋" w:eastAsia="仿宋" w:cs="仿宋"/>
          <w:sz w:val="28"/>
          <w:szCs w:val="28"/>
        </w:rPr>
        <w:t>（选手赛场比赛内容全部完成）</w:t>
      </w:r>
      <w:bookmarkEnd w:id="1"/>
      <w:r>
        <w:rPr>
          <w:rFonts w:hint="eastAsia" w:ascii="仿宋" w:hAnsi="仿宋" w:eastAsia="仿宋" w:cs="仿宋"/>
          <w:sz w:val="28"/>
          <w:szCs w:val="28"/>
        </w:rPr>
        <w:t xml:space="preserve">2小时之内向监督仲裁组提出书面申诉。      </w:t>
      </w:r>
    </w:p>
    <w:p w14:paraId="7FEC78CD">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书面申诉应对申诉事件的现象、发生时间、涉及人员、申诉依据等进行充分、实事求是的叙述，并由领队亲笔签名。非书面申诉不予受理。 </w:t>
      </w:r>
    </w:p>
    <w:p w14:paraId="2DE3582B">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赛项监督仲裁工作组在接到申诉报告后的2小时内组织复议，并及时将复议结果以书面形式告知申诉方。申诉方对复议结果仍有异议，可由领队向赛区监督仲裁委员会提出申诉。赛区监督仲裁委员会的仲裁结果为最终结果。</w:t>
      </w:r>
    </w:p>
    <w:p w14:paraId="05BA41AA">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仲裁结果由申诉人签收，不能代收，如在约定时间和地点申诉人离开，视为自行放弃申诉。</w:t>
      </w:r>
    </w:p>
    <w:p w14:paraId="5575DAA4">
      <w:pPr>
        <w:spacing w:after="156" w:afterLines="5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申诉方可随时提出放弃申诉，不得以任何理由采取过激行为扰乱赛场秩序。</w:t>
      </w:r>
    </w:p>
    <w:p w14:paraId="2551B526">
      <w:pPr>
        <w:pStyle w:val="2"/>
        <w:spacing w:after="156"/>
        <w:ind w:firstLine="300"/>
      </w:pPr>
      <w:r>
        <w:rPr>
          <w:rFonts w:hint="eastAsia"/>
        </w:rPr>
        <w:t>十四、竞赛观摩</w:t>
      </w:r>
    </w:p>
    <w:p w14:paraId="4A9F380A">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竞赛环境依据竞赛需求和职业特点设计，在竞赛不被干扰的前提下安全开放部分赛场。现场观摩应遵守如下纪律：</w:t>
      </w:r>
    </w:p>
    <w:p w14:paraId="5935AB2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1.观摩人员需由赛项执委会批准，佩戴观摩证件在工作人员带领下沿指定路线、在指定区域内到现场观赛；</w:t>
      </w:r>
    </w:p>
    <w:p w14:paraId="7AF4CB7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2.文明观赛，不得大声喧哗，服从赛场工作人员的指挥，杜绝各种违反赛场秩序的不文明行为；</w:t>
      </w:r>
    </w:p>
    <w:p w14:paraId="1C2F7B1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3.观摩人员不得进入比赛区域，不可接触设备，不能同参赛选手、裁判交流，不得传递信息，不得采录竞赛现场数据资料，不得影响比赛的正常进行；</w:t>
      </w:r>
    </w:p>
    <w:p w14:paraId="6490EA01">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（观摩者不可携带手机、IPAD 等通讯工具进入赛场，对于各种违反赛场秩序的不文明行为，工作人员有权予以提醒、制止。</w:t>
      </w:r>
    </w:p>
    <w:p w14:paraId="266E165C">
      <w:pPr>
        <w:ind w:firstLine="210"/>
      </w:pPr>
    </w:p>
    <w:p w14:paraId="685C93C6">
      <w:pPr>
        <w:pStyle w:val="2"/>
        <w:spacing w:after="156"/>
        <w:ind w:firstLine="600" w:firstLineChars="200"/>
      </w:pPr>
      <w:r>
        <w:rPr>
          <w:rFonts w:hint="eastAsia"/>
        </w:rPr>
        <w:t>十五、资源转化</w:t>
      </w:r>
    </w:p>
    <w:p w14:paraId="429DF04A">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为促进本次赛事成果在教学过程中有效转化与应用，赛项将坚持资源转化与赛项筹办统筹设计、协调实施、相互驱动的原则，通过师资培训、教学研讨会、产学研论坛等方式将竞赛内容转化为教学与培训资源，推动大赛成果信息技术相关的专业建设与产业人才培养等领域的推广和应用。</w:t>
      </w:r>
    </w:p>
    <w:p w14:paraId="40182D29">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2026年，计划在赛事结束后，举办相应的研讨会、师资培训，</w:t>
      </w:r>
      <w:r>
        <w:rPr>
          <w:rFonts w:ascii="仿宋" w:hAnsi="仿宋" w:eastAsia="仿宋" w:cs="仿宋"/>
          <w:sz w:val="28"/>
          <w:szCs w:val="28"/>
        </w:rPr>
        <w:t>培训内容定为</w:t>
      </w:r>
      <w:r>
        <w:rPr>
          <w:rFonts w:hint="eastAsia" w:ascii="仿宋" w:hAnsi="仿宋" w:eastAsia="仿宋" w:cs="仿宋"/>
          <w:sz w:val="28"/>
          <w:szCs w:val="28"/>
        </w:rPr>
        <w:t>鲲鹏技术</w:t>
      </w:r>
      <w:r>
        <w:rPr>
          <w:rFonts w:ascii="仿宋" w:hAnsi="仿宋" w:eastAsia="仿宋" w:cs="仿宋"/>
          <w:sz w:val="28"/>
          <w:szCs w:val="28"/>
        </w:rPr>
        <w:t>应用</w:t>
      </w:r>
      <w:r>
        <w:rPr>
          <w:rFonts w:hint="eastAsia" w:ascii="仿宋" w:hAnsi="仿宋" w:eastAsia="仿宋" w:cs="仿宋"/>
          <w:sz w:val="28"/>
          <w:szCs w:val="28"/>
        </w:rPr>
        <w:t>、师资培训、</w:t>
      </w:r>
      <w:r>
        <w:rPr>
          <w:rFonts w:ascii="仿宋" w:hAnsi="仿宋" w:eastAsia="仿宋" w:cs="仿宋"/>
          <w:sz w:val="28"/>
          <w:szCs w:val="28"/>
        </w:rPr>
        <w:t>信创系统运维</w:t>
      </w:r>
      <w:r>
        <w:rPr>
          <w:rFonts w:hint="eastAsia" w:ascii="仿宋" w:hAnsi="仿宋" w:eastAsia="仿宋" w:cs="仿宋"/>
          <w:sz w:val="28"/>
          <w:szCs w:val="28"/>
        </w:rPr>
        <w:t>等</w:t>
      </w:r>
      <w:r>
        <w:rPr>
          <w:rFonts w:ascii="仿宋" w:hAnsi="仿宋" w:eastAsia="仿宋" w:cs="仿宋"/>
          <w:sz w:val="28"/>
          <w:szCs w:val="28"/>
        </w:rPr>
        <w:t>。</w:t>
      </w:r>
    </w:p>
    <w:p w14:paraId="7A895568">
      <w:pPr>
        <w:ind w:firstLine="210"/>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2440"/>
        <w:gridCol w:w="2805"/>
        <w:gridCol w:w="1780"/>
      </w:tblGrid>
      <w:tr w14:paraId="495A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19E7CFB">
            <w:pPr>
              <w:spacing w:line="360" w:lineRule="auto"/>
              <w:jc w:val="center"/>
              <w:rPr>
                <w:rFonts w:hint="eastAsia" w:ascii="仿宋" w:hAnsi="仿宋" w:eastAsia="仿宋"/>
                <w:b/>
                <w:kern w:val="0"/>
                <w:sz w:val="24"/>
                <w:szCs w:val="24"/>
              </w:rPr>
            </w:pPr>
            <w:r>
              <w:rPr>
                <w:rFonts w:ascii="仿宋" w:hAnsi="仿宋" w:eastAsia="仿宋"/>
                <w:b/>
                <w:kern w:val="0"/>
                <w:sz w:val="24"/>
                <w:szCs w:val="24"/>
              </w:rPr>
              <w:t>序号</w:t>
            </w:r>
          </w:p>
        </w:tc>
        <w:tc>
          <w:tcPr>
            <w:tcW w:w="2440" w:type="dxa"/>
          </w:tcPr>
          <w:p w14:paraId="382D68F3">
            <w:pPr>
              <w:spacing w:line="360" w:lineRule="auto"/>
              <w:jc w:val="center"/>
              <w:rPr>
                <w:rFonts w:hint="eastAsia" w:ascii="仿宋" w:hAnsi="仿宋" w:eastAsia="仿宋"/>
                <w:b/>
                <w:kern w:val="0"/>
                <w:sz w:val="24"/>
                <w:szCs w:val="24"/>
              </w:rPr>
            </w:pPr>
            <w:r>
              <w:rPr>
                <w:rFonts w:ascii="仿宋" w:hAnsi="仿宋" w:eastAsia="仿宋"/>
                <w:b/>
                <w:kern w:val="0"/>
                <w:sz w:val="24"/>
                <w:szCs w:val="24"/>
              </w:rPr>
              <w:t>活动名称</w:t>
            </w:r>
          </w:p>
        </w:tc>
        <w:tc>
          <w:tcPr>
            <w:tcW w:w="2805" w:type="dxa"/>
          </w:tcPr>
          <w:p w14:paraId="411FFBDC">
            <w:pPr>
              <w:spacing w:line="360" w:lineRule="auto"/>
              <w:jc w:val="center"/>
              <w:rPr>
                <w:rFonts w:hint="eastAsia" w:ascii="仿宋" w:hAnsi="仿宋" w:eastAsia="仿宋"/>
                <w:b/>
                <w:kern w:val="0"/>
                <w:sz w:val="24"/>
                <w:szCs w:val="24"/>
              </w:rPr>
            </w:pPr>
            <w:r>
              <w:rPr>
                <w:rFonts w:ascii="仿宋" w:hAnsi="仿宋" w:eastAsia="仿宋"/>
                <w:b/>
                <w:kern w:val="0"/>
                <w:sz w:val="24"/>
                <w:szCs w:val="24"/>
              </w:rPr>
              <w:t>计划时间</w:t>
            </w:r>
          </w:p>
        </w:tc>
        <w:tc>
          <w:tcPr>
            <w:tcW w:w="1780" w:type="dxa"/>
          </w:tcPr>
          <w:p w14:paraId="030DF41A">
            <w:pPr>
              <w:spacing w:line="360" w:lineRule="auto"/>
              <w:jc w:val="center"/>
              <w:rPr>
                <w:rFonts w:hint="eastAsia" w:ascii="仿宋" w:hAnsi="仿宋" w:eastAsia="仿宋"/>
                <w:b/>
                <w:kern w:val="0"/>
                <w:sz w:val="24"/>
                <w:szCs w:val="24"/>
              </w:rPr>
            </w:pPr>
            <w:r>
              <w:rPr>
                <w:rFonts w:ascii="仿宋" w:hAnsi="仿宋" w:eastAsia="仿宋"/>
                <w:b/>
                <w:kern w:val="0"/>
                <w:sz w:val="24"/>
                <w:szCs w:val="24"/>
              </w:rPr>
              <w:t>备注</w:t>
            </w:r>
          </w:p>
        </w:tc>
      </w:tr>
      <w:tr w14:paraId="55F2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6643576">
            <w:pPr>
              <w:spacing w:line="360" w:lineRule="auto"/>
              <w:jc w:val="center"/>
              <w:rPr>
                <w:rFonts w:hint="eastAsia" w:ascii="仿宋" w:hAnsi="仿宋" w:eastAsia="仿宋"/>
                <w:kern w:val="0"/>
                <w:sz w:val="24"/>
                <w:szCs w:val="24"/>
              </w:rPr>
            </w:pPr>
            <w:r>
              <w:rPr>
                <w:rFonts w:ascii="仿宋" w:hAnsi="仿宋" w:eastAsia="仿宋"/>
                <w:kern w:val="0"/>
                <w:sz w:val="24"/>
                <w:szCs w:val="24"/>
              </w:rPr>
              <w:t>1</w:t>
            </w:r>
          </w:p>
        </w:tc>
        <w:tc>
          <w:tcPr>
            <w:tcW w:w="2440" w:type="dxa"/>
          </w:tcPr>
          <w:p w14:paraId="6D63BC24">
            <w:pPr>
              <w:spacing w:line="360" w:lineRule="auto"/>
              <w:jc w:val="center"/>
              <w:rPr>
                <w:rFonts w:hint="eastAsia" w:ascii="仿宋" w:hAnsi="仿宋" w:eastAsia="仿宋"/>
                <w:kern w:val="0"/>
                <w:sz w:val="24"/>
                <w:szCs w:val="24"/>
              </w:rPr>
            </w:pPr>
            <w:r>
              <w:rPr>
                <w:rFonts w:ascii="仿宋" w:hAnsi="仿宋" w:eastAsia="仿宋"/>
                <w:kern w:val="0"/>
                <w:sz w:val="24"/>
                <w:szCs w:val="24"/>
              </w:rPr>
              <w:t>研讨会第1期</w:t>
            </w:r>
          </w:p>
        </w:tc>
        <w:tc>
          <w:tcPr>
            <w:tcW w:w="2805" w:type="dxa"/>
          </w:tcPr>
          <w:p w14:paraId="2635ADD6">
            <w:pPr>
              <w:spacing w:line="360" w:lineRule="auto"/>
              <w:jc w:val="center"/>
              <w:rPr>
                <w:rFonts w:hint="eastAsia" w:ascii="仿宋" w:hAnsi="仿宋" w:eastAsia="仿宋"/>
                <w:kern w:val="0"/>
                <w:sz w:val="24"/>
                <w:szCs w:val="24"/>
              </w:rPr>
            </w:pPr>
            <w:r>
              <w:rPr>
                <w:rFonts w:hint="eastAsia" w:ascii="仿宋" w:hAnsi="仿宋" w:eastAsia="仿宋"/>
                <w:kern w:val="0"/>
                <w:sz w:val="24"/>
                <w:szCs w:val="24"/>
              </w:rPr>
              <w:t>待定</w:t>
            </w:r>
          </w:p>
        </w:tc>
        <w:tc>
          <w:tcPr>
            <w:tcW w:w="1780" w:type="dxa"/>
          </w:tcPr>
          <w:p w14:paraId="745AAED9">
            <w:pPr>
              <w:spacing w:line="360" w:lineRule="auto"/>
              <w:jc w:val="center"/>
              <w:rPr>
                <w:rFonts w:hint="eastAsia" w:ascii="仿宋" w:hAnsi="仿宋" w:eastAsia="仿宋"/>
                <w:kern w:val="0"/>
                <w:sz w:val="24"/>
                <w:szCs w:val="24"/>
              </w:rPr>
            </w:pPr>
          </w:p>
        </w:tc>
      </w:tr>
      <w:tr w14:paraId="38509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CA1F292">
            <w:pPr>
              <w:spacing w:line="360" w:lineRule="auto"/>
              <w:jc w:val="center"/>
              <w:rPr>
                <w:rFonts w:hint="eastAsia" w:ascii="仿宋" w:hAnsi="仿宋" w:eastAsia="仿宋"/>
                <w:kern w:val="0"/>
                <w:sz w:val="24"/>
                <w:szCs w:val="24"/>
              </w:rPr>
            </w:pPr>
            <w:r>
              <w:rPr>
                <w:rFonts w:ascii="仿宋" w:hAnsi="仿宋" w:eastAsia="仿宋"/>
                <w:kern w:val="0"/>
                <w:sz w:val="24"/>
                <w:szCs w:val="24"/>
              </w:rPr>
              <w:t>2</w:t>
            </w:r>
          </w:p>
        </w:tc>
        <w:tc>
          <w:tcPr>
            <w:tcW w:w="2440" w:type="dxa"/>
          </w:tcPr>
          <w:p w14:paraId="4BE39FB5">
            <w:pPr>
              <w:spacing w:line="360" w:lineRule="auto"/>
              <w:jc w:val="center"/>
              <w:rPr>
                <w:rFonts w:hint="eastAsia" w:ascii="仿宋" w:hAnsi="仿宋" w:eastAsia="仿宋"/>
                <w:kern w:val="0"/>
                <w:sz w:val="24"/>
                <w:szCs w:val="24"/>
              </w:rPr>
            </w:pPr>
            <w:r>
              <w:rPr>
                <w:rFonts w:ascii="仿宋" w:hAnsi="仿宋" w:eastAsia="仿宋"/>
                <w:kern w:val="0"/>
                <w:sz w:val="24"/>
                <w:szCs w:val="24"/>
              </w:rPr>
              <w:t>师资培训第1期</w:t>
            </w:r>
          </w:p>
        </w:tc>
        <w:tc>
          <w:tcPr>
            <w:tcW w:w="2805" w:type="dxa"/>
          </w:tcPr>
          <w:p w14:paraId="7672C655">
            <w:pPr>
              <w:spacing w:line="360" w:lineRule="auto"/>
              <w:jc w:val="center"/>
              <w:rPr>
                <w:rFonts w:hint="eastAsia" w:ascii="仿宋" w:hAnsi="仿宋" w:eastAsia="仿宋"/>
                <w:kern w:val="0"/>
                <w:sz w:val="24"/>
                <w:szCs w:val="24"/>
              </w:rPr>
            </w:pPr>
            <w:r>
              <w:rPr>
                <w:rFonts w:hint="eastAsia" w:ascii="仿宋" w:hAnsi="仿宋" w:eastAsia="仿宋"/>
                <w:kern w:val="0"/>
                <w:sz w:val="24"/>
                <w:szCs w:val="24"/>
              </w:rPr>
              <w:t>待定</w:t>
            </w:r>
          </w:p>
        </w:tc>
        <w:tc>
          <w:tcPr>
            <w:tcW w:w="1780" w:type="dxa"/>
          </w:tcPr>
          <w:p w14:paraId="2C2F9414">
            <w:pPr>
              <w:spacing w:line="360" w:lineRule="auto"/>
              <w:jc w:val="center"/>
              <w:rPr>
                <w:rFonts w:hint="eastAsia" w:ascii="仿宋" w:hAnsi="仿宋" w:eastAsia="仿宋"/>
                <w:kern w:val="0"/>
                <w:sz w:val="24"/>
                <w:szCs w:val="24"/>
              </w:rPr>
            </w:pPr>
          </w:p>
        </w:tc>
      </w:tr>
      <w:tr w14:paraId="3B82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7CA64EF">
            <w:pPr>
              <w:spacing w:line="360" w:lineRule="auto"/>
              <w:jc w:val="center"/>
              <w:rPr>
                <w:rFonts w:hint="eastAsia" w:ascii="仿宋" w:hAnsi="仿宋" w:eastAsia="仿宋"/>
                <w:kern w:val="0"/>
                <w:sz w:val="24"/>
                <w:szCs w:val="24"/>
              </w:rPr>
            </w:pPr>
            <w:r>
              <w:rPr>
                <w:rFonts w:ascii="仿宋" w:hAnsi="仿宋" w:eastAsia="仿宋"/>
                <w:kern w:val="0"/>
                <w:sz w:val="24"/>
                <w:szCs w:val="24"/>
              </w:rPr>
              <w:t>3</w:t>
            </w:r>
          </w:p>
        </w:tc>
        <w:tc>
          <w:tcPr>
            <w:tcW w:w="2440" w:type="dxa"/>
          </w:tcPr>
          <w:p w14:paraId="7A8ECCC2">
            <w:pPr>
              <w:spacing w:line="360" w:lineRule="auto"/>
              <w:jc w:val="center"/>
              <w:rPr>
                <w:rFonts w:hint="eastAsia" w:ascii="仿宋" w:hAnsi="仿宋" w:eastAsia="仿宋"/>
                <w:kern w:val="0"/>
                <w:sz w:val="24"/>
                <w:szCs w:val="24"/>
              </w:rPr>
            </w:pPr>
            <w:r>
              <w:rPr>
                <w:rFonts w:ascii="仿宋" w:hAnsi="仿宋" w:eastAsia="仿宋"/>
                <w:kern w:val="0"/>
                <w:sz w:val="24"/>
                <w:szCs w:val="24"/>
              </w:rPr>
              <w:t>师资培训第2期</w:t>
            </w:r>
          </w:p>
        </w:tc>
        <w:tc>
          <w:tcPr>
            <w:tcW w:w="2805" w:type="dxa"/>
          </w:tcPr>
          <w:p w14:paraId="5352278F">
            <w:pPr>
              <w:spacing w:line="360" w:lineRule="auto"/>
              <w:jc w:val="center"/>
              <w:rPr>
                <w:rFonts w:hint="eastAsia" w:ascii="仿宋" w:hAnsi="仿宋" w:eastAsia="仿宋"/>
                <w:kern w:val="0"/>
                <w:sz w:val="24"/>
                <w:szCs w:val="24"/>
              </w:rPr>
            </w:pPr>
            <w:r>
              <w:rPr>
                <w:rFonts w:hint="eastAsia" w:ascii="仿宋" w:hAnsi="仿宋" w:eastAsia="仿宋"/>
                <w:kern w:val="0"/>
                <w:sz w:val="24"/>
                <w:szCs w:val="24"/>
              </w:rPr>
              <w:t>待定</w:t>
            </w:r>
          </w:p>
        </w:tc>
        <w:tc>
          <w:tcPr>
            <w:tcW w:w="1780" w:type="dxa"/>
          </w:tcPr>
          <w:p w14:paraId="11C4872C">
            <w:pPr>
              <w:spacing w:line="360" w:lineRule="auto"/>
              <w:jc w:val="center"/>
              <w:rPr>
                <w:rFonts w:hint="eastAsia" w:ascii="仿宋" w:hAnsi="仿宋" w:eastAsia="仿宋"/>
                <w:kern w:val="0"/>
                <w:sz w:val="24"/>
                <w:szCs w:val="24"/>
              </w:rPr>
            </w:pPr>
          </w:p>
        </w:tc>
      </w:tr>
      <w:tr w14:paraId="66448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35851BD">
            <w:pPr>
              <w:spacing w:line="360" w:lineRule="auto"/>
              <w:jc w:val="center"/>
              <w:rPr>
                <w:rFonts w:hint="eastAsia" w:ascii="仿宋" w:hAnsi="仿宋" w:eastAsia="仿宋"/>
                <w:kern w:val="0"/>
                <w:sz w:val="24"/>
                <w:szCs w:val="24"/>
              </w:rPr>
            </w:pPr>
            <w:r>
              <w:rPr>
                <w:rFonts w:ascii="仿宋" w:hAnsi="仿宋" w:eastAsia="仿宋"/>
                <w:kern w:val="0"/>
                <w:sz w:val="24"/>
                <w:szCs w:val="24"/>
              </w:rPr>
              <w:t>4</w:t>
            </w:r>
          </w:p>
        </w:tc>
        <w:tc>
          <w:tcPr>
            <w:tcW w:w="2440" w:type="dxa"/>
          </w:tcPr>
          <w:p w14:paraId="3E4480B3">
            <w:pPr>
              <w:spacing w:line="360" w:lineRule="auto"/>
              <w:jc w:val="center"/>
              <w:rPr>
                <w:rFonts w:hint="eastAsia" w:ascii="仿宋" w:hAnsi="仿宋" w:eastAsia="仿宋"/>
                <w:kern w:val="0"/>
                <w:sz w:val="24"/>
                <w:szCs w:val="24"/>
              </w:rPr>
            </w:pPr>
            <w:r>
              <w:rPr>
                <w:rFonts w:ascii="仿宋" w:hAnsi="仿宋" w:eastAsia="仿宋"/>
                <w:kern w:val="0"/>
                <w:sz w:val="24"/>
                <w:szCs w:val="24"/>
              </w:rPr>
              <w:t>研讨会第2期</w:t>
            </w:r>
          </w:p>
        </w:tc>
        <w:tc>
          <w:tcPr>
            <w:tcW w:w="2805" w:type="dxa"/>
          </w:tcPr>
          <w:p w14:paraId="650A1FFA">
            <w:pPr>
              <w:spacing w:line="360" w:lineRule="auto"/>
              <w:jc w:val="center"/>
              <w:rPr>
                <w:rFonts w:hint="eastAsia" w:ascii="仿宋" w:hAnsi="仿宋" w:eastAsia="仿宋"/>
                <w:kern w:val="0"/>
                <w:sz w:val="24"/>
                <w:szCs w:val="24"/>
              </w:rPr>
            </w:pPr>
            <w:r>
              <w:rPr>
                <w:rFonts w:hint="eastAsia" w:ascii="仿宋" w:hAnsi="仿宋" w:eastAsia="仿宋"/>
                <w:kern w:val="0"/>
                <w:sz w:val="24"/>
                <w:szCs w:val="24"/>
              </w:rPr>
              <w:t>待定</w:t>
            </w:r>
          </w:p>
        </w:tc>
        <w:tc>
          <w:tcPr>
            <w:tcW w:w="1780" w:type="dxa"/>
          </w:tcPr>
          <w:p w14:paraId="5079A890">
            <w:pPr>
              <w:spacing w:line="360" w:lineRule="auto"/>
              <w:jc w:val="center"/>
              <w:rPr>
                <w:rFonts w:hint="eastAsia" w:ascii="仿宋" w:hAnsi="仿宋" w:eastAsia="仿宋"/>
                <w:kern w:val="0"/>
                <w:sz w:val="24"/>
                <w:szCs w:val="24"/>
              </w:rPr>
            </w:pPr>
          </w:p>
        </w:tc>
      </w:tr>
    </w:tbl>
    <w:p w14:paraId="6E21A90F">
      <w:pPr>
        <w:spacing w:line="360" w:lineRule="auto"/>
        <w:ind w:firstLine="560" w:firstLineChars="200"/>
        <w:rPr>
          <w:rFonts w:hint="eastAsia" w:ascii="仿宋" w:hAnsi="仿宋" w:eastAsia="仿宋" w:cs="仿宋"/>
          <w:sz w:val="28"/>
          <w:szCs w:val="28"/>
        </w:rPr>
      </w:pPr>
    </w:p>
    <w:p w14:paraId="1C5F8E7A">
      <w:pPr>
        <w:ind w:firstLine="210"/>
      </w:pPr>
    </w:p>
    <w:p w14:paraId="18E992B3">
      <w:pPr>
        <w:pStyle w:val="2"/>
        <w:numPr>
          <w:ilvl w:val="0"/>
          <w:numId w:val="9"/>
        </w:numPr>
        <w:spacing w:after="156"/>
        <w:ind w:firstLine="300"/>
      </w:pPr>
      <w:r>
        <w:rPr>
          <w:rFonts w:hint="eastAsia"/>
        </w:rPr>
        <w:t>资料获取</w:t>
      </w:r>
    </w:p>
    <w:p w14:paraId="53AD8F3A">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本次赛事的相关资料，由赛事承办单位提供。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思源黑体 CN Medium">
    <w:altName w:val="黑体"/>
    <w:panose1 w:val="00000000000000000000"/>
    <w:charset w:val="86"/>
    <w:family w:val="auto"/>
    <w:pitch w:val="default"/>
    <w:sig w:usb0="00000000" w:usb1="00000000" w:usb2="00000016" w:usb3="00000000" w:csb0="60060107"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方正仿宋_GB2312">
    <w:panose1 w:val="02000000000000000000"/>
    <w:charset w:val="86"/>
    <w:family w:val="auto"/>
    <w:pitch w:val="default"/>
    <w:sig w:usb0="A00002BF" w:usb1="184F6CFA" w:usb2="00000012"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KSOFDDF4E7ED">
    <w:panose1 w:val="020B0600000000000000"/>
    <w:charset w:val="86"/>
    <w:family w:val="auto"/>
    <w:pitch w:val="default"/>
    <w:sig w:usb0="00000001" w:usb1="00000000" w:usb2="00000000" w:usb3="00000000" w:csb0="00040001" w:csb1="00000000"/>
  </w:font>
  <w:font w:name="方正舒体">
    <w:panose1 w:val="02010601030101010101"/>
    <w:charset w:val="86"/>
    <w:family w:val="auto"/>
    <w:pitch w:val="default"/>
    <w:sig w:usb0="00000003" w:usb1="080E0000" w:usb2="00000000" w:usb3="00000000" w:csb0="00040000" w:csb1="00000000"/>
  </w:font>
  <w:font w:name="KSOFBE25B2F9">
    <w:panose1 w:val="02000000000000000000"/>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928BB6"/>
    <w:multiLevelType w:val="singleLevel"/>
    <w:tmpl w:val="86928BB6"/>
    <w:lvl w:ilvl="0" w:tentative="0">
      <w:start w:val="1"/>
      <w:numFmt w:val="decimal"/>
      <w:suff w:val="nothing"/>
      <w:lvlText w:val="%1．"/>
      <w:lvlJc w:val="left"/>
      <w:pPr>
        <w:ind w:left="0" w:firstLine="400"/>
      </w:pPr>
      <w:rPr>
        <w:rFonts w:hint="default"/>
      </w:rPr>
    </w:lvl>
  </w:abstractNum>
  <w:abstractNum w:abstractNumId="1">
    <w:nsid w:val="96FECB3A"/>
    <w:multiLevelType w:val="singleLevel"/>
    <w:tmpl w:val="96FECB3A"/>
    <w:lvl w:ilvl="0" w:tentative="0">
      <w:start w:val="1"/>
      <w:numFmt w:val="decimal"/>
      <w:suff w:val="nothing"/>
      <w:lvlText w:val="%1．"/>
      <w:lvlJc w:val="left"/>
      <w:pPr>
        <w:ind w:left="0" w:firstLine="400"/>
      </w:pPr>
      <w:rPr>
        <w:rFonts w:hint="default"/>
      </w:rPr>
    </w:lvl>
  </w:abstractNum>
  <w:abstractNum w:abstractNumId="2">
    <w:nsid w:val="B85D24E7"/>
    <w:multiLevelType w:val="singleLevel"/>
    <w:tmpl w:val="B85D24E7"/>
    <w:lvl w:ilvl="0" w:tentative="0">
      <w:start w:val="1"/>
      <w:numFmt w:val="chineseCounting"/>
      <w:suff w:val="nothing"/>
      <w:lvlText w:val="（%1）"/>
      <w:lvlJc w:val="left"/>
      <w:rPr>
        <w:rFonts w:hint="eastAsia"/>
      </w:rPr>
    </w:lvl>
  </w:abstractNum>
  <w:abstractNum w:abstractNumId="3">
    <w:nsid w:val="DD095F70"/>
    <w:multiLevelType w:val="singleLevel"/>
    <w:tmpl w:val="DD095F70"/>
    <w:lvl w:ilvl="0" w:tentative="0">
      <w:start w:val="1"/>
      <w:numFmt w:val="decimal"/>
      <w:suff w:val="nothing"/>
      <w:lvlText w:val="%1．"/>
      <w:lvlJc w:val="left"/>
      <w:pPr>
        <w:ind w:left="0" w:firstLine="400"/>
      </w:pPr>
      <w:rPr>
        <w:rFonts w:hint="default"/>
      </w:rPr>
    </w:lvl>
  </w:abstractNum>
  <w:abstractNum w:abstractNumId="4">
    <w:nsid w:val="05810B0E"/>
    <w:multiLevelType w:val="singleLevel"/>
    <w:tmpl w:val="05810B0E"/>
    <w:lvl w:ilvl="0" w:tentative="0">
      <w:start w:val="16"/>
      <w:numFmt w:val="chineseCounting"/>
      <w:suff w:val="nothing"/>
      <w:lvlText w:val="%1、"/>
      <w:lvlJc w:val="left"/>
      <w:rPr>
        <w:rFonts w:hint="eastAsia"/>
      </w:rPr>
    </w:lvl>
  </w:abstractNum>
  <w:abstractNum w:abstractNumId="5">
    <w:nsid w:val="180F0A4C"/>
    <w:multiLevelType w:val="singleLevel"/>
    <w:tmpl w:val="180F0A4C"/>
    <w:lvl w:ilvl="0" w:tentative="0">
      <w:start w:val="1"/>
      <w:numFmt w:val="decimal"/>
      <w:suff w:val="nothing"/>
      <w:lvlText w:val="%1．"/>
      <w:lvlJc w:val="left"/>
      <w:pPr>
        <w:ind w:left="0" w:firstLine="400"/>
      </w:pPr>
      <w:rPr>
        <w:rFonts w:hint="default"/>
      </w:rPr>
    </w:lvl>
  </w:abstractNum>
  <w:abstractNum w:abstractNumId="6">
    <w:nsid w:val="45015EE0"/>
    <w:multiLevelType w:val="singleLevel"/>
    <w:tmpl w:val="45015EE0"/>
    <w:lvl w:ilvl="0" w:tentative="0">
      <w:start w:val="1"/>
      <w:numFmt w:val="decimal"/>
      <w:suff w:val="nothing"/>
      <w:lvlText w:val="%1．"/>
      <w:lvlJc w:val="left"/>
      <w:pPr>
        <w:ind w:left="0" w:firstLine="400"/>
      </w:pPr>
      <w:rPr>
        <w:rFonts w:hint="default"/>
      </w:rPr>
    </w:lvl>
  </w:abstractNum>
  <w:abstractNum w:abstractNumId="7">
    <w:nsid w:val="53F6B7CD"/>
    <w:multiLevelType w:val="singleLevel"/>
    <w:tmpl w:val="53F6B7CD"/>
    <w:lvl w:ilvl="0" w:tentative="0">
      <w:start w:val="1"/>
      <w:numFmt w:val="chineseCounting"/>
      <w:suff w:val="nothing"/>
      <w:lvlText w:val="%1、"/>
      <w:lvlJc w:val="left"/>
      <w:rPr>
        <w:rFonts w:hint="eastAsia" w:ascii="黑体" w:hAnsi="黑体" w:eastAsia="黑体"/>
        <w:color w:val="auto"/>
      </w:rPr>
    </w:lvl>
  </w:abstractNum>
  <w:abstractNum w:abstractNumId="8">
    <w:nsid w:val="789E4271"/>
    <w:multiLevelType w:val="singleLevel"/>
    <w:tmpl w:val="789E4271"/>
    <w:lvl w:ilvl="0" w:tentative="0">
      <w:start w:val="1"/>
      <w:numFmt w:val="chineseCounting"/>
      <w:suff w:val="nothing"/>
      <w:lvlText w:val="（%1）"/>
      <w:lvlJc w:val="left"/>
      <w:rPr>
        <w:rFonts w:hint="eastAsia"/>
      </w:rPr>
    </w:lvl>
  </w:abstractNum>
  <w:num w:numId="1">
    <w:abstractNumId w:val="7"/>
  </w:num>
  <w:num w:numId="2">
    <w:abstractNumId w:val="2"/>
  </w:num>
  <w:num w:numId="3">
    <w:abstractNumId w:val="8"/>
  </w:num>
  <w:num w:numId="4">
    <w:abstractNumId w:val="5"/>
  </w:num>
  <w:num w:numId="5">
    <w:abstractNumId w:val="3"/>
  </w:num>
  <w:num w:numId="6">
    <w:abstractNumId w:val="6"/>
  </w:num>
  <w:num w:numId="7">
    <w:abstractNumId w:val="0"/>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wNDNmMTViYzUzN2M0YjBkYWM3NDVlMzBhMmRmNzYifQ=="/>
  </w:docVars>
  <w:rsids>
    <w:rsidRoot w:val="007061CB"/>
    <w:rsid w:val="00000D53"/>
    <w:rsid w:val="001534A9"/>
    <w:rsid w:val="00191E42"/>
    <w:rsid w:val="001B31CC"/>
    <w:rsid w:val="002458FC"/>
    <w:rsid w:val="002A30B6"/>
    <w:rsid w:val="00304217"/>
    <w:rsid w:val="00382EE9"/>
    <w:rsid w:val="00414E2F"/>
    <w:rsid w:val="00420A7F"/>
    <w:rsid w:val="0045493C"/>
    <w:rsid w:val="0045593C"/>
    <w:rsid w:val="004736F4"/>
    <w:rsid w:val="00522D2F"/>
    <w:rsid w:val="005568B8"/>
    <w:rsid w:val="005A0AD1"/>
    <w:rsid w:val="005A25CC"/>
    <w:rsid w:val="005E304B"/>
    <w:rsid w:val="005F5A63"/>
    <w:rsid w:val="005F6DE9"/>
    <w:rsid w:val="00601A1A"/>
    <w:rsid w:val="00645B93"/>
    <w:rsid w:val="0066532A"/>
    <w:rsid w:val="007061CB"/>
    <w:rsid w:val="007300A4"/>
    <w:rsid w:val="00764F32"/>
    <w:rsid w:val="007B156E"/>
    <w:rsid w:val="008011D0"/>
    <w:rsid w:val="0080410E"/>
    <w:rsid w:val="00862ACC"/>
    <w:rsid w:val="008766E2"/>
    <w:rsid w:val="0089196C"/>
    <w:rsid w:val="0089242D"/>
    <w:rsid w:val="0089285E"/>
    <w:rsid w:val="008A127E"/>
    <w:rsid w:val="008E14DA"/>
    <w:rsid w:val="008E170C"/>
    <w:rsid w:val="00914C73"/>
    <w:rsid w:val="00954075"/>
    <w:rsid w:val="009B07AC"/>
    <w:rsid w:val="009B144C"/>
    <w:rsid w:val="00AD2912"/>
    <w:rsid w:val="00B47CA1"/>
    <w:rsid w:val="00C967C3"/>
    <w:rsid w:val="00CD7A5F"/>
    <w:rsid w:val="00D32E45"/>
    <w:rsid w:val="00D43E8A"/>
    <w:rsid w:val="00D70436"/>
    <w:rsid w:val="00D72728"/>
    <w:rsid w:val="00D9560E"/>
    <w:rsid w:val="00DC5F73"/>
    <w:rsid w:val="00E01367"/>
    <w:rsid w:val="00E2792A"/>
    <w:rsid w:val="00E635AA"/>
    <w:rsid w:val="00E8212A"/>
    <w:rsid w:val="00E9193B"/>
    <w:rsid w:val="00E9377C"/>
    <w:rsid w:val="00EC4689"/>
    <w:rsid w:val="023E6494"/>
    <w:rsid w:val="02832A46"/>
    <w:rsid w:val="0E0D7668"/>
    <w:rsid w:val="11476B00"/>
    <w:rsid w:val="11ED7536"/>
    <w:rsid w:val="1300779B"/>
    <w:rsid w:val="130A23C8"/>
    <w:rsid w:val="130A36C0"/>
    <w:rsid w:val="1566459D"/>
    <w:rsid w:val="161C2B3E"/>
    <w:rsid w:val="16EF1E5B"/>
    <w:rsid w:val="16FC21F0"/>
    <w:rsid w:val="186352C1"/>
    <w:rsid w:val="18E67433"/>
    <w:rsid w:val="213056EF"/>
    <w:rsid w:val="21B225A8"/>
    <w:rsid w:val="244576FA"/>
    <w:rsid w:val="255D282B"/>
    <w:rsid w:val="272D1845"/>
    <w:rsid w:val="27FA6A57"/>
    <w:rsid w:val="2AB043FC"/>
    <w:rsid w:val="2AE8528D"/>
    <w:rsid w:val="2CE40623"/>
    <w:rsid w:val="2FB63264"/>
    <w:rsid w:val="320A0420"/>
    <w:rsid w:val="33291F9F"/>
    <w:rsid w:val="36657792"/>
    <w:rsid w:val="368114EA"/>
    <w:rsid w:val="386046B4"/>
    <w:rsid w:val="38F82B3F"/>
    <w:rsid w:val="3B4F1833"/>
    <w:rsid w:val="3B50220D"/>
    <w:rsid w:val="3E891E58"/>
    <w:rsid w:val="3FCB5CD5"/>
    <w:rsid w:val="440C17BE"/>
    <w:rsid w:val="451C6FC0"/>
    <w:rsid w:val="460460EC"/>
    <w:rsid w:val="47590C4D"/>
    <w:rsid w:val="4E600B13"/>
    <w:rsid w:val="4FC13833"/>
    <w:rsid w:val="52787A63"/>
    <w:rsid w:val="5B653C0C"/>
    <w:rsid w:val="60F3610D"/>
    <w:rsid w:val="64356146"/>
    <w:rsid w:val="648D1ADE"/>
    <w:rsid w:val="6573682C"/>
    <w:rsid w:val="65CD5EC7"/>
    <w:rsid w:val="664F5E23"/>
    <w:rsid w:val="69B0699A"/>
    <w:rsid w:val="6E8C6DD2"/>
    <w:rsid w:val="6EE175F6"/>
    <w:rsid w:val="6FFB4CB7"/>
    <w:rsid w:val="761B5360"/>
    <w:rsid w:val="7E2B6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autoRedefine/>
    <w:qFormat/>
    <w:uiPriority w:val="0"/>
    <w:pPr>
      <w:keepNext/>
      <w:keepLines/>
      <w:spacing w:after="50" w:afterLines="50" w:line="360" w:lineRule="auto"/>
      <w:outlineLvl w:val="0"/>
    </w:pPr>
    <w:rPr>
      <w:rFonts w:eastAsia="思源黑体 CN Medium"/>
      <w:kern w:val="44"/>
      <w:sz w:val="30"/>
    </w:rPr>
  </w:style>
  <w:style w:type="paragraph" w:styleId="3">
    <w:name w:val="heading 3"/>
    <w:basedOn w:val="1"/>
    <w:next w:val="1"/>
    <w:autoRedefine/>
    <w:qFormat/>
    <w:uiPriority w:val="9"/>
    <w:pPr>
      <w:keepNext/>
      <w:keepLines/>
      <w:spacing w:line="580" w:lineRule="exact"/>
      <w:ind w:firstLine="720" w:firstLineChars="200"/>
      <w:outlineLvl w:val="2"/>
    </w:pPr>
    <w:rPr>
      <w:rFonts w:ascii="仿宋" w:hAnsi="仿宋" w:eastAsia="仿宋"/>
      <w:bCs/>
      <w:sz w:val="34"/>
      <w:szCs w:val="32"/>
    </w:rPr>
  </w:style>
  <w:style w:type="paragraph" w:styleId="4">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pPr>
    <w:rPr>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规程正文"/>
    <w:basedOn w:val="1"/>
    <w:autoRedefine/>
    <w:qFormat/>
    <w:uiPriority w:val="0"/>
    <w:pPr>
      <w:adjustRightInd w:val="0"/>
      <w:snapToGrid w:val="0"/>
      <w:spacing w:line="580" w:lineRule="exact"/>
      <w:ind w:firstLine="720" w:firstLineChars="200"/>
    </w:pPr>
    <w:rPr>
      <w:rFonts w:ascii="仿宋" w:hAnsi="仿宋" w:eastAsia="方正仿宋_GB2312"/>
      <w:sz w:val="34"/>
      <w:szCs w:val="44"/>
    </w:rPr>
  </w:style>
  <w:style w:type="character" w:customStyle="1" w:styleId="13">
    <w:name w:val="页眉 字符"/>
    <w:basedOn w:val="11"/>
    <w:link w:val="7"/>
    <w:qFormat/>
    <w:uiPriority w:val="0"/>
    <w:rPr>
      <w:rFonts w:ascii="Times New Roman" w:hAnsi="Times New Roman" w:eastAsia="宋体" w:cs="Times New Roman"/>
      <w:kern w:val="2"/>
      <w:sz w:val="18"/>
      <w:szCs w:val="18"/>
    </w:rPr>
  </w:style>
  <w:style w:type="character" w:customStyle="1" w:styleId="14">
    <w:name w:val="页脚 字符"/>
    <w:basedOn w:val="11"/>
    <w:link w:val="6"/>
    <w:qFormat/>
    <w:uiPriority w:val="0"/>
    <w:rPr>
      <w:rFonts w:ascii="Times New Roman" w:hAnsi="Times New Roman" w:eastAsia="宋体" w:cs="Times New Roman"/>
      <w:kern w:val="2"/>
      <w:sz w:val="18"/>
      <w:szCs w:val="18"/>
    </w:rPr>
  </w:style>
  <w:style w:type="paragraph" w:styleId="15">
    <w:name w:val="List Paragraph"/>
    <w:basedOn w:val="1"/>
    <w:unhideWhenUsed/>
    <w:qFormat/>
    <w:uiPriority w:val="99"/>
    <w:pPr>
      <w:ind w:firstLine="420" w:firstLineChars="200"/>
    </w:pPr>
  </w:style>
  <w:style w:type="paragraph" w:customStyle="1" w:styleId="16">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1171</Words>
  <Characters>1233</Characters>
  <Lines>73</Lines>
  <Paragraphs>20</Paragraphs>
  <TotalTime>10</TotalTime>
  <ScaleCrop>false</ScaleCrop>
  <LinksUpToDate>false</LinksUpToDate>
  <CharactersWithSpaces>1235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2025-12-08T02:59:00Z</dcterms:created>
  <dc:creator>Lenovo</dc:creator>
  <cp:lastModifiedBy>小鹏</cp:lastModifiedBy>
  <dcterms:modified xsi:type="dcterms:W3CDTF">2025-12-18T02:20:45Z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71238C27CBF14B728A1A22DD2AA8EAA9_13</vt:lpwstr>
  </property>
  <property fmtid="{D5CDD505-2E9C-101B-9397-08002B2CF9AE}" pid="4" name="KSOTemplateDocerSaveRecord">
    <vt:lpwstr>eyJoZGlkIjoiNDYwNDNmMTViYzUzN2M0YjBkYWM3NDVlMzBhMmRmNzYiLCJ1c2VySWQiOiIyNjMxMjcyNzcifQ==</vt:lpwstr>
  </property>
  <property fmtid="{D5CDD505-2E9C-101B-9397-08002B2CF9AE}" pid="5" name="MSIP_Label_defa4170-0d19-0005-0004-bc88714345d2_Enabled">
    <vt:lpwstr>true</vt:lpwstr>
  </property>
  <property fmtid="{D5CDD505-2E9C-101B-9397-08002B2CF9AE}" pid="6" name="MSIP_Label_defa4170-0d19-0005-0004-bc88714345d2_SetDate">
    <vt:lpwstr>2025-12-01T01:46:22Z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6f1c0f8a-42c0-42b8-ba86-8809f814975f</vt:lpwstr>
  </property>
  <property fmtid="{D5CDD505-2E9C-101B-9397-08002B2CF9AE}" pid="10" name="MSIP_Label_defa4170-0d19-0005-0004-bc88714345d2_ActionId">
    <vt:lpwstr>67bbde83-2926-410e-94fd-2e15f465ce41</vt:lpwstr>
  </property>
  <property fmtid="{D5CDD505-2E9C-101B-9397-08002B2CF9AE}" pid="11" name="MSIP_Label_defa4170-0d19-0005-0004-bc88714345d2_ContentBits">
    <vt:lpwstr>0</vt:lpwstr>
  </property>
  <property fmtid="{D5CDD505-2E9C-101B-9397-08002B2CF9AE}" pid="12" name="MSIP_Label_defa4170-0d19-0005-0004-bc88714345d2_Tag">
    <vt:lpwstr>10, 3, 0, 1</vt:lpwstr>
  </property>
</Properties>
</file>