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A124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sz w:val="43"/>
          <w:szCs w:val="43"/>
        </w:rPr>
      </w:pPr>
      <w:r>
        <w:rPr>
          <w:spacing w:val="7"/>
          <w:sz w:val="43"/>
          <w:szCs w:val="43"/>
        </w:rPr>
        <w:t>商务数据分析赛项规程（高职组）</w:t>
      </w:r>
    </w:p>
    <w:p w14:paraId="1B01D7C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8" w:firstLineChars="200"/>
        <w:jc w:val="both"/>
        <w:textAlignment w:val="baseline"/>
        <w:outlineLvl w:val="0"/>
      </w:pPr>
      <w:r>
        <w:rPr>
          <w:b/>
          <w:bCs/>
          <w:spacing w:val="-6"/>
        </w:rPr>
        <w:t>一、赛项名称</w:t>
      </w:r>
    </w:p>
    <w:p w14:paraId="466E58C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2" w:firstLineChars="200"/>
        <w:textAlignment w:val="baseline"/>
      </w:pPr>
      <w:r>
        <w:rPr>
          <w:spacing w:val="-2"/>
        </w:rPr>
        <w:t>赛项名称：商务数据分析</w:t>
      </w:r>
    </w:p>
    <w:p w14:paraId="4AFCF80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6" w:firstLineChars="200"/>
        <w:textAlignment w:val="baseline"/>
      </w:pPr>
      <w:r>
        <w:rPr>
          <w:spacing w:val="-1"/>
        </w:rPr>
        <w:t>英文名称：Business Data Analysis</w:t>
      </w:r>
    </w:p>
    <w:p w14:paraId="1A0CAB2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2" w:firstLineChars="200"/>
        <w:textAlignment w:val="baseline"/>
      </w:pPr>
      <w:r>
        <w:rPr>
          <w:spacing w:val="-2"/>
        </w:rPr>
        <w:t>赛项组别：高等职业教育</w:t>
      </w:r>
    </w:p>
    <w:p w14:paraId="65CE673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6" w:firstLineChars="200"/>
        <w:textAlignment w:val="baseline"/>
      </w:pPr>
      <w:r>
        <w:rPr>
          <w:spacing w:val="-1"/>
        </w:rPr>
        <w:t>赛项归属产业：财经商贸大类</w:t>
      </w:r>
    </w:p>
    <w:p w14:paraId="3774A75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8" w:firstLineChars="200"/>
        <w:jc w:val="both"/>
        <w:textAlignment w:val="baseline"/>
        <w:outlineLvl w:val="0"/>
        <w:rPr>
          <w:b/>
          <w:bCs/>
          <w:spacing w:val="-6"/>
        </w:rPr>
      </w:pPr>
      <w:r>
        <w:rPr>
          <w:b/>
          <w:bCs/>
          <w:spacing w:val="-6"/>
        </w:rPr>
        <w:t>二、竞赛目的</w:t>
      </w:r>
    </w:p>
    <w:p w14:paraId="674D011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8"/>
        <w:jc w:val="both"/>
        <w:textAlignment w:val="baseline"/>
      </w:pPr>
      <w:r>
        <w:rPr>
          <w:spacing w:val="7"/>
        </w:rPr>
        <w:t>商务数据分析赛项坚持以高水平赛事推动职业教育高质量</w:t>
      </w:r>
      <w:r>
        <w:rPr>
          <w:spacing w:val="-4"/>
        </w:rPr>
        <w:t>发展理念为宗旨，以党的二十大提出的“加快发展数字经济，促</w:t>
      </w:r>
      <w:r>
        <w:rPr>
          <w:spacing w:val="-5"/>
        </w:rPr>
        <w:t>进数字经济和实体经济深度融合</w:t>
      </w:r>
      <w:r>
        <w:rPr>
          <w:spacing w:val="-110"/>
        </w:rPr>
        <w:t xml:space="preserve"> </w:t>
      </w:r>
      <w:r>
        <w:rPr>
          <w:spacing w:val="-5"/>
        </w:rPr>
        <w:t>”等精神为指引，以提</w:t>
      </w:r>
      <w:r>
        <w:rPr>
          <w:spacing w:val="-6"/>
        </w:rPr>
        <w:t>升高职院</w:t>
      </w:r>
      <w:r>
        <w:rPr>
          <w:spacing w:val="-4"/>
        </w:rPr>
        <w:t>校学生数字素养和商务数据分析与应用技术技能水平、培育数</w:t>
      </w:r>
      <w:r>
        <w:rPr>
          <w:spacing w:val="-5"/>
        </w:rPr>
        <w:t>字工匠</w:t>
      </w:r>
      <w:r>
        <w:rPr>
          <w:spacing w:val="-110"/>
        </w:rPr>
        <w:t xml:space="preserve"> </w:t>
      </w:r>
      <w:r>
        <w:rPr>
          <w:spacing w:val="-5"/>
        </w:rPr>
        <w:t>为目标，对接新产业、新业态、新模式下商务</w:t>
      </w:r>
      <w:r>
        <w:rPr>
          <w:spacing w:val="-6"/>
        </w:rPr>
        <w:t>数据分析</w:t>
      </w:r>
      <w:r>
        <w:rPr>
          <w:spacing w:val="-4"/>
        </w:rPr>
        <w:t>领域的新要求，通过科学规划、合理设置比赛内容，紧贴高职教学实际和企业岗位技能要求，以赛促教、以赛促改，促进产教融合，培养德才兼备的高素质技术技</w:t>
      </w:r>
      <w:r>
        <w:rPr>
          <w:spacing w:val="-1"/>
        </w:rPr>
        <w:t>能型商务数据分析与应用人才。</w:t>
      </w:r>
    </w:p>
    <w:p w14:paraId="7B7B5BF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8" w:firstLineChars="200"/>
        <w:jc w:val="both"/>
        <w:textAlignment w:val="baseline"/>
        <w:outlineLvl w:val="0"/>
        <w:rPr>
          <w:b/>
          <w:bCs/>
          <w:spacing w:val="-6"/>
        </w:rPr>
      </w:pPr>
      <w:r>
        <w:rPr>
          <w:b/>
          <w:bCs/>
          <w:spacing w:val="-6"/>
        </w:rPr>
        <w:t>三、竞赛内容</w:t>
      </w:r>
    </w:p>
    <w:p w14:paraId="3C7E5AA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8" w:firstLineChars="200"/>
        <w:jc w:val="both"/>
        <w:textAlignment w:val="baseline"/>
        <w:outlineLvl w:val="0"/>
        <w:rPr>
          <w:b/>
          <w:bCs/>
          <w:spacing w:val="-6"/>
        </w:rPr>
      </w:pPr>
      <w:r>
        <w:rPr>
          <w:b/>
          <w:bCs/>
          <w:spacing w:val="-6"/>
        </w:rPr>
        <w:t>（一）竞赛内容</w:t>
      </w:r>
    </w:p>
    <w:p w14:paraId="732F7FD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8" w:firstLineChars="200"/>
        <w:textAlignment w:val="baseline"/>
        <w:rPr>
          <w:rFonts w:hint="default" w:eastAsia="宋体"/>
          <w:spacing w:val="-3"/>
          <w:lang w:val="en-US" w:eastAsia="zh-CN"/>
        </w:rPr>
      </w:pPr>
      <w:r>
        <w:rPr>
          <w:spacing w:val="-3"/>
        </w:rPr>
        <w:t>1.</w:t>
      </w:r>
      <w:r>
        <w:rPr>
          <w:rFonts w:hint="eastAsia"/>
          <w:spacing w:val="-3"/>
          <w:lang w:val="en-US" w:eastAsia="zh-CN"/>
        </w:rPr>
        <w:t>传统赛项技能比拼</w:t>
      </w:r>
    </w:p>
    <w:p w14:paraId="78E5ABF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8" w:firstLineChars="200"/>
        <w:textAlignment w:val="baseline"/>
      </w:pPr>
      <w:r>
        <w:rPr>
          <w:rFonts w:hint="eastAsia"/>
          <w:spacing w:val="-3"/>
          <w:lang w:eastAsia="zh-CN"/>
        </w:rPr>
        <w:t>（</w:t>
      </w:r>
      <w:r>
        <w:rPr>
          <w:rFonts w:hint="eastAsia"/>
          <w:spacing w:val="-3"/>
          <w:lang w:val="en-US" w:eastAsia="zh-CN"/>
        </w:rPr>
        <w:t>1）</w:t>
      </w:r>
      <w:r>
        <w:rPr>
          <w:spacing w:val="-3"/>
        </w:rPr>
        <w:t>数据思维与职业素养。</w:t>
      </w:r>
    </w:p>
    <w:p w14:paraId="42E7318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6" w:firstLineChars="200"/>
        <w:textAlignment w:val="baseline"/>
      </w:pPr>
      <w:r>
        <w:rPr>
          <w:rFonts w:hint="eastAsia"/>
          <w:spacing w:val="-1"/>
          <w:lang w:eastAsia="zh-CN"/>
        </w:rPr>
        <w:t>（</w:t>
      </w:r>
      <w:r>
        <w:rPr>
          <w:spacing w:val="-1"/>
        </w:rPr>
        <w:t>2</w:t>
      </w:r>
      <w:r>
        <w:rPr>
          <w:rFonts w:hint="eastAsia"/>
          <w:spacing w:val="-1"/>
          <w:lang w:eastAsia="zh-CN"/>
        </w:rPr>
        <w:t>）</w:t>
      </w:r>
      <w:r>
        <w:rPr>
          <w:spacing w:val="-1"/>
        </w:rPr>
        <w:t>商务数据分析方法与工具应用。</w:t>
      </w:r>
    </w:p>
    <w:p w14:paraId="0398473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2" w:firstLineChars="200"/>
        <w:textAlignment w:val="baseline"/>
      </w:pPr>
      <w:r>
        <w:rPr>
          <w:rFonts w:hint="eastAsia"/>
          <w:spacing w:val="-2"/>
          <w:lang w:eastAsia="zh-CN"/>
        </w:rPr>
        <w:t>（</w:t>
      </w:r>
      <w:r>
        <w:rPr>
          <w:spacing w:val="-2"/>
        </w:rPr>
        <w:t>3</w:t>
      </w:r>
      <w:r>
        <w:rPr>
          <w:rFonts w:hint="eastAsia"/>
          <w:spacing w:val="-2"/>
          <w:lang w:eastAsia="zh-CN"/>
        </w:rPr>
        <w:t>）</w:t>
      </w:r>
      <w:r>
        <w:rPr>
          <w:spacing w:val="-2"/>
        </w:rPr>
        <w:t>商务数据分析报告撰写与陈述。</w:t>
      </w:r>
    </w:p>
    <w:p w14:paraId="25C5AD3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8" w:firstLineChars="200"/>
        <w:textAlignment w:val="baseline"/>
        <w:rPr>
          <w:spacing w:val="-3"/>
        </w:rPr>
      </w:pPr>
      <w:r>
        <w:rPr>
          <w:rFonts w:hint="eastAsia"/>
          <w:spacing w:val="-3"/>
          <w:lang w:val="en-US" w:eastAsia="zh-CN"/>
        </w:rPr>
        <w:t>2.</w:t>
      </w:r>
      <w:r>
        <w:rPr>
          <w:spacing w:val="-3"/>
          <w:lang w:val="en-US" w:eastAsia="zh-CN"/>
        </w:rPr>
        <w:t>综合展示讲解</w:t>
      </w:r>
    </w:p>
    <w:p w14:paraId="3601E41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0" w:firstLineChars="200"/>
        <w:jc w:val="both"/>
        <w:textAlignment w:val="baseline"/>
        <w:rPr>
          <w:rFonts w:hint="default"/>
          <w:spacing w:val="-5"/>
          <w:lang w:val="en-US" w:eastAsia="zh-CN"/>
        </w:rPr>
      </w:pPr>
      <w:r>
        <w:rPr>
          <w:rFonts w:hint="default"/>
          <w:spacing w:val="-5"/>
          <w:lang w:val="en-US" w:eastAsia="zh-CN"/>
        </w:rPr>
        <w:t>综合展示</w:t>
      </w:r>
      <w:r>
        <w:rPr>
          <w:rFonts w:hint="eastAsia"/>
          <w:spacing w:val="-5"/>
          <w:lang w:val="en-US" w:eastAsia="zh-CN"/>
        </w:rPr>
        <w:t>讲解</w:t>
      </w:r>
      <w:r>
        <w:rPr>
          <w:rFonts w:hint="default"/>
          <w:spacing w:val="-5"/>
          <w:lang w:val="en-US" w:eastAsia="zh-CN"/>
        </w:rPr>
        <w:t>参照2025年世界职业院校技能大赛评分标准，</w:t>
      </w:r>
      <w:r>
        <w:rPr>
          <w:rFonts w:hint="eastAsia"/>
          <w:spacing w:val="-5"/>
          <w:lang w:val="en-US" w:eastAsia="zh-CN"/>
        </w:rPr>
        <w:t>使用商务数据分析工具解决真实企业痛点，各参赛队</w:t>
      </w:r>
      <w:r>
        <w:rPr>
          <w:rFonts w:hint="default"/>
          <w:spacing w:val="-5"/>
          <w:lang w:val="en-US" w:eastAsia="zh-CN"/>
        </w:rPr>
        <w:t>自主选择项目</w:t>
      </w:r>
      <w:r>
        <w:rPr>
          <w:rFonts w:hint="eastAsia"/>
          <w:spacing w:val="-5"/>
          <w:lang w:val="en-US" w:eastAsia="zh-CN"/>
        </w:rPr>
        <w:t>题目、自主设计项目内容并</w:t>
      </w:r>
      <w:r>
        <w:rPr>
          <w:rFonts w:hint="default"/>
          <w:spacing w:val="-5"/>
          <w:lang w:val="en-US" w:eastAsia="zh-CN"/>
        </w:rPr>
        <w:t>进行现场讲解，不进行答辩。</w:t>
      </w:r>
    </w:p>
    <w:p w14:paraId="359372E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8" w:firstLineChars="200"/>
        <w:jc w:val="both"/>
        <w:textAlignment w:val="baseline"/>
        <w:outlineLvl w:val="0"/>
        <w:rPr>
          <w:b/>
          <w:bCs/>
          <w:spacing w:val="-6"/>
        </w:rPr>
      </w:pPr>
      <w:r>
        <w:rPr>
          <w:b/>
          <w:bCs/>
          <w:spacing w:val="-6"/>
        </w:rPr>
        <w:t>（二）赛项考察的技术技能</w:t>
      </w:r>
    </w:p>
    <w:p w14:paraId="344FD0B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2"/>
        <w:jc w:val="both"/>
        <w:textAlignment w:val="baseline"/>
      </w:pPr>
      <w:r>
        <w:rPr>
          <w:spacing w:val="-4"/>
        </w:rPr>
        <w:t>本竞赛通过考核数据采集、数据预处理、数据分析</w:t>
      </w:r>
      <w:r>
        <w:rPr>
          <w:spacing w:val="-5"/>
        </w:rPr>
        <w:t>、数据可</w:t>
      </w:r>
      <w:r>
        <w:rPr>
          <w:spacing w:val="-4"/>
        </w:rPr>
        <w:t>视化、数据报告撰写和</w:t>
      </w:r>
      <w:r>
        <w:rPr>
          <w:rFonts w:hint="eastAsia"/>
          <w:spacing w:val="-4"/>
          <w:lang w:val="en-US" w:eastAsia="zh-CN"/>
        </w:rPr>
        <w:t>使用商务数据分析工具综合解决复杂问题</w:t>
      </w:r>
      <w:r>
        <w:rPr>
          <w:spacing w:val="-4"/>
        </w:rPr>
        <w:t>等工作任务的完成质量，全面考察参</w:t>
      </w:r>
      <w:r>
        <w:rPr>
          <w:spacing w:val="-2"/>
        </w:rPr>
        <w:t>赛选手商务数据分析方法与工具应用能力、分析报告撰</w:t>
      </w:r>
      <w:r>
        <w:rPr>
          <w:spacing w:val="-3"/>
        </w:rPr>
        <w:t>写能力、</w:t>
      </w:r>
      <w:r>
        <w:rPr>
          <w:spacing w:val="-1"/>
        </w:rPr>
        <w:t>沟通表达能力以及团队协作能力。具体内容如下：</w:t>
      </w:r>
    </w:p>
    <w:p w14:paraId="7C0E20A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2" w:firstLineChars="200"/>
        <w:jc w:val="both"/>
        <w:textAlignment w:val="baseline"/>
        <w:outlineLvl w:val="0"/>
        <w:rPr>
          <w:rFonts w:hint="eastAsia"/>
          <w:b/>
          <w:bCs/>
          <w:spacing w:val="-5"/>
        </w:rPr>
      </w:pPr>
      <w:r>
        <w:rPr>
          <w:rFonts w:hint="eastAsia"/>
          <w:b/>
          <w:bCs/>
          <w:spacing w:val="-5"/>
        </w:rPr>
        <w:t>1.传统赛项技能比拼</w:t>
      </w:r>
    </w:p>
    <w:p w14:paraId="27CD2EC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3"/>
        <w:jc w:val="both"/>
        <w:textAlignment w:val="baseline"/>
      </w:pPr>
      <w:r>
        <w:rPr>
          <w:b/>
          <w:bCs/>
          <w:spacing w:val="-5"/>
        </w:rPr>
        <w:t>数据采集：</w:t>
      </w:r>
      <w:r>
        <w:rPr>
          <w:spacing w:val="-5"/>
        </w:rPr>
        <w:t>参赛选手根据任务要求，利用竞赛平台提供的数</w:t>
      </w:r>
      <w:r>
        <w:rPr>
          <w:spacing w:val="-4"/>
        </w:rPr>
        <w:t>据采集工具和资源，明确数据分析目标，确定数据采集维度、指</w:t>
      </w:r>
      <w:r>
        <w:rPr>
          <w:spacing w:val="-2"/>
        </w:rPr>
        <w:t>标，并完成数据采集。</w:t>
      </w:r>
    </w:p>
    <w:p w14:paraId="6107C47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8"/>
        <w:textAlignment w:val="baseline"/>
        <w:rPr>
          <w:spacing w:val="-11"/>
        </w:rPr>
      </w:pPr>
      <w:r>
        <w:rPr>
          <w:b/>
          <w:bCs/>
          <w:spacing w:val="-4"/>
        </w:rPr>
        <w:t>数据预处理：</w:t>
      </w:r>
      <w:r>
        <w:rPr>
          <w:spacing w:val="-4"/>
        </w:rPr>
        <w:t>使用Excel及</w:t>
      </w:r>
      <w:r>
        <w:rPr>
          <w:spacing w:val="-68"/>
        </w:rPr>
        <w:t xml:space="preserve"> </w:t>
      </w:r>
      <w:r>
        <w:rPr>
          <w:spacing w:val="-4"/>
        </w:rPr>
        <w:t>Python</w:t>
      </w:r>
      <w:r>
        <w:rPr>
          <w:spacing w:val="-67"/>
        </w:rPr>
        <w:t xml:space="preserve"> </w:t>
      </w:r>
      <w:r>
        <w:rPr>
          <w:spacing w:val="-4"/>
        </w:rPr>
        <w:t>对数据进行查看</w:t>
      </w:r>
      <w:r>
        <w:rPr>
          <w:spacing w:val="-5"/>
        </w:rPr>
        <w:t>、删除、</w:t>
      </w:r>
      <w:r>
        <w:rPr>
          <w:spacing w:val="-11"/>
        </w:rPr>
        <w:t>分割、增加、替换等数据清洗</w:t>
      </w:r>
      <w:r>
        <w:rPr>
          <w:rFonts w:hint="eastAsia"/>
          <w:spacing w:val="-11"/>
          <w:lang w:val="en-US" w:eastAsia="zh-CN"/>
        </w:rPr>
        <w:t>和</w:t>
      </w:r>
      <w:r>
        <w:rPr>
          <w:spacing w:val="-11"/>
        </w:rPr>
        <w:t>预处理，为后期数据分析做好准备。</w:t>
      </w:r>
    </w:p>
    <w:p w14:paraId="53FB1A6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8"/>
        <w:textAlignment w:val="baseline"/>
      </w:pPr>
      <w:r>
        <w:rPr>
          <w:b/>
          <w:bCs/>
          <w:spacing w:val="-1"/>
        </w:rPr>
        <w:t>数据分析：</w:t>
      </w:r>
      <w:r>
        <w:rPr>
          <w:spacing w:val="-1"/>
        </w:rPr>
        <w:t>完成数据分析，挖掘数据背后的信息和规</w:t>
      </w:r>
      <w:r>
        <w:rPr>
          <w:spacing w:val="-2"/>
        </w:rPr>
        <w:t>律。</w:t>
      </w:r>
    </w:p>
    <w:p w14:paraId="26D5AA1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4"/>
        <w:textAlignment w:val="baseline"/>
      </w:pPr>
      <w:r>
        <w:rPr>
          <w:b/>
          <w:bCs/>
          <w:spacing w:val="-13"/>
        </w:rPr>
        <w:t>数据可视化：</w:t>
      </w:r>
      <w:r>
        <w:rPr>
          <w:spacing w:val="-13"/>
        </w:rPr>
        <w:t>完成数据计算、补充，选用不同的可视化图表，</w:t>
      </w:r>
      <w:r>
        <w:rPr>
          <w:spacing w:val="-4"/>
        </w:rPr>
        <w:t>进行对比分析、结构分析、通过制作及展示可视化大屏，得出数</w:t>
      </w:r>
      <w:r>
        <w:rPr>
          <w:spacing w:val="-2"/>
        </w:rPr>
        <w:t>据所反映的结论。</w:t>
      </w:r>
    </w:p>
    <w:p w14:paraId="614F71B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6"/>
        <w:textAlignment w:val="baseline"/>
      </w:pPr>
      <w:r>
        <w:rPr>
          <w:b/>
          <w:bCs/>
          <w:spacing w:val="-6"/>
        </w:rPr>
        <w:t>商务数据分析报告：</w:t>
      </w:r>
      <w:r>
        <w:rPr>
          <w:spacing w:val="-6"/>
        </w:rPr>
        <w:t>完成商务数据分析报告撰写，包括数据</w:t>
      </w:r>
      <w:r>
        <w:rPr>
          <w:spacing w:val="-1"/>
        </w:rPr>
        <w:t>计算、图表制作、分析结果描述、整体结论及建设性意见等。</w:t>
      </w:r>
    </w:p>
    <w:p w14:paraId="0451AB9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3"/>
        <w:jc w:val="both"/>
        <w:textAlignment w:val="baseline"/>
        <w:rPr>
          <w:rFonts w:hint="eastAsia"/>
          <w:b/>
          <w:bCs/>
          <w:spacing w:val="-5"/>
        </w:rPr>
      </w:pPr>
      <w:r>
        <w:rPr>
          <w:rFonts w:hint="eastAsia"/>
          <w:b/>
          <w:bCs/>
          <w:spacing w:val="-5"/>
        </w:rPr>
        <w:t>2.综合展示讲解</w:t>
      </w:r>
    </w:p>
    <w:p w14:paraId="0D58D99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6"/>
        <w:textAlignment w:val="baseline"/>
        <w:rPr>
          <w:rFonts w:hint="eastAsia"/>
          <w:spacing w:val="-6"/>
        </w:rPr>
      </w:pPr>
      <w:r>
        <w:rPr>
          <w:rFonts w:hint="eastAsia"/>
          <w:spacing w:val="-6"/>
        </w:rPr>
        <w:t>综合展示讲解</w:t>
      </w:r>
      <w:r>
        <w:rPr>
          <w:rFonts w:hint="eastAsia"/>
          <w:spacing w:val="-6"/>
          <w:lang w:val="en-US" w:eastAsia="zh-CN"/>
        </w:rPr>
        <w:t>内容应包括</w:t>
      </w:r>
      <w:r>
        <w:rPr>
          <w:rFonts w:hint="eastAsia"/>
          <w:spacing w:val="-6"/>
        </w:rPr>
        <w:t>总体思路、技能要点、主要成果、项目创新等。重点</w:t>
      </w:r>
      <w:r>
        <w:rPr>
          <w:rFonts w:hint="eastAsia"/>
          <w:spacing w:val="-6"/>
          <w:lang w:val="en-US" w:eastAsia="zh-CN"/>
        </w:rPr>
        <w:t>考核</w:t>
      </w:r>
      <w:r>
        <w:rPr>
          <w:rFonts w:hint="eastAsia"/>
          <w:spacing w:val="-6"/>
        </w:rPr>
        <w:t>专业技能熟练程度、规范程度、解决复杂问题的综合能力以及解决技术难题的创新能力。展示讲解内容所涉及的知识产权等须真实可靠，特别是涉及专利、获奖等成果，赛中、赛后经过核对发现有假将取消竞赛成绩。</w:t>
      </w:r>
    </w:p>
    <w:p w14:paraId="7B6F1F3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8" w:firstLineChars="200"/>
        <w:jc w:val="both"/>
        <w:textAlignment w:val="baseline"/>
        <w:outlineLvl w:val="0"/>
        <w:rPr>
          <w:b/>
          <w:bCs/>
          <w:spacing w:val="-6"/>
        </w:rPr>
      </w:pPr>
      <w:r>
        <w:rPr>
          <w:b/>
          <w:bCs/>
          <w:spacing w:val="-6"/>
        </w:rPr>
        <w:t>（三）典型职业工作任务</w:t>
      </w:r>
    </w:p>
    <w:p w14:paraId="0B18261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8" w:firstLineChars="200"/>
        <w:textAlignment w:val="baseline"/>
      </w:pPr>
      <w:r>
        <w:rPr>
          <w:b/>
          <w:bCs/>
          <w:spacing w:val="-6"/>
        </w:rPr>
        <w:t>1.商务数据采集与处理</w:t>
      </w:r>
    </w:p>
    <w:p w14:paraId="35F7F4B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4" w:firstLineChars="200"/>
        <w:textAlignment w:val="baseline"/>
      </w:pPr>
      <w:r>
        <w:rPr>
          <w:spacing w:val="-4"/>
        </w:rPr>
        <w:t>从销售、产品、客户、供应链、市场、运营管</w:t>
      </w:r>
      <w:r>
        <w:rPr>
          <w:spacing w:val="-5"/>
        </w:rPr>
        <w:t>理等维度进行</w:t>
      </w:r>
      <w:r>
        <w:rPr>
          <w:spacing w:val="-1"/>
        </w:rPr>
        <w:t>数据采集、抽取、清洗、转换、加载等数据预处理工作。</w:t>
      </w:r>
    </w:p>
    <w:p w14:paraId="0C6EE40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6" w:firstLineChars="200"/>
        <w:textAlignment w:val="baseline"/>
      </w:pPr>
      <w:r>
        <w:rPr>
          <w:b/>
          <w:bCs/>
          <w:spacing w:val="-4"/>
        </w:rPr>
        <w:t>2.商务数据分析与应用</w:t>
      </w:r>
    </w:p>
    <w:p w14:paraId="710FFAE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4" w:firstLineChars="200"/>
        <w:textAlignment w:val="baseline"/>
      </w:pPr>
      <w:r>
        <w:rPr>
          <w:spacing w:val="-4"/>
        </w:rPr>
        <w:t>根据企业经营需要，分析、挖掘商务数据，对数</w:t>
      </w:r>
      <w:r>
        <w:rPr>
          <w:spacing w:val="-5"/>
        </w:rPr>
        <w:t>据进行可视</w:t>
      </w:r>
      <w:r>
        <w:rPr>
          <w:spacing w:val="-1"/>
        </w:rPr>
        <w:t>化，撰写、制作、发布数据分析报告等工作。</w:t>
      </w:r>
    </w:p>
    <w:p w14:paraId="3A8C85E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6" w:firstLineChars="200"/>
        <w:textAlignment w:val="baseline"/>
        <w:rPr>
          <w:rFonts w:hint="eastAsia" w:eastAsia="宋体"/>
          <w:lang w:eastAsia="zh-CN"/>
        </w:rPr>
      </w:pPr>
      <w:r>
        <w:rPr>
          <w:b/>
          <w:bCs/>
          <w:spacing w:val="-4"/>
        </w:rPr>
        <w:t>3.商务数据分析报告</w:t>
      </w:r>
      <w:r>
        <w:rPr>
          <w:rFonts w:hint="eastAsia"/>
          <w:b/>
          <w:bCs/>
          <w:spacing w:val="-4"/>
          <w:lang w:val="en-US" w:eastAsia="zh-CN"/>
        </w:rPr>
        <w:t>撰写</w:t>
      </w:r>
    </w:p>
    <w:p w14:paraId="74FAC8B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4" w:firstLineChars="200"/>
        <w:textAlignment w:val="baseline"/>
        <w:rPr>
          <w:highlight w:val="none"/>
        </w:rPr>
      </w:pPr>
      <w:r>
        <w:rPr>
          <w:rFonts w:hint="eastAsia"/>
          <w:spacing w:val="-4"/>
          <w:lang w:val="en-US" w:eastAsia="zh-CN"/>
        </w:rPr>
        <w:t>结合数据分析结果，撰写商务数据分析报告</w:t>
      </w:r>
      <w:r>
        <w:rPr>
          <w:spacing w:val="-2"/>
        </w:rPr>
        <w:t>，提供决策支持</w:t>
      </w:r>
      <w:r>
        <w:rPr>
          <w:spacing w:val="-2"/>
          <w:highlight w:val="none"/>
        </w:rPr>
        <w:t>和建议。</w:t>
      </w:r>
    </w:p>
    <w:p w14:paraId="4E3D575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8" w:firstLineChars="200"/>
        <w:jc w:val="both"/>
        <w:textAlignment w:val="baseline"/>
        <w:outlineLvl w:val="0"/>
        <w:rPr>
          <w:b/>
          <w:bCs/>
          <w:spacing w:val="-6"/>
        </w:rPr>
      </w:pPr>
      <w:r>
        <w:rPr>
          <w:b/>
          <w:bCs/>
          <w:spacing w:val="-6"/>
        </w:rPr>
        <w:t>（四）赛项模块说明</w:t>
      </w:r>
    </w:p>
    <w:tbl>
      <w:tblPr>
        <w:tblStyle w:val="7"/>
        <w:tblW w:w="84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6"/>
        <w:gridCol w:w="1140"/>
        <w:gridCol w:w="5440"/>
        <w:gridCol w:w="740"/>
        <w:gridCol w:w="496"/>
      </w:tblGrid>
      <w:tr w14:paraId="37110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786" w:type="dxa"/>
            <w:gridSpan w:val="2"/>
            <w:vAlign w:val="center"/>
          </w:tcPr>
          <w:p w14:paraId="4374619A">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eastAsia="宋体"/>
                <w:b/>
                <w:bCs/>
                <w:spacing w:val="-7"/>
                <w:sz w:val="21"/>
                <w:szCs w:val="21"/>
                <w:lang w:val="en-US" w:eastAsia="zh-CN"/>
              </w:rPr>
            </w:pPr>
            <w:r>
              <w:rPr>
                <w:b/>
                <w:bCs/>
                <w:spacing w:val="-7"/>
                <w:sz w:val="21"/>
                <w:szCs w:val="21"/>
              </w:rPr>
              <w:t>模块</w:t>
            </w:r>
          </w:p>
        </w:tc>
        <w:tc>
          <w:tcPr>
            <w:tcW w:w="5440" w:type="dxa"/>
            <w:vAlign w:val="center"/>
          </w:tcPr>
          <w:p w14:paraId="5B70B634">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z w:val="21"/>
                <w:szCs w:val="21"/>
              </w:rPr>
            </w:pPr>
            <w:r>
              <w:rPr>
                <w:b/>
                <w:bCs/>
                <w:spacing w:val="-5"/>
                <w:sz w:val="21"/>
                <w:szCs w:val="21"/>
              </w:rPr>
              <w:t>主要内容</w:t>
            </w:r>
          </w:p>
        </w:tc>
        <w:tc>
          <w:tcPr>
            <w:tcW w:w="740" w:type="dxa"/>
            <w:vAlign w:val="center"/>
          </w:tcPr>
          <w:p w14:paraId="5CCB8A1C">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z w:val="21"/>
                <w:szCs w:val="21"/>
              </w:rPr>
            </w:pPr>
            <w:r>
              <w:rPr>
                <w:b/>
                <w:bCs/>
                <w:spacing w:val="-11"/>
                <w:sz w:val="21"/>
                <w:szCs w:val="21"/>
              </w:rPr>
              <w:t>时长</w:t>
            </w:r>
          </w:p>
        </w:tc>
        <w:tc>
          <w:tcPr>
            <w:tcW w:w="496" w:type="dxa"/>
            <w:vAlign w:val="center"/>
          </w:tcPr>
          <w:p w14:paraId="55ED9944">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z w:val="21"/>
                <w:szCs w:val="21"/>
              </w:rPr>
            </w:pPr>
            <w:r>
              <w:rPr>
                <w:b/>
                <w:bCs/>
                <w:spacing w:val="-9"/>
                <w:sz w:val="21"/>
                <w:szCs w:val="21"/>
              </w:rPr>
              <w:t>分值</w:t>
            </w:r>
          </w:p>
        </w:tc>
      </w:tr>
      <w:tr w14:paraId="7957F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646" w:type="dxa"/>
            <w:vMerge w:val="restart"/>
            <w:vAlign w:val="center"/>
          </w:tcPr>
          <w:p w14:paraId="5CC88DFD">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eastAsia="宋体"/>
                <w:spacing w:val="-3"/>
                <w:sz w:val="21"/>
                <w:szCs w:val="21"/>
                <w:lang w:val="en-US" w:eastAsia="zh-CN"/>
              </w:rPr>
            </w:pPr>
            <w:r>
              <w:rPr>
                <w:spacing w:val="-3"/>
                <w:sz w:val="21"/>
                <w:szCs w:val="21"/>
              </w:rPr>
              <w:t>模块</w:t>
            </w:r>
            <w:r>
              <w:rPr>
                <w:rFonts w:hint="eastAsia"/>
                <w:spacing w:val="-3"/>
                <w:sz w:val="21"/>
                <w:szCs w:val="21"/>
                <w:lang w:val="en-US" w:eastAsia="zh-CN"/>
              </w:rPr>
              <w:t>一</w:t>
            </w:r>
          </w:p>
          <w:p w14:paraId="08EB0842">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spacing w:val="-3"/>
                <w:sz w:val="21"/>
                <w:szCs w:val="21"/>
                <w:lang w:val="en-US" w:eastAsia="zh-CN"/>
              </w:rPr>
            </w:pPr>
            <w:r>
              <w:rPr>
                <w:rFonts w:hint="eastAsia"/>
                <w:spacing w:val="-3"/>
                <w:sz w:val="21"/>
                <w:szCs w:val="21"/>
                <w:lang w:val="en-US" w:eastAsia="zh-CN"/>
              </w:rPr>
              <w:t>传统赛项比拼</w:t>
            </w:r>
          </w:p>
        </w:tc>
        <w:tc>
          <w:tcPr>
            <w:tcW w:w="1140" w:type="dxa"/>
            <w:vAlign w:val="center"/>
          </w:tcPr>
          <w:p w14:paraId="209472FC">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pacing w:val="-3"/>
                <w:sz w:val="21"/>
                <w:szCs w:val="21"/>
              </w:rPr>
            </w:pPr>
            <w:r>
              <w:rPr>
                <w:spacing w:val="-3"/>
                <w:sz w:val="21"/>
                <w:szCs w:val="21"/>
              </w:rPr>
              <w:t>数据思维与职业素养</w:t>
            </w:r>
          </w:p>
        </w:tc>
        <w:tc>
          <w:tcPr>
            <w:tcW w:w="5440" w:type="dxa"/>
            <w:vAlign w:val="center"/>
          </w:tcPr>
          <w:p w14:paraId="259A4770">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sz w:val="21"/>
                <w:szCs w:val="21"/>
              </w:rPr>
            </w:pPr>
            <w:r>
              <w:rPr>
                <w:spacing w:val="-2"/>
                <w:sz w:val="21"/>
                <w:szCs w:val="21"/>
              </w:rPr>
              <w:t>主要考察商务数据思维、商务数据分析职业素养</w:t>
            </w:r>
          </w:p>
        </w:tc>
        <w:tc>
          <w:tcPr>
            <w:tcW w:w="740" w:type="dxa"/>
            <w:vAlign w:val="center"/>
          </w:tcPr>
          <w:p w14:paraId="34E312B3">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z w:val="21"/>
                <w:szCs w:val="21"/>
              </w:rPr>
            </w:pPr>
            <w:r>
              <w:rPr>
                <w:spacing w:val="-7"/>
                <w:sz w:val="21"/>
                <w:szCs w:val="21"/>
              </w:rPr>
              <w:t>30分钟</w:t>
            </w:r>
          </w:p>
        </w:tc>
        <w:tc>
          <w:tcPr>
            <w:tcW w:w="496" w:type="dxa"/>
            <w:vAlign w:val="center"/>
          </w:tcPr>
          <w:p w14:paraId="77170A07">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z w:val="21"/>
                <w:szCs w:val="21"/>
              </w:rPr>
            </w:pPr>
            <w:r>
              <w:rPr>
                <w:spacing w:val="-7"/>
                <w:sz w:val="21"/>
                <w:szCs w:val="21"/>
              </w:rPr>
              <w:t>25</w:t>
            </w:r>
          </w:p>
        </w:tc>
      </w:tr>
      <w:tr w14:paraId="2F265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646" w:type="dxa"/>
            <w:vMerge w:val="continue"/>
            <w:vAlign w:val="center"/>
          </w:tcPr>
          <w:p w14:paraId="17559639">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z w:val="21"/>
                <w:szCs w:val="21"/>
              </w:rPr>
            </w:pPr>
          </w:p>
        </w:tc>
        <w:tc>
          <w:tcPr>
            <w:tcW w:w="1140" w:type="dxa"/>
            <w:vMerge w:val="restart"/>
            <w:vAlign w:val="center"/>
          </w:tcPr>
          <w:p w14:paraId="0329C516">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pacing w:val="-5"/>
                <w:sz w:val="21"/>
                <w:szCs w:val="21"/>
              </w:rPr>
            </w:pPr>
            <w:r>
              <w:rPr>
                <w:rFonts w:hint="eastAsia"/>
                <w:spacing w:val="-5"/>
                <w:sz w:val="21"/>
                <w:szCs w:val="21"/>
              </w:rPr>
              <w:t>商务数据分析方法与工具应用</w:t>
            </w:r>
          </w:p>
        </w:tc>
        <w:tc>
          <w:tcPr>
            <w:tcW w:w="5440" w:type="dxa"/>
            <w:vAlign w:val="center"/>
          </w:tcPr>
          <w:p w14:paraId="246D786E">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sz w:val="21"/>
                <w:szCs w:val="21"/>
              </w:rPr>
            </w:pPr>
            <w:r>
              <w:rPr>
                <w:spacing w:val="-3"/>
                <w:sz w:val="21"/>
                <w:szCs w:val="21"/>
              </w:rPr>
              <w:t>利用</w:t>
            </w:r>
            <w:r>
              <w:rPr>
                <w:spacing w:val="-39"/>
                <w:sz w:val="21"/>
                <w:szCs w:val="21"/>
              </w:rPr>
              <w:t xml:space="preserve"> </w:t>
            </w:r>
            <w:r>
              <w:rPr>
                <w:spacing w:val="-3"/>
                <w:sz w:val="21"/>
                <w:szCs w:val="21"/>
              </w:rPr>
              <w:t>Excel、BI</w:t>
            </w:r>
            <w:r>
              <w:rPr>
                <w:spacing w:val="-48"/>
                <w:sz w:val="21"/>
                <w:szCs w:val="21"/>
              </w:rPr>
              <w:t xml:space="preserve"> </w:t>
            </w:r>
            <w:r>
              <w:rPr>
                <w:spacing w:val="-3"/>
                <w:sz w:val="21"/>
                <w:szCs w:val="21"/>
              </w:rPr>
              <w:t>工具、Python</w:t>
            </w:r>
            <w:r>
              <w:rPr>
                <w:spacing w:val="-14"/>
                <w:sz w:val="21"/>
                <w:szCs w:val="21"/>
              </w:rPr>
              <w:t>等工具，完成数据采集、处理、</w:t>
            </w:r>
            <w:r>
              <w:rPr>
                <w:spacing w:val="-2"/>
                <w:sz w:val="21"/>
                <w:szCs w:val="21"/>
              </w:rPr>
              <w:t>分析及可视化</w:t>
            </w:r>
          </w:p>
        </w:tc>
        <w:tc>
          <w:tcPr>
            <w:tcW w:w="740" w:type="dxa"/>
            <w:vMerge w:val="restart"/>
            <w:tcBorders>
              <w:bottom w:val="nil"/>
            </w:tcBorders>
            <w:vAlign w:val="center"/>
          </w:tcPr>
          <w:p w14:paraId="60A34787">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z w:val="21"/>
                <w:szCs w:val="21"/>
              </w:rPr>
            </w:pPr>
            <w:r>
              <w:rPr>
                <w:spacing w:val="-8"/>
                <w:sz w:val="21"/>
                <w:szCs w:val="21"/>
              </w:rPr>
              <w:t>1</w:t>
            </w:r>
            <w:r>
              <w:rPr>
                <w:rFonts w:hint="eastAsia"/>
                <w:spacing w:val="-8"/>
                <w:sz w:val="21"/>
                <w:szCs w:val="21"/>
                <w:lang w:val="en-US" w:eastAsia="zh-CN"/>
              </w:rPr>
              <w:t>5</w:t>
            </w:r>
            <w:r>
              <w:rPr>
                <w:spacing w:val="-8"/>
                <w:sz w:val="21"/>
                <w:szCs w:val="21"/>
              </w:rPr>
              <w:t>0分钟</w:t>
            </w:r>
          </w:p>
        </w:tc>
        <w:tc>
          <w:tcPr>
            <w:tcW w:w="496" w:type="dxa"/>
            <w:vAlign w:val="center"/>
          </w:tcPr>
          <w:p w14:paraId="11161EEA">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z w:val="21"/>
                <w:szCs w:val="21"/>
              </w:rPr>
            </w:pPr>
            <w:r>
              <w:rPr>
                <w:spacing w:val="-5"/>
                <w:sz w:val="21"/>
                <w:szCs w:val="21"/>
              </w:rPr>
              <w:t>40</w:t>
            </w:r>
          </w:p>
        </w:tc>
      </w:tr>
      <w:tr w14:paraId="5A9B4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46" w:type="dxa"/>
            <w:vMerge w:val="continue"/>
            <w:vAlign w:val="center"/>
          </w:tcPr>
          <w:p w14:paraId="46AE9A6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szCs w:val="21"/>
              </w:rPr>
            </w:pPr>
          </w:p>
        </w:tc>
        <w:tc>
          <w:tcPr>
            <w:tcW w:w="1140" w:type="dxa"/>
            <w:vMerge w:val="continue"/>
            <w:vAlign w:val="center"/>
          </w:tcPr>
          <w:p w14:paraId="156A515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szCs w:val="21"/>
              </w:rPr>
            </w:pPr>
          </w:p>
        </w:tc>
        <w:tc>
          <w:tcPr>
            <w:tcW w:w="5440" w:type="dxa"/>
            <w:vAlign w:val="center"/>
          </w:tcPr>
          <w:p w14:paraId="4462236E">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sz w:val="21"/>
                <w:szCs w:val="21"/>
              </w:rPr>
            </w:pPr>
            <w:r>
              <w:rPr>
                <w:spacing w:val="-2"/>
                <w:sz w:val="21"/>
                <w:szCs w:val="21"/>
              </w:rPr>
              <w:t>商务数据大屏制作工作</w:t>
            </w:r>
          </w:p>
        </w:tc>
        <w:tc>
          <w:tcPr>
            <w:tcW w:w="740" w:type="dxa"/>
            <w:vMerge w:val="continue"/>
            <w:tcBorders>
              <w:top w:val="nil"/>
            </w:tcBorders>
            <w:vAlign w:val="center"/>
          </w:tcPr>
          <w:p w14:paraId="3A77A1B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szCs w:val="21"/>
              </w:rPr>
            </w:pPr>
          </w:p>
        </w:tc>
        <w:tc>
          <w:tcPr>
            <w:tcW w:w="496" w:type="dxa"/>
            <w:vAlign w:val="center"/>
          </w:tcPr>
          <w:p w14:paraId="5D3D4C78">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z w:val="21"/>
                <w:szCs w:val="21"/>
              </w:rPr>
            </w:pPr>
            <w:r>
              <w:rPr>
                <w:sz w:val="21"/>
                <w:szCs w:val="21"/>
              </w:rPr>
              <w:t>5</w:t>
            </w:r>
          </w:p>
        </w:tc>
      </w:tr>
      <w:tr w14:paraId="474CA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646" w:type="dxa"/>
            <w:vMerge w:val="continue"/>
            <w:tcBorders>
              <w:bottom w:val="single" w:color="auto" w:sz="4" w:space="0"/>
            </w:tcBorders>
            <w:vAlign w:val="center"/>
          </w:tcPr>
          <w:p w14:paraId="1F58DE1B">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z w:val="21"/>
                <w:szCs w:val="21"/>
              </w:rPr>
            </w:pPr>
          </w:p>
        </w:tc>
        <w:tc>
          <w:tcPr>
            <w:tcW w:w="1140" w:type="dxa"/>
            <w:vAlign w:val="center"/>
          </w:tcPr>
          <w:p w14:paraId="294B97ED">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pacing w:val="-3"/>
                <w:sz w:val="21"/>
                <w:szCs w:val="21"/>
              </w:rPr>
            </w:pPr>
            <w:r>
              <w:rPr>
                <w:spacing w:val="-3"/>
                <w:sz w:val="21"/>
                <w:szCs w:val="21"/>
              </w:rPr>
              <w:t>商务数据分析报告撰写</w:t>
            </w:r>
          </w:p>
        </w:tc>
        <w:tc>
          <w:tcPr>
            <w:tcW w:w="5440" w:type="dxa"/>
            <w:vAlign w:val="center"/>
          </w:tcPr>
          <w:p w14:paraId="3745AC50">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sz w:val="21"/>
                <w:szCs w:val="21"/>
              </w:rPr>
            </w:pPr>
            <w:r>
              <w:rPr>
                <w:spacing w:val="-3"/>
                <w:sz w:val="21"/>
                <w:szCs w:val="21"/>
              </w:rPr>
              <w:t>撰写商务数据分析报告</w:t>
            </w:r>
          </w:p>
        </w:tc>
        <w:tc>
          <w:tcPr>
            <w:tcW w:w="740" w:type="dxa"/>
            <w:vAlign w:val="center"/>
          </w:tcPr>
          <w:p w14:paraId="49D462A4">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z w:val="21"/>
                <w:szCs w:val="21"/>
              </w:rPr>
            </w:pPr>
            <w:r>
              <w:rPr>
                <w:spacing w:val="-6"/>
                <w:sz w:val="21"/>
                <w:szCs w:val="21"/>
              </w:rPr>
              <w:t>60分钟</w:t>
            </w:r>
          </w:p>
        </w:tc>
        <w:tc>
          <w:tcPr>
            <w:tcW w:w="496" w:type="dxa"/>
            <w:vAlign w:val="center"/>
          </w:tcPr>
          <w:p w14:paraId="7ED63E8E">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eastAsia="宋体"/>
                <w:sz w:val="21"/>
                <w:szCs w:val="21"/>
                <w:lang w:eastAsia="zh-CN"/>
              </w:rPr>
            </w:pPr>
            <w:r>
              <w:rPr>
                <w:spacing w:val="-14"/>
                <w:sz w:val="21"/>
                <w:szCs w:val="21"/>
              </w:rPr>
              <w:t>1</w:t>
            </w:r>
            <w:r>
              <w:rPr>
                <w:rFonts w:hint="eastAsia"/>
                <w:spacing w:val="-14"/>
                <w:sz w:val="21"/>
                <w:szCs w:val="21"/>
                <w:lang w:val="en-US" w:eastAsia="zh-CN"/>
              </w:rPr>
              <w:t>0</w:t>
            </w:r>
          </w:p>
        </w:tc>
      </w:tr>
      <w:tr w14:paraId="1A82C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1786" w:type="dxa"/>
            <w:gridSpan w:val="2"/>
            <w:tcBorders>
              <w:top w:val="single" w:color="auto" w:sz="4" w:space="0"/>
            </w:tcBorders>
            <w:vAlign w:val="center"/>
          </w:tcPr>
          <w:p w14:paraId="0277CC07">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spacing w:val="-3"/>
                <w:sz w:val="21"/>
                <w:szCs w:val="21"/>
                <w:highlight w:val="none"/>
                <w:lang w:val="en-US" w:eastAsia="zh-CN"/>
              </w:rPr>
            </w:pPr>
            <w:r>
              <w:rPr>
                <w:rFonts w:hint="eastAsia"/>
                <w:spacing w:val="-3"/>
                <w:sz w:val="21"/>
                <w:szCs w:val="21"/>
                <w:highlight w:val="none"/>
                <w:lang w:val="en-US" w:eastAsia="zh-CN"/>
              </w:rPr>
              <w:t xml:space="preserve">模块二 </w:t>
            </w:r>
          </w:p>
          <w:p w14:paraId="536F8221">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szCs w:val="21"/>
                <w:highlight w:val="yellow"/>
              </w:rPr>
            </w:pPr>
            <w:r>
              <w:rPr>
                <w:rFonts w:hint="eastAsia"/>
                <w:spacing w:val="-3"/>
                <w:sz w:val="21"/>
                <w:szCs w:val="21"/>
                <w:highlight w:val="none"/>
              </w:rPr>
              <w:t>综合展示讲解</w:t>
            </w:r>
          </w:p>
        </w:tc>
        <w:tc>
          <w:tcPr>
            <w:tcW w:w="5440" w:type="dxa"/>
            <w:vAlign w:val="center"/>
          </w:tcPr>
          <w:p w14:paraId="149C21DB">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模块二为独立环节，各参赛团队需要结合真实企业的真实痛点与实际场景，自主确定参赛项目名称，并围绕商务数据分析技能自主设计项目内容。</w:t>
            </w:r>
          </w:p>
          <w:p w14:paraId="01761606">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hint="eastAsia" w:ascii="宋体" w:hAnsi="宋体" w:eastAsia="宋体" w:cs="宋体"/>
                <w:snapToGrid w:val="0"/>
                <w:color w:val="000000"/>
                <w:spacing w:val="-5"/>
                <w:kern w:val="0"/>
                <w:sz w:val="21"/>
                <w:szCs w:val="21"/>
                <w:highlight w:val="none"/>
                <w:lang w:val="en-US" w:eastAsia="zh-CN" w:bidi="ar-SA"/>
              </w:rPr>
            </w:pPr>
            <w:r>
              <w:rPr>
                <w:rFonts w:hint="eastAsia" w:ascii="宋体" w:hAnsi="宋体"/>
                <w:sz w:val="21"/>
                <w:szCs w:val="21"/>
                <w:highlight w:val="none"/>
              </w:rPr>
              <w:t>1</w:t>
            </w:r>
            <w:r>
              <w:rPr>
                <w:rFonts w:hint="eastAsia" w:ascii="宋体" w:hAnsi="宋体" w:eastAsia="宋体" w:cs="宋体"/>
                <w:snapToGrid w:val="0"/>
                <w:color w:val="000000"/>
                <w:spacing w:val="-5"/>
                <w:kern w:val="0"/>
                <w:sz w:val="21"/>
                <w:szCs w:val="21"/>
                <w:highlight w:val="none"/>
                <w:lang w:val="en-US" w:eastAsia="zh-CN" w:bidi="ar-SA"/>
              </w:rPr>
              <w:t>.内容框架</w:t>
            </w:r>
          </w:p>
          <w:p w14:paraId="1EEE2BC5">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napToGrid w:val="0"/>
                <w:color w:val="000000"/>
                <w:spacing w:val="-5"/>
                <w:kern w:val="0"/>
                <w:sz w:val="21"/>
                <w:szCs w:val="21"/>
                <w:highlight w:val="none"/>
                <w:lang w:val="en-US" w:eastAsia="zh-CN" w:bidi="ar-SA"/>
              </w:rPr>
            </w:pPr>
            <w:r>
              <w:rPr>
                <w:rFonts w:hint="eastAsia" w:ascii="宋体" w:hAnsi="宋体" w:eastAsia="宋体" w:cs="宋体"/>
                <w:snapToGrid w:val="0"/>
                <w:color w:val="000000"/>
                <w:spacing w:val="-5"/>
                <w:kern w:val="0"/>
                <w:sz w:val="21"/>
                <w:szCs w:val="21"/>
                <w:highlight w:val="none"/>
                <w:lang w:val="en-US" w:eastAsia="zh-CN" w:bidi="ar-SA"/>
              </w:rPr>
              <w:t>（1）总体思路。需清晰阐述企业真实痛点、商务数据分析技能解决路径和项目最终效果，展现对企业一线问题的精准把握与系统思考。</w:t>
            </w:r>
          </w:p>
          <w:p w14:paraId="6A3DEBAC">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napToGrid w:val="0"/>
                <w:color w:val="000000"/>
                <w:spacing w:val="-5"/>
                <w:kern w:val="0"/>
                <w:sz w:val="21"/>
                <w:szCs w:val="21"/>
                <w:highlight w:val="none"/>
                <w:lang w:val="en-US" w:eastAsia="zh-CN" w:bidi="ar-SA"/>
              </w:rPr>
            </w:pPr>
            <w:r>
              <w:rPr>
                <w:rFonts w:hint="eastAsia" w:ascii="宋体" w:hAnsi="宋体" w:eastAsia="宋体" w:cs="宋体"/>
                <w:snapToGrid w:val="0"/>
                <w:color w:val="000000"/>
                <w:spacing w:val="-5"/>
                <w:kern w:val="0"/>
                <w:sz w:val="21"/>
                <w:szCs w:val="21"/>
                <w:highlight w:val="none"/>
                <w:lang w:val="en-US" w:eastAsia="zh-CN" w:bidi="ar-SA"/>
              </w:rPr>
              <w:t>（2）技能要点。重点说明项目实施过程中如何运用的商务数据分析工具开展数据采集、数据处理、模型构建、商业决策支持等相关内容。</w:t>
            </w:r>
          </w:p>
          <w:p w14:paraId="4F424669">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napToGrid w:val="0"/>
                <w:color w:val="000000"/>
                <w:spacing w:val="-5"/>
                <w:kern w:val="0"/>
                <w:sz w:val="21"/>
                <w:szCs w:val="21"/>
                <w:highlight w:val="none"/>
                <w:lang w:val="en-US" w:eastAsia="zh-CN" w:bidi="ar-SA"/>
              </w:rPr>
            </w:pPr>
            <w:r>
              <w:rPr>
                <w:rFonts w:hint="eastAsia" w:ascii="宋体" w:hAnsi="宋体" w:eastAsia="宋体" w:cs="宋体"/>
                <w:snapToGrid w:val="0"/>
                <w:color w:val="000000"/>
                <w:spacing w:val="-5"/>
                <w:kern w:val="0"/>
                <w:sz w:val="21"/>
                <w:szCs w:val="21"/>
                <w:highlight w:val="none"/>
                <w:lang w:val="en-US" w:eastAsia="zh-CN" w:bidi="ar-SA"/>
              </w:rPr>
              <w:t>（3）主要成果。以量化数据或具象成果为核心，展示项目的实施效果。</w:t>
            </w:r>
          </w:p>
          <w:p w14:paraId="07F63459">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napToGrid w:val="0"/>
                <w:color w:val="000000"/>
                <w:spacing w:val="-5"/>
                <w:kern w:val="0"/>
                <w:sz w:val="21"/>
                <w:szCs w:val="21"/>
                <w:highlight w:val="none"/>
                <w:lang w:val="en-US" w:eastAsia="zh-CN" w:bidi="ar-SA"/>
              </w:rPr>
            </w:pPr>
            <w:r>
              <w:rPr>
                <w:rFonts w:hint="eastAsia" w:ascii="宋体" w:hAnsi="宋体" w:eastAsia="宋体" w:cs="宋体"/>
                <w:snapToGrid w:val="0"/>
                <w:color w:val="000000"/>
                <w:spacing w:val="-5"/>
                <w:kern w:val="0"/>
                <w:sz w:val="21"/>
                <w:szCs w:val="21"/>
                <w:highlight w:val="none"/>
                <w:lang w:val="en-US" w:eastAsia="zh-CN" w:bidi="ar-SA"/>
              </w:rPr>
              <w:t>（4）项目创新。从理念、模式、技术、方法等维度，阐述项目区别于传统解决方案的创新点。</w:t>
            </w:r>
          </w:p>
          <w:p w14:paraId="7CAF4057">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napToGrid w:val="0"/>
                <w:color w:val="000000"/>
                <w:spacing w:val="-5"/>
                <w:kern w:val="0"/>
                <w:sz w:val="21"/>
                <w:szCs w:val="21"/>
                <w:highlight w:val="none"/>
                <w:lang w:val="en-US" w:eastAsia="zh-CN" w:bidi="ar-SA"/>
              </w:rPr>
            </w:pPr>
            <w:r>
              <w:rPr>
                <w:rFonts w:hint="eastAsia" w:ascii="宋体" w:hAnsi="宋体" w:eastAsia="宋体" w:cs="宋体"/>
                <w:snapToGrid w:val="0"/>
                <w:color w:val="000000"/>
                <w:spacing w:val="-5"/>
                <w:kern w:val="0"/>
                <w:sz w:val="21"/>
                <w:szCs w:val="21"/>
                <w:highlight w:val="none"/>
                <w:lang w:val="en-US" w:eastAsia="zh-CN" w:bidi="ar-SA"/>
              </w:rPr>
              <w:t>2.项目要求</w:t>
            </w:r>
          </w:p>
          <w:p w14:paraId="59691CCC">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napToGrid w:val="0"/>
                <w:color w:val="000000"/>
                <w:spacing w:val="-5"/>
                <w:kern w:val="0"/>
                <w:sz w:val="21"/>
                <w:szCs w:val="21"/>
                <w:highlight w:val="none"/>
                <w:lang w:val="en-US" w:eastAsia="zh-CN" w:bidi="ar-SA"/>
              </w:rPr>
            </w:pPr>
            <w:r>
              <w:rPr>
                <w:rFonts w:hint="eastAsia" w:ascii="宋体" w:hAnsi="宋体" w:eastAsia="宋体" w:cs="宋体"/>
                <w:snapToGrid w:val="0"/>
                <w:color w:val="000000"/>
                <w:spacing w:val="-5"/>
                <w:kern w:val="0"/>
                <w:sz w:val="21"/>
                <w:szCs w:val="21"/>
                <w:highlight w:val="none"/>
                <w:lang w:val="en-US" w:eastAsia="zh-CN" w:bidi="ar-SA"/>
              </w:rPr>
              <w:t>（1）项目内容需符合国家相关法律法规及行业规范，禁止涉及虚假宣传、侵犯知识产权、违反平台规则等违规内容，若存在合规性问题，将直接取消参赛资格。</w:t>
            </w:r>
          </w:p>
          <w:p w14:paraId="7F037478">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spacing w:val="-5"/>
                <w:sz w:val="21"/>
                <w:szCs w:val="21"/>
                <w:highlight w:val="yellow"/>
                <w:lang w:val="en-US" w:eastAsia="zh-CN"/>
              </w:rPr>
            </w:pPr>
            <w:r>
              <w:rPr>
                <w:rFonts w:hint="eastAsia" w:ascii="宋体" w:hAnsi="宋体" w:eastAsia="宋体" w:cs="宋体"/>
                <w:snapToGrid w:val="0"/>
                <w:color w:val="000000"/>
                <w:spacing w:val="-5"/>
                <w:kern w:val="0"/>
                <w:sz w:val="21"/>
                <w:szCs w:val="21"/>
                <w:highlight w:val="none"/>
                <w:lang w:val="en-US" w:eastAsia="zh-CN" w:bidi="ar-SA"/>
              </w:rPr>
              <w:t>（</w:t>
            </w:r>
            <w:r>
              <w:rPr>
                <w:rFonts w:hint="eastAsia" w:cs="宋体"/>
                <w:snapToGrid w:val="0"/>
                <w:color w:val="000000"/>
                <w:spacing w:val="-5"/>
                <w:kern w:val="0"/>
                <w:sz w:val="21"/>
                <w:szCs w:val="21"/>
                <w:highlight w:val="none"/>
                <w:lang w:val="en-US" w:eastAsia="zh-CN" w:bidi="ar-SA"/>
              </w:rPr>
              <w:t>2</w:t>
            </w:r>
            <w:r>
              <w:rPr>
                <w:rFonts w:hint="eastAsia" w:ascii="宋体" w:hAnsi="宋体" w:eastAsia="宋体" w:cs="宋体"/>
                <w:snapToGrid w:val="0"/>
                <w:color w:val="000000"/>
                <w:spacing w:val="-5"/>
                <w:kern w:val="0"/>
                <w:sz w:val="21"/>
                <w:szCs w:val="21"/>
                <w:highlight w:val="none"/>
                <w:lang w:val="en-US" w:eastAsia="zh-CN" w:bidi="ar-SA"/>
              </w:rPr>
              <w:t>）现场讲解时间严格控制在10分钟内，超时将扣分；建议配备PPT辅助展示；讲解语言需规范、流畅，表达准确，可结合案例分析、成果演示等方式增强说服力</w:t>
            </w:r>
            <w:r>
              <w:rPr>
                <w:rFonts w:hint="eastAsia" w:cs="宋体"/>
                <w:snapToGrid w:val="0"/>
                <w:color w:val="000000"/>
                <w:spacing w:val="-5"/>
                <w:kern w:val="0"/>
                <w:sz w:val="21"/>
                <w:szCs w:val="21"/>
                <w:highlight w:val="none"/>
                <w:lang w:val="en-US" w:eastAsia="zh-CN" w:bidi="ar-SA"/>
              </w:rPr>
              <w:t>。</w:t>
            </w:r>
          </w:p>
        </w:tc>
        <w:tc>
          <w:tcPr>
            <w:tcW w:w="740" w:type="dxa"/>
            <w:vAlign w:val="center"/>
          </w:tcPr>
          <w:p w14:paraId="612A2A9F">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z w:val="21"/>
                <w:szCs w:val="21"/>
                <w:highlight w:val="none"/>
              </w:rPr>
            </w:pPr>
            <w:r>
              <w:rPr>
                <w:rFonts w:hint="eastAsia"/>
                <w:spacing w:val="-6"/>
                <w:sz w:val="21"/>
                <w:szCs w:val="21"/>
                <w:highlight w:val="none"/>
                <w:lang w:val="en-US" w:eastAsia="zh-CN"/>
              </w:rPr>
              <w:t>10</w:t>
            </w:r>
            <w:r>
              <w:rPr>
                <w:spacing w:val="-6"/>
                <w:sz w:val="21"/>
                <w:szCs w:val="21"/>
                <w:highlight w:val="none"/>
              </w:rPr>
              <w:t>分钟</w:t>
            </w:r>
          </w:p>
        </w:tc>
        <w:tc>
          <w:tcPr>
            <w:tcW w:w="496" w:type="dxa"/>
            <w:vAlign w:val="center"/>
          </w:tcPr>
          <w:p w14:paraId="42E9C455">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eastAsia="宋体"/>
                <w:sz w:val="21"/>
                <w:szCs w:val="21"/>
                <w:highlight w:val="none"/>
                <w:lang w:val="en-US" w:eastAsia="zh-CN"/>
              </w:rPr>
            </w:pPr>
            <w:r>
              <w:rPr>
                <w:rFonts w:hint="eastAsia"/>
                <w:sz w:val="21"/>
                <w:szCs w:val="21"/>
                <w:highlight w:val="none"/>
                <w:lang w:val="en-US" w:eastAsia="zh-CN"/>
              </w:rPr>
              <w:t>20</w:t>
            </w:r>
          </w:p>
        </w:tc>
      </w:tr>
      <w:tr w14:paraId="35FC9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3" w:hRule="atLeast"/>
        </w:trPr>
        <w:tc>
          <w:tcPr>
            <w:tcW w:w="8462" w:type="dxa"/>
            <w:gridSpan w:val="5"/>
            <w:vAlign w:val="center"/>
          </w:tcPr>
          <w:p w14:paraId="75658921">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spacing w:val="4"/>
                <w:sz w:val="21"/>
                <w:szCs w:val="21"/>
              </w:rPr>
            </w:pPr>
            <w:r>
              <w:rPr>
                <w:spacing w:val="-1"/>
                <w:sz w:val="21"/>
                <w:szCs w:val="21"/>
              </w:rPr>
              <w:t>注：模块一</w:t>
            </w:r>
            <w:r>
              <w:rPr>
                <w:rFonts w:hint="eastAsia"/>
                <w:spacing w:val="-1"/>
                <w:sz w:val="21"/>
                <w:szCs w:val="21"/>
                <w:lang w:val="en-US" w:eastAsia="zh-CN"/>
              </w:rPr>
              <w:t>中</w:t>
            </w:r>
            <w:r>
              <w:rPr>
                <w:spacing w:val="-3"/>
                <w:sz w:val="21"/>
                <w:szCs w:val="21"/>
              </w:rPr>
              <w:t>数据思维与职业素养</w:t>
            </w:r>
            <w:r>
              <w:rPr>
                <w:rFonts w:hint="eastAsia"/>
                <w:spacing w:val="-3"/>
                <w:sz w:val="21"/>
                <w:szCs w:val="21"/>
                <w:lang w:val="en-US" w:eastAsia="zh-CN"/>
              </w:rPr>
              <w:t>与</w:t>
            </w:r>
            <w:r>
              <w:rPr>
                <w:rFonts w:hint="eastAsia"/>
                <w:spacing w:val="-5"/>
                <w:sz w:val="21"/>
                <w:szCs w:val="21"/>
              </w:rPr>
              <w:t>商务数据分析方法与工具应用</w:t>
            </w:r>
            <w:r>
              <w:rPr>
                <w:rFonts w:hint="eastAsia"/>
                <w:spacing w:val="-5"/>
                <w:sz w:val="21"/>
                <w:szCs w:val="21"/>
                <w:lang w:val="en-US" w:eastAsia="zh-CN"/>
              </w:rPr>
              <w:t>内容</w:t>
            </w:r>
            <w:r>
              <w:rPr>
                <w:spacing w:val="-1"/>
                <w:sz w:val="21"/>
                <w:szCs w:val="21"/>
              </w:rPr>
              <w:t>同时开始，同一赛场进行。</w:t>
            </w:r>
          </w:p>
        </w:tc>
      </w:tr>
    </w:tbl>
    <w:p w14:paraId="0164885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0"/>
        <w:rPr>
          <w:rFonts w:hint="default" w:eastAsia="宋体"/>
          <w:lang w:val="en-US" w:eastAsia="zh-CN"/>
        </w:rPr>
      </w:pPr>
      <w:r>
        <w:rPr>
          <w:b/>
          <w:bCs/>
          <w:spacing w:val="-10"/>
        </w:rPr>
        <w:t>四、</w:t>
      </w:r>
      <w:r>
        <w:rPr>
          <w:rFonts w:hint="eastAsia"/>
          <w:b/>
          <w:bCs/>
          <w:spacing w:val="-10"/>
          <w:lang w:val="en-US" w:eastAsia="zh-CN"/>
        </w:rPr>
        <w:t>竞赛时间安排</w:t>
      </w:r>
    </w:p>
    <w:tbl>
      <w:tblPr>
        <w:tblStyle w:val="7"/>
        <w:tblW w:w="84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5"/>
        <w:gridCol w:w="2082"/>
        <w:gridCol w:w="5241"/>
      </w:tblGrid>
      <w:tr w14:paraId="40146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165" w:type="dxa"/>
            <w:vAlign w:val="center"/>
          </w:tcPr>
          <w:p w14:paraId="022D02C5">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z w:val="21"/>
                <w:szCs w:val="21"/>
              </w:rPr>
            </w:pPr>
            <w:r>
              <w:rPr>
                <w:b/>
                <w:bCs/>
                <w:spacing w:val="-28"/>
                <w:sz w:val="21"/>
                <w:szCs w:val="21"/>
              </w:rPr>
              <w:t>日期</w:t>
            </w:r>
          </w:p>
        </w:tc>
        <w:tc>
          <w:tcPr>
            <w:tcW w:w="2082" w:type="dxa"/>
            <w:vAlign w:val="center"/>
          </w:tcPr>
          <w:p w14:paraId="53FC82FA">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z w:val="21"/>
                <w:szCs w:val="21"/>
              </w:rPr>
            </w:pPr>
            <w:r>
              <w:rPr>
                <w:b/>
                <w:bCs/>
                <w:spacing w:val="-13"/>
                <w:sz w:val="21"/>
                <w:szCs w:val="21"/>
              </w:rPr>
              <w:t>时间</w:t>
            </w:r>
          </w:p>
        </w:tc>
        <w:tc>
          <w:tcPr>
            <w:tcW w:w="5241" w:type="dxa"/>
            <w:vAlign w:val="center"/>
          </w:tcPr>
          <w:p w14:paraId="7D677E05">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eastAsia="宋体"/>
                <w:sz w:val="21"/>
                <w:szCs w:val="21"/>
                <w:lang w:val="en-US" w:eastAsia="zh-CN"/>
              </w:rPr>
            </w:pPr>
            <w:r>
              <w:rPr>
                <w:rFonts w:hint="eastAsia"/>
                <w:b/>
                <w:bCs/>
                <w:spacing w:val="-22"/>
                <w:sz w:val="21"/>
                <w:szCs w:val="21"/>
                <w:lang w:val="en-US" w:eastAsia="zh-CN"/>
              </w:rPr>
              <w:t>具体安排</w:t>
            </w:r>
          </w:p>
        </w:tc>
      </w:tr>
      <w:tr w14:paraId="513E3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165" w:type="dxa"/>
            <w:vMerge w:val="restart"/>
            <w:tcBorders>
              <w:bottom w:val="nil"/>
            </w:tcBorders>
            <w:vAlign w:val="center"/>
          </w:tcPr>
          <w:p w14:paraId="2BB7163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szCs w:val="21"/>
              </w:rPr>
            </w:pPr>
          </w:p>
          <w:p w14:paraId="07F50E36">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z w:val="21"/>
                <w:szCs w:val="21"/>
              </w:rPr>
            </w:pPr>
            <w:r>
              <w:rPr>
                <w:spacing w:val="-3"/>
                <w:sz w:val="21"/>
                <w:szCs w:val="21"/>
              </w:rPr>
              <w:t>报到日</w:t>
            </w:r>
          </w:p>
        </w:tc>
        <w:tc>
          <w:tcPr>
            <w:tcW w:w="2082" w:type="dxa"/>
            <w:vAlign w:val="center"/>
          </w:tcPr>
          <w:p w14:paraId="0EB7BB23">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z w:val="21"/>
                <w:szCs w:val="21"/>
              </w:rPr>
            </w:pPr>
            <w:r>
              <w:rPr>
                <w:spacing w:val="-3"/>
                <w:sz w:val="21"/>
                <w:szCs w:val="21"/>
              </w:rPr>
              <w:t>10:00～15:00</w:t>
            </w:r>
          </w:p>
        </w:tc>
        <w:tc>
          <w:tcPr>
            <w:tcW w:w="5241" w:type="dxa"/>
            <w:vAlign w:val="center"/>
          </w:tcPr>
          <w:p w14:paraId="322D857D">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21"/>
                <w:szCs w:val="21"/>
              </w:rPr>
            </w:pPr>
            <w:r>
              <w:rPr>
                <w:spacing w:val="-1"/>
                <w:sz w:val="21"/>
                <w:szCs w:val="21"/>
              </w:rPr>
              <w:t>参赛队报到，安排住宿，领取资料</w:t>
            </w:r>
          </w:p>
        </w:tc>
      </w:tr>
      <w:tr w14:paraId="270A1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165" w:type="dxa"/>
            <w:vMerge w:val="continue"/>
            <w:tcBorders>
              <w:top w:val="nil"/>
              <w:bottom w:val="nil"/>
            </w:tcBorders>
            <w:vAlign w:val="center"/>
          </w:tcPr>
          <w:p w14:paraId="6B18976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szCs w:val="21"/>
              </w:rPr>
            </w:pPr>
          </w:p>
        </w:tc>
        <w:tc>
          <w:tcPr>
            <w:tcW w:w="2082" w:type="dxa"/>
            <w:vAlign w:val="center"/>
          </w:tcPr>
          <w:p w14:paraId="4A909851">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z w:val="21"/>
                <w:szCs w:val="21"/>
              </w:rPr>
            </w:pPr>
            <w:r>
              <w:rPr>
                <w:spacing w:val="-3"/>
                <w:sz w:val="21"/>
                <w:szCs w:val="21"/>
              </w:rPr>
              <w:t>15:30～16:30</w:t>
            </w:r>
          </w:p>
        </w:tc>
        <w:tc>
          <w:tcPr>
            <w:tcW w:w="5241" w:type="dxa"/>
            <w:vAlign w:val="center"/>
          </w:tcPr>
          <w:p w14:paraId="3F76D0EA">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21"/>
                <w:szCs w:val="21"/>
              </w:rPr>
            </w:pPr>
            <w:r>
              <w:rPr>
                <w:spacing w:val="-4"/>
                <w:sz w:val="21"/>
                <w:szCs w:val="21"/>
              </w:rPr>
              <w:t>领队会</w:t>
            </w:r>
          </w:p>
        </w:tc>
      </w:tr>
      <w:tr w14:paraId="64A63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165" w:type="dxa"/>
            <w:vMerge w:val="continue"/>
            <w:tcBorders>
              <w:top w:val="nil"/>
            </w:tcBorders>
            <w:vAlign w:val="center"/>
          </w:tcPr>
          <w:p w14:paraId="751675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szCs w:val="21"/>
              </w:rPr>
            </w:pPr>
          </w:p>
        </w:tc>
        <w:tc>
          <w:tcPr>
            <w:tcW w:w="2082" w:type="dxa"/>
            <w:vAlign w:val="center"/>
          </w:tcPr>
          <w:p w14:paraId="4B922ACD">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z w:val="21"/>
                <w:szCs w:val="21"/>
              </w:rPr>
            </w:pPr>
            <w:r>
              <w:rPr>
                <w:spacing w:val="-3"/>
                <w:sz w:val="21"/>
                <w:szCs w:val="21"/>
              </w:rPr>
              <w:t>16:30～17:30</w:t>
            </w:r>
          </w:p>
        </w:tc>
        <w:tc>
          <w:tcPr>
            <w:tcW w:w="5241" w:type="dxa"/>
            <w:vAlign w:val="center"/>
          </w:tcPr>
          <w:p w14:paraId="74971892">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21"/>
                <w:szCs w:val="21"/>
              </w:rPr>
            </w:pPr>
            <w:r>
              <w:rPr>
                <w:spacing w:val="-4"/>
                <w:sz w:val="21"/>
                <w:szCs w:val="21"/>
              </w:rPr>
              <w:t>熟悉赛场</w:t>
            </w:r>
          </w:p>
        </w:tc>
      </w:tr>
      <w:tr w14:paraId="34EFA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1165" w:type="dxa"/>
            <w:vMerge w:val="restart"/>
            <w:tcBorders>
              <w:bottom w:val="single" w:color="000000" w:sz="2" w:space="0"/>
            </w:tcBorders>
            <w:vAlign w:val="center"/>
          </w:tcPr>
          <w:p w14:paraId="1B0A1A51">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z w:val="21"/>
                <w:szCs w:val="21"/>
                <w:highlight w:val="none"/>
              </w:rPr>
            </w:pPr>
            <w:r>
              <w:rPr>
                <w:spacing w:val="-12"/>
                <w:sz w:val="21"/>
                <w:szCs w:val="21"/>
                <w:highlight w:val="none"/>
              </w:rPr>
              <w:t>比赛日</w:t>
            </w:r>
          </w:p>
        </w:tc>
        <w:tc>
          <w:tcPr>
            <w:tcW w:w="2082" w:type="dxa"/>
            <w:shd w:val="clear" w:color="auto" w:fill="auto"/>
            <w:vAlign w:val="center"/>
          </w:tcPr>
          <w:p w14:paraId="6188F646">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ascii="宋体" w:hAnsi="宋体" w:eastAsia="宋体" w:cs="宋体"/>
                <w:snapToGrid w:val="0"/>
                <w:color w:val="000000"/>
                <w:kern w:val="0"/>
                <w:sz w:val="21"/>
                <w:szCs w:val="21"/>
                <w:highlight w:val="none"/>
                <w:lang w:val="en-US" w:eastAsia="en-US" w:bidi="ar-SA"/>
              </w:rPr>
            </w:pPr>
            <w:r>
              <w:rPr>
                <w:spacing w:val="-2"/>
                <w:sz w:val="21"/>
                <w:szCs w:val="21"/>
                <w:highlight w:val="none"/>
              </w:rPr>
              <w:t>7:</w:t>
            </w:r>
            <w:r>
              <w:rPr>
                <w:rFonts w:hint="eastAsia"/>
                <w:spacing w:val="-2"/>
                <w:sz w:val="21"/>
                <w:szCs w:val="21"/>
                <w:highlight w:val="none"/>
                <w:lang w:val="en-US" w:eastAsia="zh-CN"/>
              </w:rPr>
              <w:t>0</w:t>
            </w:r>
            <w:r>
              <w:rPr>
                <w:spacing w:val="-2"/>
                <w:sz w:val="21"/>
                <w:szCs w:val="21"/>
                <w:highlight w:val="none"/>
              </w:rPr>
              <w:t>0～</w:t>
            </w:r>
            <w:r>
              <w:rPr>
                <w:rFonts w:hint="eastAsia"/>
                <w:spacing w:val="-2"/>
                <w:sz w:val="21"/>
                <w:szCs w:val="21"/>
                <w:highlight w:val="none"/>
                <w:lang w:val="en-US" w:eastAsia="zh-CN"/>
              </w:rPr>
              <w:t>7</w:t>
            </w:r>
            <w:r>
              <w:rPr>
                <w:spacing w:val="-2"/>
                <w:sz w:val="21"/>
                <w:szCs w:val="21"/>
                <w:highlight w:val="none"/>
              </w:rPr>
              <w:t>:</w:t>
            </w:r>
            <w:r>
              <w:rPr>
                <w:rFonts w:hint="eastAsia"/>
                <w:spacing w:val="-2"/>
                <w:sz w:val="21"/>
                <w:szCs w:val="21"/>
                <w:highlight w:val="none"/>
                <w:lang w:val="en-US" w:eastAsia="zh-CN"/>
              </w:rPr>
              <w:t>45</w:t>
            </w:r>
          </w:p>
        </w:tc>
        <w:tc>
          <w:tcPr>
            <w:tcW w:w="5241" w:type="dxa"/>
            <w:shd w:val="clear" w:color="auto" w:fill="auto"/>
            <w:vAlign w:val="center"/>
          </w:tcPr>
          <w:p w14:paraId="60BE2162">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1"/>
                <w:szCs w:val="21"/>
                <w:highlight w:val="none"/>
                <w:lang w:val="en-US" w:eastAsia="en-US" w:bidi="ar-SA"/>
              </w:rPr>
            </w:pPr>
            <w:r>
              <w:rPr>
                <w:spacing w:val="-1"/>
                <w:sz w:val="21"/>
                <w:szCs w:val="21"/>
                <w:highlight w:val="none"/>
              </w:rPr>
              <w:t>竞赛入场检录、抽取工位号及陈述顺序号</w:t>
            </w:r>
          </w:p>
        </w:tc>
      </w:tr>
      <w:tr w14:paraId="7AC5F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165" w:type="dxa"/>
            <w:vMerge w:val="continue"/>
            <w:tcBorders>
              <w:top w:val="single" w:color="000000" w:sz="2" w:space="0"/>
              <w:bottom w:val="single" w:color="000000" w:sz="2" w:space="0"/>
            </w:tcBorders>
            <w:vAlign w:val="center"/>
          </w:tcPr>
          <w:p w14:paraId="12D1B6F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ascii="Arial"/>
                <w:sz w:val="21"/>
                <w:szCs w:val="21"/>
                <w:highlight w:val="none"/>
              </w:rPr>
            </w:pPr>
          </w:p>
        </w:tc>
        <w:tc>
          <w:tcPr>
            <w:tcW w:w="2082" w:type="dxa"/>
            <w:shd w:val="clear" w:color="auto" w:fill="auto"/>
            <w:vAlign w:val="center"/>
          </w:tcPr>
          <w:p w14:paraId="323AB1D0">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宋体" w:hAnsi="宋体" w:eastAsia="宋体" w:cs="宋体"/>
                <w:snapToGrid w:val="0"/>
                <w:color w:val="000000"/>
                <w:kern w:val="0"/>
                <w:sz w:val="21"/>
                <w:szCs w:val="21"/>
                <w:highlight w:val="none"/>
                <w:lang w:val="en-US" w:eastAsia="en-US" w:bidi="ar-SA"/>
              </w:rPr>
            </w:pPr>
            <w:r>
              <w:rPr>
                <w:rFonts w:hint="eastAsia"/>
                <w:spacing w:val="-2"/>
                <w:sz w:val="21"/>
                <w:szCs w:val="21"/>
                <w:highlight w:val="none"/>
                <w:lang w:val="en-US" w:eastAsia="zh-CN"/>
              </w:rPr>
              <w:t>7</w:t>
            </w:r>
            <w:r>
              <w:rPr>
                <w:spacing w:val="-2"/>
                <w:sz w:val="21"/>
                <w:szCs w:val="21"/>
                <w:highlight w:val="none"/>
              </w:rPr>
              <w:t>:</w:t>
            </w:r>
            <w:r>
              <w:rPr>
                <w:rFonts w:hint="eastAsia"/>
                <w:spacing w:val="-2"/>
                <w:sz w:val="21"/>
                <w:szCs w:val="21"/>
                <w:highlight w:val="none"/>
                <w:lang w:val="en-US" w:eastAsia="zh-CN"/>
              </w:rPr>
              <w:t>45</w:t>
            </w:r>
            <w:r>
              <w:rPr>
                <w:spacing w:val="-2"/>
                <w:sz w:val="21"/>
                <w:szCs w:val="21"/>
                <w:highlight w:val="none"/>
              </w:rPr>
              <w:t>～</w:t>
            </w:r>
            <w:r>
              <w:rPr>
                <w:rFonts w:hint="eastAsia"/>
                <w:spacing w:val="-2"/>
                <w:sz w:val="21"/>
                <w:szCs w:val="21"/>
                <w:highlight w:val="none"/>
                <w:lang w:val="en-US" w:eastAsia="zh-CN"/>
              </w:rPr>
              <w:t>8</w:t>
            </w:r>
            <w:r>
              <w:rPr>
                <w:spacing w:val="-2"/>
                <w:sz w:val="21"/>
                <w:szCs w:val="21"/>
                <w:highlight w:val="none"/>
              </w:rPr>
              <w:t>:</w:t>
            </w:r>
            <w:r>
              <w:rPr>
                <w:rFonts w:hint="eastAsia"/>
                <w:spacing w:val="-2"/>
                <w:sz w:val="21"/>
                <w:szCs w:val="21"/>
                <w:highlight w:val="none"/>
                <w:lang w:val="en-US" w:eastAsia="zh-CN"/>
              </w:rPr>
              <w:t>00</w:t>
            </w:r>
          </w:p>
        </w:tc>
        <w:tc>
          <w:tcPr>
            <w:tcW w:w="5241" w:type="dxa"/>
            <w:shd w:val="clear" w:color="auto" w:fill="auto"/>
            <w:vAlign w:val="center"/>
          </w:tcPr>
          <w:p w14:paraId="4CDB852C">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1"/>
                <w:szCs w:val="21"/>
                <w:highlight w:val="none"/>
                <w:lang w:val="en-US" w:eastAsia="en-US" w:bidi="ar-SA"/>
              </w:rPr>
            </w:pPr>
            <w:r>
              <w:rPr>
                <w:spacing w:val="-1"/>
                <w:sz w:val="21"/>
                <w:szCs w:val="21"/>
                <w:highlight w:val="none"/>
              </w:rPr>
              <w:t>入场候赛、裁判宣读竞赛规则</w:t>
            </w:r>
          </w:p>
        </w:tc>
      </w:tr>
      <w:tr w14:paraId="296A4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165" w:type="dxa"/>
            <w:vMerge w:val="continue"/>
            <w:tcBorders>
              <w:top w:val="single" w:color="000000" w:sz="2" w:space="0"/>
              <w:bottom w:val="single" w:color="000000" w:sz="2" w:space="0"/>
            </w:tcBorders>
            <w:vAlign w:val="center"/>
          </w:tcPr>
          <w:p w14:paraId="62D3279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ascii="Arial"/>
                <w:sz w:val="21"/>
                <w:szCs w:val="21"/>
                <w:highlight w:val="none"/>
              </w:rPr>
            </w:pPr>
          </w:p>
        </w:tc>
        <w:tc>
          <w:tcPr>
            <w:tcW w:w="2082" w:type="dxa"/>
            <w:tcBorders>
              <w:bottom w:val="single" w:color="auto" w:sz="4" w:space="0"/>
            </w:tcBorders>
            <w:shd w:val="clear" w:color="auto" w:fill="auto"/>
            <w:vAlign w:val="center"/>
          </w:tcPr>
          <w:p w14:paraId="569A236D">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ascii="宋体" w:hAnsi="宋体" w:eastAsia="宋体" w:cs="宋体"/>
                <w:snapToGrid w:val="0"/>
                <w:color w:val="000000"/>
                <w:kern w:val="0"/>
                <w:sz w:val="21"/>
                <w:szCs w:val="21"/>
                <w:highlight w:val="none"/>
                <w:lang w:val="en-US" w:eastAsia="en-US" w:bidi="ar-SA"/>
              </w:rPr>
            </w:pPr>
            <w:r>
              <w:rPr>
                <w:rFonts w:hint="eastAsia"/>
                <w:spacing w:val="-2"/>
                <w:sz w:val="21"/>
                <w:szCs w:val="21"/>
                <w:highlight w:val="none"/>
                <w:lang w:val="en-US" w:eastAsia="zh-CN"/>
              </w:rPr>
              <w:t>8</w:t>
            </w:r>
            <w:r>
              <w:rPr>
                <w:spacing w:val="-2"/>
                <w:sz w:val="21"/>
                <w:szCs w:val="21"/>
                <w:highlight w:val="none"/>
              </w:rPr>
              <w:t>:</w:t>
            </w:r>
            <w:r>
              <w:rPr>
                <w:rFonts w:hint="eastAsia"/>
                <w:spacing w:val="-2"/>
                <w:sz w:val="21"/>
                <w:szCs w:val="21"/>
                <w:highlight w:val="none"/>
                <w:lang w:val="en-US" w:eastAsia="zh-CN"/>
              </w:rPr>
              <w:t>0</w:t>
            </w:r>
            <w:r>
              <w:rPr>
                <w:spacing w:val="-2"/>
                <w:sz w:val="21"/>
                <w:szCs w:val="21"/>
                <w:highlight w:val="none"/>
              </w:rPr>
              <w:t>0～</w:t>
            </w:r>
            <w:r>
              <w:rPr>
                <w:rFonts w:hint="eastAsia"/>
                <w:spacing w:val="-2"/>
                <w:sz w:val="21"/>
                <w:szCs w:val="21"/>
                <w:highlight w:val="none"/>
                <w:lang w:val="en-US" w:eastAsia="zh-CN"/>
              </w:rPr>
              <w:t>8</w:t>
            </w:r>
            <w:r>
              <w:rPr>
                <w:spacing w:val="-2"/>
                <w:sz w:val="21"/>
                <w:szCs w:val="21"/>
                <w:highlight w:val="none"/>
              </w:rPr>
              <w:t>:</w:t>
            </w:r>
            <w:r>
              <w:rPr>
                <w:rFonts w:hint="eastAsia"/>
                <w:spacing w:val="-2"/>
                <w:sz w:val="21"/>
                <w:szCs w:val="21"/>
                <w:highlight w:val="none"/>
                <w:lang w:val="en-US" w:eastAsia="zh-CN"/>
              </w:rPr>
              <w:t>3</w:t>
            </w:r>
            <w:r>
              <w:rPr>
                <w:spacing w:val="-2"/>
                <w:sz w:val="21"/>
                <w:szCs w:val="21"/>
                <w:highlight w:val="none"/>
              </w:rPr>
              <w:t>0</w:t>
            </w:r>
          </w:p>
        </w:tc>
        <w:tc>
          <w:tcPr>
            <w:tcW w:w="5241" w:type="dxa"/>
            <w:shd w:val="clear" w:color="auto" w:fill="auto"/>
            <w:vAlign w:val="center"/>
          </w:tcPr>
          <w:p w14:paraId="09686F63">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1"/>
                <w:szCs w:val="21"/>
                <w:highlight w:val="none"/>
                <w:lang w:val="en-US" w:eastAsia="en-US" w:bidi="ar-SA"/>
              </w:rPr>
            </w:pPr>
            <w:r>
              <w:rPr>
                <w:spacing w:val="-2"/>
                <w:sz w:val="21"/>
                <w:szCs w:val="21"/>
                <w:highlight w:val="none"/>
              </w:rPr>
              <w:t>第一模块</w:t>
            </w:r>
            <w:r>
              <w:rPr>
                <w:rFonts w:hint="eastAsia"/>
                <w:spacing w:val="-2"/>
                <w:sz w:val="21"/>
                <w:szCs w:val="21"/>
                <w:highlight w:val="none"/>
                <w:lang w:val="en-US" w:eastAsia="zh-CN"/>
              </w:rPr>
              <w:t>-</w:t>
            </w:r>
            <w:r>
              <w:rPr>
                <w:spacing w:val="-3"/>
                <w:sz w:val="21"/>
                <w:szCs w:val="21"/>
                <w:highlight w:val="none"/>
              </w:rPr>
              <w:t>数据思维与职业素养</w:t>
            </w:r>
          </w:p>
        </w:tc>
      </w:tr>
      <w:tr w14:paraId="3D68F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165" w:type="dxa"/>
            <w:vMerge w:val="continue"/>
            <w:tcBorders>
              <w:top w:val="single" w:color="000000" w:sz="2" w:space="0"/>
              <w:bottom w:val="single" w:color="000000" w:sz="2" w:space="0"/>
              <w:right w:val="single" w:color="auto" w:sz="4" w:space="0"/>
            </w:tcBorders>
            <w:vAlign w:val="center"/>
          </w:tcPr>
          <w:p w14:paraId="26A823F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ascii="Arial"/>
                <w:sz w:val="21"/>
                <w:szCs w:val="21"/>
                <w:highlight w:val="none"/>
              </w:rPr>
            </w:pPr>
          </w:p>
        </w:tc>
        <w:tc>
          <w:tcPr>
            <w:tcW w:w="2082" w:type="dxa"/>
            <w:tcBorders>
              <w:top w:val="single" w:color="auto" w:sz="4" w:space="0"/>
              <w:left w:val="single" w:color="auto" w:sz="4" w:space="0"/>
              <w:bottom w:val="single" w:color="auto" w:sz="4" w:space="0"/>
              <w:right w:val="single" w:color="auto" w:sz="4" w:space="0"/>
            </w:tcBorders>
            <w:shd w:val="clear" w:color="auto" w:fill="auto"/>
            <w:vAlign w:val="center"/>
          </w:tcPr>
          <w:p w14:paraId="5CA892F8">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ascii="宋体" w:hAnsi="宋体" w:eastAsia="宋体" w:cs="宋体"/>
                <w:snapToGrid w:val="0"/>
                <w:color w:val="000000"/>
                <w:kern w:val="0"/>
                <w:sz w:val="21"/>
                <w:szCs w:val="21"/>
                <w:highlight w:val="none"/>
                <w:lang w:val="en-US" w:eastAsia="en-US" w:bidi="ar-SA"/>
              </w:rPr>
            </w:pPr>
            <w:r>
              <w:rPr>
                <w:rFonts w:hint="eastAsia"/>
                <w:spacing w:val="-2"/>
                <w:sz w:val="21"/>
                <w:szCs w:val="21"/>
                <w:highlight w:val="none"/>
                <w:lang w:val="en-US" w:eastAsia="zh-CN"/>
              </w:rPr>
              <w:t>8</w:t>
            </w:r>
            <w:r>
              <w:rPr>
                <w:spacing w:val="-2"/>
                <w:sz w:val="21"/>
                <w:szCs w:val="21"/>
                <w:highlight w:val="none"/>
              </w:rPr>
              <w:t>:</w:t>
            </w:r>
            <w:r>
              <w:rPr>
                <w:rFonts w:hint="eastAsia"/>
                <w:spacing w:val="-2"/>
                <w:sz w:val="21"/>
                <w:szCs w:val="21"/>
                <w:highlight w:val="none"/>
                <w:lang w:val="en-US" w:eastAsia="zh-CN"/>
              </w:rPr>
              <w:t>0</w:t>
            </w:r>
            <w:r>
              <w:rPr>
                <w:spacing w:val="-2"/>
                <w:sz w:val="21"/>
                <w:szCs w:val="21"/>
                <w:highlight w:val="none"/>
              </w:rPr>
              <w:t>0～1</w:t>
            </w:r>
            <w:r>
              <w:rPr>
                <w:rFonts w:hint="eastAsia"/>
                <w:spacing w:val="-2"/>
                <w:sz w:val="21"/>
                <w:szCs w:val="21"/>
                <w:highlight w:val="none"/>
                <w:lang w:val="en-US" w:eastAsia="zh-CN"/>
              </w:rPr>
              <w:t>0</w:t>
            </w:r>
            <w:r>
              <w:rPr>
                <w:spacing w:val="-2"/>
                <w:sz w:val="21"/>
                <w:szCs w:val="21"/>
                <w:highlight w:val="none"/>
              </w:rPr>
              <w:t>:</w:t>
            </w:r>
            <w:r>
              <w:rPr>
                <w:rFonts w:hint="eastAsia"/>
                <w:spacing w:val="-2"/>
                <w:sz w:val="21"/>
                <w:szCs w:val="21"/>
                <w:highlight w:val="none"/>
                <w:lang w:val="en-US" w:eastAsia="zh-CN"/>
              </w:rPr>
              <w:t>3</w:t>
            </w:r>
            <w:r>
              <w:rPr>
                <w:spacing w:val="-2"/>
                <w:sz w:val="21"/>
                <w:szCs w:val="21"/>
                <w:highlight w:val="none"/>
              </w:rPr>
              <w:t>0</w:t>
            </w:r>
          </w:p>
        </w:tc>
        <w:tc>
          <w:tcPr>
            <w:tcW w:w="5241" w:type="dxa"/>
            <w:tcBorders>
              <w:left w:val="single" w:color="auto" w:sz="4" w:space="0"/>
            </w:tcBorders>
            <w:shd w:val="clear" w:color="auto" w:fill="auto"/>
            <w:vAlign w:val="center"/>
          </w:tcPr>
          <w:p w14:paraId="4A10BC36">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1"/>
                <w:szCs w:val="21"/>
                <w:highlight w:val="none"/>
                <w:lang w:val="en-US" w:eastAsia="en-US" w:bidi="ar-SA"/>
              </w:rPr>
            </w:pPr>
            <w:r>
              <w:rPr>
                <w:spacing w:val="-2"/>
                <w:sz w:val="21"/>
                <w:szCs w:val="21"/>
                <w:highlight w:val="none"/>
              </w:rPr>
              <w:t>第</w:t>
            </w:r>
            <w:r>
              <w:rPr>
                <w:rFonts w:hint="eastAsia"/>
                <w:spacing w:val="-2"/>
                <w:sz w:val="21"/>
                <w:szCs w:val="21"/>
                <w:highlight w:val="none"/>
                <w:lang w:val="en-US" w:eastAsia="zh-CN"/>
              </w:rPr>
              <w:t>一</w:t>
            </w:r>
            <w:r>
              <w:rPr>
                <w:spacing w:val="-2"/>
                <w:sz w:val="21"/>
                <w:szCs w:val="21"/>
                <w:highlight w:val="none"/>
              </w:rPr>
              <w:t>模块</w:t>
            </w:r>
            <w:r>
              <w:rPr>
                <w:rFonts w:hint="eastAsia"/>
                <w:spacing w:val="-2"/>
                <w:sz w:val="21"/>
                <w:szCs w:val="21"/>
                <w:highlight w:val="none"/>
                <w:lang w:val="en-US" w:eastAsia="zh-CN"/>
              </w:rPr>
              <w:t>-</w:t>
            </w:r>
            <w:r>
              <w:rPr>
                <w:rFonts w:hint="eastAsia"/>
                <w:spacing w:val="-5"/>
                <w:sz w:val="21"/>
                <w:szCs w:val="21"/>
                <w:highlight w:val="none"/>
              </w:rPr>
              <w:t>商务数据分析方法与工具应用</w:t>
            </w:r>
          </w:p>
        </w:tc>
      </w:tr>
      <w:tr w14:paraId="4E9B8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165" w:type="dxa"/>
            <w:vMerge w:val="continue"/>
            <w:tcBorders>
              <w:top w:val="single" w:color="000000" w:sz="2" w:space="0"/>
              <w:bottom w:val="single" w:color="000000" w:sz="2" w:space="0"/>
              <w:right w:val="single" w:color="auto" w:sz="4" w:space="0"/>
            </w:tcBorders>
            <w:vAlign w:val="center"/>
          </w:tcPr>
          <w:p w14:paraId="7671752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ascii="Arial"/>
                <w:sz w:val="21"/>
                <w:szCs w:val="21"/>
                <w:highlight w:val="none"/>
              </w:rPr>
            </w:pPr>
          </w:p>
        </w:tc>
        <w:tc>
          <w:tcPr>
            <w:tcW w:w="2082" w:type="dxa"/>
            <w:tcBorders>
              <w:top w:val="single" w:color="auto" w:sz="4" w:space="0"/>
              <w:left w:val="single" w:color="auto" w:sz="4" w:space="0"/>
              <w:bottom w:val="single" w:color="auto" w:sz="4" w:space="0"/>
              <w:right w:val="single" w:color="auto" w:sz="4" w:space="0"/>
            </w:tcBorders>
            <w:shd w:val="clear" w:color="auto" w:fill="auto"/>
            <w:vAlign w:val="center"/>
          </w:tcPr>
          <w:p w14:paraId="13D5ECC3">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宋体" w:hAnsi="宋体" w:eastAsia="宋体" w:cs="宋体"/>
                <w:snapToGrid w:val="0"/>
                <w:color w:val="000000"/>
                <w:spacing w:val="-3"/>
                <w:kern w:val="0"/>
                <w:sz w:val="21"/>
                <w:szCs w:val="21"/>
                <w:highlight w:val="none"/>
                <w:lang w:val="en-US" w:eastAsia="zh-CN" w:bidi="ar-SA"/>
              </w:rPr>
            </w:pPr>
            <w:r>
              <w:rPr>
                <w:spacing w:val="-3"/>
                <w:sz w:val="21"/>
                <w:szCs w:val="21"/>
                <w:highlight w:val="none"/>
              </w:rPr>
              <w:t>1</w:t>
            </w:r>
            <w:r>
              <w:rPr>
                <w:rFonts w:hint="eastAsia"/>
                <w:spacing w:val="-3"/>
                <w:sz w:val="21"/>
                <w:szCs w:val="21"/>
                <w:highlight w:val="none"/>
                <w:lang w:val="en-US" w:eastAsia="zh-CN"/>
              </w:rPr>
              <w:t>0</w:t>
            </w:r>
            <w:r>
              <w:rPr>
                <w:spacing w:val="-3"/>
                <w:sz w:val="21"/>
                <w:szCs w:val="21"/>
                <w:highlight w:val="none"/>
              </w:rPr>
              <w:t>:</w:t>
            </w:r>
            <w:r>
              <w:rPr>
                <w:rFonts w:hint="eastAsia"/>
                <w:spacing w:val="-3"/>
                <w:sz w:val="21"/>
                <w:szCs w:val="21"/>
                <w:highlight w:val="none"/>
                <w:lang w:val="en-US" w:eastAsia="zh-CN"/>
              </w:rPr>
              <w:t>40</w:t>
            </w:r>
            <w:r>
              <w:rPr>
                <w:spacing w:val="-3"/>
                <w:sz w:val="21"/>
                <w:szCs w:val="21"/>
                <w:highlight w:val="none"/>
              </w:rPr>
              <w:t>～1</w:t>
            </w:r>
            <w:r>
              <w:rPr>
                <w:rFonts w:hint="eastAsia"/>
                <w:spacing w:val="-3"/>
                <w:sz w:val="21"/>
                <w:szCs w:val="21"/>
                <w:highlight w:val="none"/>
                <w:lang w:val="en-US" w:eastAsia="zh-CN"/>
              </w:rPr>
              <w:t>1</w:t>
            </w:r>
            <w:r>
              <w:rPr>
                <w:spacing w:val="-3"/>
                <w:sz w:val="21"/>
                <w:szCs w:val="21"/>
                <w:highlight w:val="none"/>
              </w:rPr>
              <w:t>:</w:t>
            </w:r>
            <w:r>
              <w:rPr>
                <w:rFonts w:hint="eastAsia"/>
                <w:spacing w:val="-3"/>
                <w:sz w:val="21"/>
                <w:szCs w:val="21"/>
                <w:highlight w:val="none"/>
                <w:lang w:val="en-US" w:eastAsia="zh-CN"/>
              </w:rPr>
              <w:t>40</w:t>
            </w:r>
          </w:p>
        </w:tc>
        <w:tc>
          <w:tcPr>
            <w:tcW w:w="5241" w:type="dxa"/>
            <w:tcBorders>
              <w:left w:val="single" w:color="auto" w:sz="4" w:space="0"/>
            </w:tcBorders>
            <w:shd w:val="clear" w:color="auto" w:fill="auto"/>
            <w:vAlign w:val="center"/>
          </w:tcPr>
          <w:p w14:paraId="692D1514">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7"/>
                <w:kern w:val="0"/>
                <w:sz w:val="21"/>
                <w:szCs w:val="21"/>
                <w:highlight w:val="none"/>
                <w:lang w:val="en-US" w:eastAsia="zh-CN" w:bidi="ar-SA"/>
              </w:rPr>
            </w:pPr>
            <w:r>
              <w:rPr>
                <w:spacing w:val="-2"/>
                <w:sz w:val="21"/>
                <w:szCs w:val="21"/>
                <w:highlight w:val="none"/>
              </w:rPr>
              <w:t>第</w:t>
            </w:r>
            <w:r>
              <w:rPr>
                <w:rFonts w:hint="eastAsia"/>
                <w:spacing w:val="-2"/>
                <w:sz w:val="21"/>
                <w:szCs w:val="21"/>
                <w:highlight w:val="none"/>
                <w:lang w:val="en-US" w:eastAsia="zh-CN"/>
              </w:rPr>
              <w:t>一</w:t>
            </w:r>
            <w:r>
              <w:rPr>
                <w:spacing w:val="-2"/>
                <w:sz w:val="21"/>
                <w:szCs w:val="21"/>
                <w:highlight w:val="none"/>
              </w:rPr>
              <w:t>模块</w:t>
            </w:r>
            <w:r>
              <w:rPr>
                <w:rFonts w:hint="eastAsia"/>
                <w:spacing w:val="-2"/>
                <w:sz w:val="21"/>
                <w:szCs w:val="21"/>
                <w:highlight w:val="none"/>
                <w:lang w:val="en-US" w:eastAsia="zh-CN"/>
              </w:rPr>
              <w:t>-</w:t>
            </w:r>
            <w:r>
              <w:rPr>
                <w:spacing w:val="-3"/>
                <w:sz w:val="21"/>
                <w:szCs w:val="21"/>
                <w:highlight w:val="none"/>
              </w:rPr>
              <w:t>商务数据分析报告撰写</w:t>
            </w:r>
          </w:p>
        </w:tc>
      </w:tr>
      <w:tr w14:paraId="1752A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165" w:type="dxa"/>
            <w:vMerge w:val="continue"/>
            <w:tcBorders>
              <w:top w:val="single" w:color="000000" w:sz="2" w:space="0"/>
              <w:bottom w:val="single" w:color="000000" w:sz="2" w:space="0"/>
              <w:right w:val="single" w:color="auto" w:sz="4" w:space="0"/>
            </w:tcBorders>
            <w:vAlign w:val="center"/>
          </w:tcPr>
          <w:p w14:paraId="4651304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ascii="Arial"/>
                <w:sz w:val="21"/>
                <w:szCs w:val="21"/>
                <w:highlight w:val="none"/>
              </w:rPr>
            </w:pPr>
          </w:p>
        </w:tc>
        <w:tc>
          <w:tcPr>
            <w:tcW w:w="2082" w:type="dxa"/>
            <w:tcBorders>
              <w:top w:val="single" w:color="auto" w:sz="4" w:space="0"/>
              <w:left w:val="single" w:color="auto" w:sz="4" w:space="0"/>
              <w:bottom w:val="single" w:color="auto" w:sz="4" w:space="0"/>
              <w:right w:val="single" w:color="auto" w:sz="4" w:space="0"/>
            </w:tcBorders>
            <w:shd w:val="clear" w:color="auto" w:fill="auto"/>
            <w:vAlign w:val="center"/>
          </w:tcPr>
          <w:p w14:paraId="6D51AEF3">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宋体" w:hAnsi="宋体" w:eastAsia="宋体" w:cs="宋体"/>
                <w:snapToGrid w:val="0"/>
                <w:color w:val="000000"/>
                <w:kern w:val="0"/>
                <w:sz w:val="21"/>
                <w:szCs w:val="21"/>
                <w:highlight w:val="none"/>
                <w:lang w:val="en-US" w:eastAsia="zh-CN" w:bidi="ar-SA"/>
              </w:rPr>
            </w:pPr>
            <w:r>
              <w:rPr>
                <w:spacing w:val="-3"/>
                <w:sz w:val="21"/>
                <w:szCs w:val="21"/>
                <w:highlight w:val="none"/>
              </w:rPr>
              <w:t>1</w:t>
            </w:r>
            <w:r>
              <w:rPr>
                <w:rFonts w:hint="eastAsia"/>
                <w:spacing w:val="-3"/>
                <w:sz w:val="21"/>
                <w:szCs w:val="21"/>
                <w:highlight w:val="none"/>
                <w:lang w:val="en-US" w:eastAsia="zh-CN"/>
              </w:rPr>
              <w:t>1</w:t>
            </w:r>
            <w:r>
              <w:rPr>
                <w:spacing w:val="-3"/>
                <w:sz w:val="21"/>
                <w:szCs w:val="21"/>
                <w:highlight w:val="none"/>
              </w:rPr>
              <w:t>:</w:t>
            </w:r>
            <w:r>
              <w:rPr>
                <w:rFonts w:hint="eastAsia"/>
                <w:spacing w:val="-3"/>
                <w:sz w:val="21"/>
                <w:szCs w:val="21"/>
                <w:highlight w:val="none"/>
                <w:lang w:val="en-US" w:eastAsia="zh-CN"/>
              </w:rPr>
              <w:t>50</w:t>
            </w:r>
            <w:r>
              <w:rPr>
                <w:spacing w:val="-3"/>
                <w:sz w:val="21"/>
                <w:szCs w:val="21"/>
                <w:highlight w:val="none"/>
              </w:rPr>
              <w:t>～1</w:t>
            </w:r>
            <w:r>
              <w:rPr>
                <w:rFonts w:hint="eastAsia"/>
                <w:spacing w:val="-3"/>
                <w:sz w:val="21"/>
                <w:szCs w:val="21"/>
                <w:highlight w:val="none"/>
                <w:lang w:val="en-US" w:eastAsia="zh-CN"/>
              </w:rPr>
              <w:t>2</w:t>
            </w:r>
            <w:r>
              <w:rPr>
                <w:spacing w:val="-3"/>
                <w:sz w:val="21"/>
                <w:szCs w:val="21"/>
                <w:highlight w:val="none"/>
              </w:rPr>
              <w:t>:</w:t>
            </w:r>
            <w:r>
              <w:rPr>
                <w:rFonts w:hint="eastAsia"/>
                <w:spacing w:val="-3"/>
                <w:sz w:val="21"/>
                <w:szCs w:val="21"/>
                <w:highlight w:val="none"/>
                <w:lang w:val="en-US" w:eastAsia="zh-CN"/>
              </w:rPr>
              <w:t>50</w:t>
            </w:r>
          </w:p>
        </w:tc>
        <w:tc>
          <w:tcPr>
            <w:tcW w:w="5241" w:type="dxa"/>
            <w:tcBorders>
              <w:left w:val="single" w:color="auto" w:sz="4" w:space="0"/>
            </w:tcBorders>
            <w:shd w:val="clear" w:color="auto" w:fill="auto"/>
            <w:vAlign w:val="center"/>
          </w:tcPr>
          <w:p w14:paraId="627EC4B5">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highlight w:val="none"/>
                <w:lang w:val="en-US" w:eastAsia="zh-CN" w:bidi="ar-SA"/>
              </w:rPr>
            </w:pPr>
            <w:r>
              <w:rPr>
                <w:spacing w:val="-7"/>
                <w:sz w:val="21"/>
                <w:szCs w:val="21"/>
                <w:highlight w:val="none"/>
              </w:rPr>
              <w:t>午餐</w:t>
            </w:r>
          </w:p>
        </w:tc>
      </w:tr>
      <w:tr w14:paraId="54030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165" w:type="dxa"/>
            <w:vMerge w:val="continue"/>
            <w:tcBorders>
              <w:top w:val="single" w:color="000000" w:sz="2" w:space="0"/>
              <w:bottom w:val="single" w:color="000000" w:sz="2" w:space="0"/>
              <w:right w:val="single" w:color="auto" w:sz="4" w:space="0"/>
            </w:tcBorders>
            <w:vAlign w:val="center"/>
          </w:tcPr>
          <w:p w14:paraId="604DFD0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ascii="Arial"/>
                <w:sz w:val="21"/>
                <w:szCs w:val="21"/>
                <w:highlight w:val="none"/>
              </w:rPr>
            </w:pPr>
          </w:p>
        </w:tc>
        <w:tc>
          <w:tcPr>
            <w:tcW w:w="2082" w:type="dxa"/>
            <w:tcBorders>
              <w:top w:val="single" w:color="auto" w:sz="4" w:space="0"/>
              <w:left w:val="single" w:color="auto" w:sz="4" w:space="0"/>
              <w:bottom w:val="single" w:color="auto" w:sz="4" w:space="0"/>
              <w:right w:val="single" w:color="auto" w:sz="4" w:space="0"/>
            </w:tcBorders>
            <w:shd w:val="clear" w:color="auto" w:fill="auto"/>
            <w:vAlign w:val="center"/>
          </w:tcPr>
          <w:p w14:paraId="18C9AA03">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宋体" w:hAnsi="宋体" w:eastAsia="宋体" w:cs="宋体"/>
                <w:snapToGrid w:val="0"/>
                <w:color w:val="000000"/>
                <w:kern w:val="0"/>
                <w:sz w:val="21"/>
                <w:szCs w:val="21"/>
                <w:highlight w:val="none"/>
                <w:lang w:val="en-US" w:eastAsia="zh-CN" w:bidi="ar-SA"/>
              </w:rPr>
            </w:pPr>
            <w:r>
              <w:rPr>
                <w:spacing w:val="-3"/>
                <w:sz w:val="21"/>
                <w:szCs w:val="21"/>
                <w:highlight w:val="none"/>
              </w:rPr>
              <w:t>1</w:t>
            </w:r>
            <w:r>
              <w:rPr>
                <w:rFonts w:hint="eastAsia"/>
                <w:spacing w:val="-3"/>
                <w:sz w:val="21"/>
                <w:szCs w:val="21"/>
                <w:highlight w:val="none"/>
                <w:lang w:val="en-US" w:eastAsia="zh-CN"/>
              </w:rPr>
              <w:t>3</w:t>
            </w:r>
            <w:r>
              <w:rPr>
                <w:spacing w:val="-3"/>
                <w:sz w:val="21"/>
                <w:szCs w:val="21"/>
                <w:highlight w:val="none"/>
              </w:rPr>
              <w:t>:00～1</w:t>
            </w:r>
            <w:r>
              <w:rPr>
                <w:rFonts w:hint="eastAsia"/>
                <w:spacing w:val="-3"/>
                <w:sz w:val="21"/>
                <w:szCs w:val="21"/>
                <w:highlight w:val="none"/>
                <w:lang w:val="en-US" w:eastAsia="zh-CN"/>
              </w:rPr>
              <w:t>9</w:t>
            </w:r>
            <w:r>
              <w:rPr>
                <w:spacing w:val="-3"/>
                <w:sz w:val="21"/>
                <w:szCs w:val="21"/>
                <w:highlight w:val="none"/>
              </w:rPr>
              <w:t>:00</w:t>
            </w:r>
          </w:p>
        </w:tc>
        <w:tc>
          <w:tcPr>
            <w:tcW w:w="5241" w:type="dxa"/>
            <w:tcBorders>
              <w:left w:val="single" w:color="auto" w:sz="4" w:space="0"/>
            </w:tcBorders>
            <w:shd w:val="clear" w:color="auto" w:fill="auto"/>
            <w:vAlign w:val="center"/>
          </w:tcPr>
          <w:p w14:paraId="53D6D609">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1"/>
                <w:szCs w:val="21"/>
                <w:highlight w:val="none"/>
                <w:lang w:val="en-US" w:eastAsia="en-US" w:bidi="ar-SA"/>
              </w:rPr>
            </w:pPr>
            <w:r>
              <w:rPr>
                <w:rFonts w:hint="eastAsia"/>
                <w:spacing w:val="-3"/>
                <w:sz w:val="21"/>
                <w:szCs w:val="21"/>
                <w:highlight w:val="none"/>
              </w:rPr>
              <w:t>综合展示讲解</w:t>
            </w:r>
          </w:p>
        </w:tc>
      </w:tr>
      <w:tr w14:paraId="7F2E3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165" w:type="dxa"/>
            <w:vMerge w:val="continue"/>
            <w:tcBorders>
              <w:top w:val="single" w:color="000000" w:sz="2" w:space="0"/>
              <w:bottom w:val="single" w:color="000000" w:sz="2" w:space="0"/>
              <w:right w:val="single" w:color="auto" w:sz="4" w:space="0"/>
            </w:tcBorders>
            <w:vAlign w:val="center"/>
          </w:tcPr>
          <w:p w14:paraId="11CA1E0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ascii="Arial"/>
                <w:sz w:val="21"/>
                <w:szCs w:val="21"/>
                <w:highlight w:val="none"/>
              </w:rPr>
            </w:pPr>
          </w:p>
        </w:tc>
        <w:tc>
          <w:tcPr>
            <w:tcW w:w="2082" w:type="dxa"/>
            <w:tcBorders>
              <w:top w:val="single" w:color="auto" w:sz="4" w:space="0"/>
              <w:left w:val="single" w:color="auto" w:sz="4" w:space="0"/>
              <w:bottom w:val="single" w:color="auto" w:sz="4" w:space="0"/>
              <w:right w:val="single" w:color="auto" w:sz="4" w:space="0"/>
            </w:tcBorders>
            <w:shd w:val="clear" w:color="auto" w:fill="auto"/>
            <w:vAlign w:val="center"/>
          </w:tcPr>
          <w:p w14:paraId="1AB636C3">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ascii="宋体" w:hAnsi="宋体" w:eastAsia="宋体" w:cs="宋体"/>
                <w:snapToGrid w:val="0"/>
                <w:color w:val="000000"/>
                <w:kern w:val="0"/>
                <w:sz w:val="21"/>
                <w:szCs w:val="21"/>
                <w:highlight w:val="none"/>
                <w:lang w:val="en-US" w:eastAsia="en-US" w:bidi="ar-SA"/>
              </w:rPr>
            </w:pPr>
            <w:r>
              <w:rPr>
                <w:spacing w:val="-3"/>
                <w:sz w:val="21"/>
                <w:szCs w:val="21"/>
                <w:highlight w:val="none"/>
              </w:rPr>
              <w:t>1</w:t>
            </w:r>
            <w:r>
              <w:rPr>
                <w:rFonts w:hint="eastAsia"/>
                <w:spacing w:val="-3"/>
                <w:sz w:val="21"/>
                <w:szCs w:val="21"/>
                <w:highlight w:val="none"/>
                <w:lang w:val="en-US" w:eastAsia="zh-CN"/>
              </w:rPr>
              <w:t>9</w:t>
            </w:r>
            <w:r>
              <w:rPr>
                <w:spacing w:val="-3"/>
                <w:sz w:val="21"/>
                <w:szCs w:val="21"/>
                <w:highlight w:val="none"/>
              </w:rPr>
              <w:t>:</w:t>
            </w:r>
            <w:r>
              <w:rPr>
                <w:rFonts w:hint="eastAsia"/>
                <w:spacing w:val="-3"/>
                <w:sz w:val="21"/>
                <w:szCs w:val="21"/>
                <w:highlight w:val="none"/>
                <w:lang w:val="en-US" w:eastAsia="zh-CN"/>
              </w:rPr>
              <w:t>0</w:t>
            </w:r>
            <w:r>
              <w:rPr>
                <w:spacing w:val="-3"/>
                <w:sz w:val="21"/>
                <w:szCs w:val="21"/>
                <w:highlight w:val="none"/>
              </w:rPr>
              <w:t>0～</w:t>
            </w:r>
            <w:r>
              <w:rPr>
                <w:rFonts w:hint="eastAsia"/>
                <w:spacing w:val="-3"/>
                <w:sz w:val="21"/>
                <w:szCs w:val="21"/>
                <w:highlight w:val="none"/>
                <w:lang w:val="en-US" w:eastAsia="zh-CN"/>
              </w:rPr>
              <w:t>20</w:t>
            </w:r>
            <w:r>
              <w:rPr>
                <w:spacing w:val="-3"/>
                <w:sz w:val="21"/>
                <w:szCs w:val="21"/>
                <w:highlight w:val="none"/>
              </w:rPr>
              <w:t>:</w:t>
            </w:r>
            <w:r>
              <w:rPr>
                <w:rFonts w:hint="eastAsia"/>
                <w:spacing w:val="-3"/>
                <w:sz w:val="21"/>
                <w:szCs w:val="21"/>
                <w:highlight w:val="none"/>
                <w:lang w:val="en-US" w:eastAsia="zh-CN"/>
              </w:rPr>
              <w:t>0</w:t>
            </w:r>
            <w:r>
              <w:rPr>
                <w:spacing w:val="-3"/>
                <w:sz w:val="21"/>
                <w:szCs w:val="21"/>
                <w:highlight w:val="none"/>
              </w:rPr>
              <w:t>0</w:t>
            </w:r>
          </w:p>
        </w:tc>
        <w:tc>
          <w:tcPr>
            <w:tcW w:w="5241" w:type="dxa"/>
            <w:tcBorders>
              <w:left w:val="single" w:color="auto" w:sz="4" w:space="0"/>
            </w:tcBorders>
            <w:shd w:val="clear" w:color="auto" w:fill="auto"/>
            <w:vAlign w:val="center"/>
          </w:tcPr>
          <w:p w14:paraId="66E43D89">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1"/>
                <w:szCs w:val="21"/>
                <w:highlight w:val="none"/>
                <w:lang w:val="en-US" w:eastAsia="en-US" w:bidi="ar-SA"/>
              </w:rPr>
            </w:pPr>
            <w:r>
              <w:rPr>
                <w:spacing w:val="-2"/>
                <w:sz w:val="21"/>
                <w:szCs w:val="21"/>
                <w:highlight w:val="none"/>
              </w:rPr>
              <w:t>裁判成绩评定</w:t>
            </w:r>
          </w:p>
        </w:tc>
      </w:tr>
      <w:tr w14:paraId="1C04A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165" w:type="dxa"/>
            <w:tcBorders>
              <w:top w:val="single" w:color="000000" w:sz="2" w:space="0"/>
              <w:right w:val="single" w:color="auto" w:sz="4" w:space="0"/>
            </w:tcBorders>
            <w:vAlign w:val="center"/>
          </w:tcPr>
          <w:p w14:paraId="7590AFDA">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szCs w:val="21"/>
                <w:lang w:val="en-US" w:eastAsia="zh-CN"/>
              </w:rPr>
            </w:pPr>
            <w:r>
              <w:rPr>
                <w:rFonts w:hint="eastAsia"/>
                <w:spacing w:val="-12"/>
                <w:sz w:val="21"/>
                <w:szCs w:val="21"/>
                <w:lang w:val="en-US" w:eastAsia="zh-CN"/>
              </w:rPr>
              <w:t>返程日</w:t>
            </w:r>
          </w:p>
        </w:tc>
        <w:tc>
          <w:tcPr>
            <w:tcW w:w="2082" w:type="dxa"/>
            <w:tcBorders>
              <w:top w:val="single" w:color="auto" w:sz="4" w:space="0"/>
              <w:left w:val="single" w:color="auto" w:sz="4" w:space="0"/>
              <w:bottom w:val="single" w:color="auto" w:sz="4" w:space="0"/>
              <w:right w:val="single" w:color="auto" w:sz="4" w:space="0"/>
            </w:tcBorders>
            <w:vAlign w:val="center"/>
          </w:tcPr>
          <w:p w14:paraId="7C805A6E">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eastAsia="宋体"/>
                <w:spacing w:val="-3"/>
                <w:sz w:val="21"/>
                <w:szCs w:val="21"/>
                <w:lang w:val="en-US" w:eastAsia="zh-CN"/>
              </w:rPr>
            </w:pPr>
            <w:r>
              <w:rPr>
                <w:rFonts w:hint="eastAsia"/>
                <w:spacing w:val="-3"/>
                <w:sz w:val="21"/>
                <w:szCs w:val="21"/>
                <w:lang w:val="en-US" w:eastAsia="zh-CN"/>
              </w:rPr>
              <w:t>全天</w:t>
            </w:r>
          </w:p>
        </w:tc>
        <w:tc>
          <w:tcPr>
            <w:tcW w:w="5241" w:type="dxa"/>
            <w:tcBorders>
              <w:left w:val="single" w:color="auto" w:sz="4" w:space="0"/>
            </w:tcBorders>
            <w:vAlign w:val="center"/>
          </w:tcPr>
          <w:p w14:paraId="6E4C3A56">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eastAsia="宋体"/>
                <w:spacing w:val="-2"/>
                <w:sz w:val="21"/>
                <w:szCs w:val="21"/>
                <w:lang w:val="en-US" w:eastAsia="zh-CN"/>
              </w:rPr>
            </w:pPr>
            <w:r>
              <w:rPr>
                <w:rFonts w:hint="eastAsia"/>
                <w:spacing w:val="-2"/>
                <w:sz w:val="21"/>
                <w:szCs w:val="21"/>
                <w:lang w:val="en-US" w:eastAsia="zh-CN"/>
              </w:rPr>
              <w:t>返程</w:t>
            </w:r>
          </w:p>
        </w:tc>
      </w:tr>
    </w:tbl>
    <w:p w14:paraId="23F00EC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8" w:firstLineChars="200"/>
        <w:jc w:val="both"/>
        <w:textAlignment w:val="baseline"/>
        <w:outlineLvl w:val="0"/>
        <w:rPr>
          <w:b/>
          <w:bCs/>
          <w:spacing w:val="-6"/>
        </w:rPr>
      </w:pPr>
      <w:r>
        <w:rPr>
          <w:b/>
          <w:bCs/>
          <w:spacing w:val="-6"/>
        </w:rPr>
        <w:t>五、竞赛规则</w:t>
      </w:r>
    </w:p>
    <w:p w14:paraId="09EDED9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8" w:firstLineChars="200"/>
        <w:jc w:val="both"/>
        <w:textAlignment w:val="baseline"/>
        <w:outlineLvl w:val="0"/>
        <w:rPr>
          <w:b/>
          <w:bCs/>
          <w:spacing w:val="-6"/>
        </w:rPr>
      </w:pPr>
      <w:bookmarkStart w:id="0" w:name="_GoBack"/>
      <w:r>
        <w:rPr>
          <w:b/>
          <w:bCs/>
          <w:spacing w:val="-6"/>
        </w:rPr>
        <w:t>（一）选手报名</w:t>
      </w:r>
    </w:p>
    <w:bookmarkEnd w:id="0"/>
    <w:p w14:paraId="4C95285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5"/>
        <w:textAlignment w:val="baseline"/>
      </w:pPr>
      <w:r>
        <w:rPr>
          <w:spacing w:val="-6"/>
        </w:rPr>
        <w:t>以学校为单位报名参赛。参赛队名称统一使用规定的学校代</w:t>
      </w:r>
      <w:r>
        <w:rPr>
          <w:spacing w:val="-1"/>
        </w:rPr>
        <w:t>表队名称，不接受跨校组队报名。</w:t>
      </w:r>
      <w:r>
        <w:rPr>
          <w:spacing w:val="-4"/>
        </w:rPr>
        <w:t>参赛者必须先报名，确认后方能参加比赛。报名</w:t>
      </w:r>
      <w:r>
        <w:rPr>
          <w:spacing w:val="-5"/>
        </w:rPr>
        <w:t>截止后不</w:t>
      </w:r>
      <w:r>
        <w:rPr>
          <w:spacing w:val="-1"/>
        </w:rPr>
        <w:t>得临时更改参赛选手，一经发现取消比赛资格。</w:t>
      </w:r>
    </w:p>
    <w:p w14:paraId="3D7ADCC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8" w:firstLineChars="200"/>
        <w:textAlignment w:val="baseline"/>
        <w:outlineLvl w:val="1"/>
        <w:rPr>
          <w:b/>
          <w:bCs/>
          <w:spacing w:val="-6"/>
        </w:rPr>
      </w:pPr>
      <w:r>
        <w:rPr>
          <w:b/>
          <w:bCs/>
          <w:spacing w:val="-6"/>
        </w:rPr>
        <w:t>（二）熟悉场地</w:t>
      </w:r>
    </w:p>
    <w:p w14:paraId="2E41731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2" w:firstLineChars="200"/>
        <w:textAlignment w:val="baseline"/>
      </w:pPr>
      <w:r>
        <w:rPr>
          <w:spacing w:val="-2"/>
        </w:rPr>
        <w:t>1.参赛队在会务组统一安排下有序熟悉场地。</w:t>
      </w:r>
    </w:p>
    <w:p w14:paraId="3FEBA435">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84" w:firstLineChars="200"/>
        <w:textAlignment w:val="baseline"/>
      </w:pPr>
      <w:r>
        <w:rPr>
          <w:spacing w:val="-4"/>
        </w:rPr>
        <w:t>2.熟悉场地期间严格遵守大赛制度，严禁拥挤</w:t>
      </w:r>
      <w:r>
        <w:rPr>
          <w:rFonts w:hint="eastAsia"/>
          <w:spacing w:val="-4"/>
          <w:lang w:eastAsia="zh-CN"/>
        </w:rPr>
        <w:t>、</w:t>
      </w:r>
      <w:r>
        <w:rPr>
          <w:spacing w:val="-4"/>
        </w:rPr>
        <w:t>喧哗，</w:t>
      </w:r>
      <w:r>
        <w:rPr>
          <w:spacing w:val="-5"/>
        </w:rPr>
        <w:t>以免</w:t>
      </w:r>
      <w:r>
        <w:rPr>
          <w:spacing w:val="-3"/>
        </w:rPr>
        <w:t>发生意外事故。</w:t>
      </w:r>
    </w:p>
    <w:p w14:paraId="0C31359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8" w:firstLineChars="200"/>
        <w:textAlignment w:val="baseline"/>
        <w:outlineLvl w:val="1"/>
        <w:rPr>
          <w:b/>
          <w:bCs/>
          <w:spacing w:val="-6"/>
        </w:rPr>
      </w:pPr>
      <w:r>
        <w:rPr>
          <w:b/>
          <w:bCs/>
          <w:spacing w:val="-6"/>
        </w:rPr>
        <w:t>（三）入场规则</w:t>
      </w:r>
    </w:p>
    <w:p w14:paraId="7751FA8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2" w:firstLineChars="200"/>
        <w:textAlignment w:val="baseline"/>
        <w:rPr>
          <w:spacing w:val="-2"/>
        </w:rPr>
      </w:pPr>
      <w:r>
        <w:rPr>
          <w:spacing w:val="-2"/>
        </w:rPr>
        <w:t>参赛选手在比赛开始前至少提前</w:t>
      </w:r>
      <w:r>
        <w:rPr>
          <w:rFonts w:hint="eastAsia"/>
          <w:spacing w:val="-2"/>
          <w:lang w:val="en-US" w:eastAsia="zh-CN"/>
        </w:rPr>
        <w:t>3</w:t>
      </w:r>
      <w:r>
        <w:rPr>
          <w:spacing w:val="-2"/>
        </w:rPr>
        <w:t>0分钟到达指定地点候赛，接受选手身份、资格和有关证件的检查。竞赛计时开始后选手未到视为自动放弃。</w:t>
      </w:r>
    </w:p>
    <w:p w14:paraId="6F4EE68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8" w:firstLineChars="200"/>
        <w:textAlignment w:val="baseline"/>
        <w:outlineLvl w:val="1"/>
        <w:rPr>
          <w:b/>
          <w:bCs/>
          <w:spacing w:val="-6"/>
        </w:rPr>
      </w:pPr>
      <w:r>
        <w:rPr>
          <w:b/>
          <w:bCs/>
          <w:spacing w:val="-6"/>
        </w:rPr>
        <w:t>（四）赛场规则</w:t>
      </w:r>
    </w:p>
    <w:p w14:paraId="26CEFC4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19"/>
        <w:textAlignment w:val="baseline"/>
      </w:pPr>
      <w:r>
        <w:rPr>
          <w:spacing w:val="-5"/>
        </w:rPr>
        <w:t>1.选手在竞赛过程中不得擅自离开工位，如有特殊情况，须</w:t>
      </w:r>
      <w:r>
        <w:rPr>
          <w:spacing w:val="-4"/>
        </w:rPr>
        <w:t>经裁判人员同意。选手休息、饮水、上洗手间等，统一计在竞赛</w:t>
      </w:r>
      <w:r>
        <w:rPr>
          <w:spacing w:val="-2"/>
        </w:rPr>
        <w:t>时间内，不另加时。</w:t>
      </w:r>
    </w:p>
    <w:p w14:paraId="799D9C8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3"/>
        <w:textAlignment w:val="baseline"/>
      </w:pPr>
      <w:r>
        <w:rPr>
          <w:spacing w:val="-4"/>
        </w:rPr>
        <w:t>2.为保障公平、公正，竞赛现场实施网络安全管制</w:t>
      </w:r>
      <w:r>
        <w:rPr>
          <w:rFonts w:hint="eastAsia"/>
          <w:spacing w:val="-4"/>
          <w:lang w:eastAsia="zh-CN"/>
        </w:rPr>
        <w:t>，</w:t>
      </w:r>
      <w:r>
        <w:rPr>
          <w:spacing w:val="-4"/>
        </w:rPr>
        <w:t>不</w:t>
      </w:r>
      <w:r>
        <w:rPr>
          <w:spacing w:val="-5"/>
        </w:rPr>
        <w:t>得将</w:t>
      </w:r>
      <w:r>
        <w:rPr>
          <w:spacing w:val="-1"/>
        </w:rPr>
        <w:t>手机等通信工具带入竞赛场地，否则按作弊处理。</w:t>
      </w:r>
    </w:p>
    <w:p w14:paraId="194924C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4"/>
        <w:textAlignment w:val="baseline"/>
      </w:pPr>
      <w:r>
        <w:rPr>
          <w:spacing w:val="-4"/>
        </w:rPr>
        <w:t>3.所有人员在赛场内不得喧哗，不得有影响其他</w:t>
      </w:r>
      <w:r>
        <w:rPr>
          <w:spacing w:val="-5"/>
        </w:rPr>
        <w:t>选手完成工</w:t>
      </w:r>
      <w:r>
        <w:rPr>
          <w:spacing w:val="-2"/>
        </w:rPr>
        <w:t>作任务的行为。</w:t>
      </w:r>
    </w:p>
    <w:p w14:paraId="0C1F8CD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4"/>
        <w:textAlignment w:val="baseline"/>
      </w:pPr>
      <w:r>
        <w:rPr>
          <w:spacing w:val="-4"/>
        </w:rPr>
        <w:t>4.遇事应先举手示意并与裁判人员协商，按裁判人员的意</w:t>
      </w:r>
      <w:r>
        <w:rPr>
          <w:spacing w:val="-5"/>
        </w:rPr>
        <w:t>见办理。</w:t>
      </w:r>
    </w:p>
    <w:p w14:paraId="64AB104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4"/>
        <w:textAlignment w:val="baseline"/>
      </w:pPr>
      <w:r>
        <w:rPr>
          <w:spacing w:val="-4"/>
        </w:rPr>
        <w:t>5.比赛过程中选手须严格遵守竞赛规则并接</w:t>
      </w:r>
      <w:r>
        <w:rPr>
          <w:spacing w:val="-5"/>
        </w:rPr>
        <w:t>受裁判员的</w:t>
      </w:r>
      <w:r>
        <w:rPr>
          <w:spacing w:val="-3"/>
        </w:rPr>
        <w:t>监督和警示。</w:t>
      </w:r>
    </w:p>
    <w:p w14:paraId="1D387A1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8" w:firstLineChars="200"/>
        <w:textAlignment w:val="baseline"/>
        <w:outlineLvl w:val="1"/>
        <w:rPr>
          <w:b/>
          <w:bCs/>
          <w:spacing w:val="-6"/>
        </w:rPr>
      </w:pPr>
      <w:r>
        <w:rPr>
          <w:b/>
          <w:bCs/>
          <w:spacing w:val="-6"/>
        </w:rPr>
        <w:t>（五）离场规则</w:t>
      </w:r>
    </w:p>
    <w:p w14:paraId="00E1526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8" w:firstLineChars="200"/>
        <w:textAlignment w:val="baseline"/>
        <w:rPr>
          <w:spacing w:val="-2"/>
        </w:rPr>
      </w:pPr>
      <w:r>
        <w:rPr>
          <w:spacing w:val="-3"/>
        </w:rPr>
        <w:t>1.选手须按照程序提交比赛结果（文件</w:t>
      </w:r>
      <w:r>
        <w:rPr>
          <w:spacing w:val="-27"/>
        </w:rPr>
        <w:t>），</w:t>
      </w:r>
      <w:r>
        <w:rPr>
          <w:spacing w:val="-3"/>
        </w:rPr>
        <w:t>配合裁判</w:t>
      </w:r>
      <w:r>
        <w:rPr>
          <w:spacing w:val="-4"/>
        </w:rPr>
        <w:t>做好赛</w:t>
      </w:r>
      <w:r>
        <w:rPr>
          <w:spacing w:val="-2"/>
        </w:rPr>
        <w:t>场情况记录。</w:t>
      </w:r>
    </w:p>
    <w:p w14:paraId="774FC88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2" w:firstLineChars="200"/>
        <w:textAlignment w:val="baseline"/>
      </w:pPr>
      <w:r>
        <w:rPr>
          <w:rFonts w:hint="eastAsia"/>
          <w:spacing w:val="-2"/>
        </w:rPr>
        <w:t>2.综合展示</w:t>
      </w:r>
      <w:r>
        <w:rPr>
          <w:rFonts w:hint="eastAsia"/>
          <w:spacing w:val="-2"/>
          <w:lang w:val="en-US" w:eastAsia="zh-CN"/>
        </w:rPr>
        <w:t>时</w:t>
      </w:r>
      <w:r>
        <w:rPr>
          <w:rFonts w:hint="eastAsia"/>
          <w:spacing w:val="-2"/>
        </w:rPr>
        <w:t>室内应设置电子倒计时牌，以提醒竞赛队按时结束讲解陈述。</w:t>
      </w:r>
    </w:p>
    <w:p w14:paraId="21F73EB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6" w:firstLineChars="200"/>
        <w:textAlignment w:val="baseline"/>
      </w:pPr>
      <w:r>
        <w:rPr>
          <w:spacing w:val="-1"/>
        </w:rPr>
        <w:t>3.比赛结束信号给出，由裁判长宣布终止比赛。</w:t>
      </w:r>
    </w:p>
    <w:p w14:paraId="3C9A351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8"/>
        <w:textAlignment w:val="baseline"/>
      </w:pPr>
      <w:r>
        <w:rPr>
          <w:spacing w:val="-4"/>
        </w:rPr>
        <w:t>4.只有完成汇报的队伍及选手才能离开赛场和指定休息场</w:t>
      </w:r>
      <w:r>
        <w:rPr>
          <w:spacing w:val="-1"/>
        </w:rPr>
        <w:t>所，提前离开比赛场地视作放弃比赛。</w:t>
      </w:r>
    </w:p>
    <w:p w14:paraId="5A0A2FB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8" w:firstLineChars="200"/>
        <w:textAlignment w:val="baseline"/>
        <w:outlineLvl w:val="1"/>
        <w:rPr>
          <w:b/>
          <w:bCs/>
          <w:spacing w:val="-6"/>
        </w:rPr>
      </w:pPr>
      <w:r>
        <w:rPr>
          <w:b/>
          <w:bCs/>
          <w:spacing w:val="-6"/>
        </w:rPr>
        <w:t>（六）成绩评定与结果公布</w:t>
      </w:r>
    </w:p>
    <w:p w14:paraId="0B532A9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2"/>
        <w:textAlignment w:val="baseline"/>
      </w:pPr>
      <w:r>
        <w:rPr>
          <w:spacing w:val="-4"/>
        </w:rPr>
        <w:t>1.本赛项所有专家和裁判将签订保密协议，严守保密纪律，严格遵守赛项各项规章制度，确保比赛公平、公正、公开，不得私自透露赛题非公开部分的内容和比赛结果。赛项裁判在比赛前</w:t>
      </w:r>
      <w:r>
        <w:rPr>
          <w:spacing w:val="-1"/>
        </w:rPr>
        <w:t>应上交所有通信设备，由赛项执委会统一保管。</w:t>
      </w:r>
    </w:p>
    <w:p w14:paraId="7137259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1"/>
        <w:jc w:val="both"/>
        <w:textAlignment w:val="baseline"/>
        <w:rPr>
          <w:spacing w:val="-4"/>
        </w:rPr>
      </w:pPr>
      <w:r>
        <w:rPr>
          <w:spacing w:val="-4"/>
        </w:rPr>
        <w:t>2.第一模块</w:t>
      </w:r>
      <w:r>
        <w:rPr>
          <w:rFonts w:hint="eastAsia"/>
          <w:spacing w:val="-4"/>
          <w:lang w:val="en-US" w:eastAsia="zh-CN"/>
        </w:rPr>
        <w:t>中的</w:t>
      </w:r>
      <w:r>
        <w:rPr>
          <w:spacing w:val="-3"/>
        </w:rPr>
        <w:t>数据思维与职业素养</w:t>
      </w:r>
      <w:r>
        <w:rPr>
          <w:rFonts w:hint="eastAsia"/>
          <w:spacing w:val="-3"/>
          <w:lang w:val="en-US" w:eastAsia="zh-CN"/>
        </w:rPr>
        <w:t>内容</w:t>
      </w:r>
      <w:r>
        <w:rPr>
          <w:rFonts w:hint="eastAsia"/>
          <w:spacing w:val="-4"/>
          <w:lang w:val="en-US" w:eastAsia="zh-CN"/>
        </w:rPr>
        <w:t>和</w:t>
      </w:r>
      <w:r>
        <w:rPr>
          <w:rFonts w:hint="eastAsia"/>
          <w:spacing w:val="-5"/>
        </w:rPr>
        <w:t>商务数据分析方法与工具应用</w:t>
      </w:r>
      <w:r>
        <w:rPr>
          <w:rFonts w:hint="eastAsia"/>
          <w:spacing w:val="-5"/>
          <w:lang w:val="en-US" w:eastAsia="zh-CN"/>
        </w:rPr>
        <w:t>中数据采集分析处理等内容</w:t>
      </w:r>
      <w:r>
        <w:rPr>
          <w:rFonts w:hint="eastAsia"/>
          <w:spacing w:val="-4"/>
          <w:lang w:val="en-US" w:eastAsia="zh-CN"/>
        </w:rPr>
        <w:t>均由</w:t>
      </w:r>
      <w:r>
        <w:rPr>
          <w:spacing w:val="-4"/>
        </w:rPr>
        <w:t>比赛系统评分，评分结果自动计入总分。商务数据大屏作</w:t>
      </w:r>
      <w:r>
        <w:rPr>
          <w:spacing w:val="-3"/>
        </w:rPr>
        <w:t>品</w:t>
      </w:r>
      <w:r>
        <w:rPr>
          <w:rFonts w:hint="eastAsia"/>
          <w:spacing w:val="-3"/>
          <w:lang w:val="en-US" w:eastAsia="zh-CN"/>
        </w:rPr>
        <w:t>和</w:t>
      </w:r>
      <w:r>
        <w:rPr>
          <w:spacing w:val="-3"/>
        </w:rPr>
        <w:t>商务数据分析报告，经加密裁判对各参赛选手提交的材料进行第三次加密后，</w:t>
      </w:r>
      <w:r>
        <w:rPr>
          <w:spacing w:val="-1"/>
        </w:rPr>
        <w:t>评分裁判方可评判。</w:t>
      </w:r>
    </w:p>
    <w:p w14:paraId="00C40A0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1"/>
        <w:jc w:val="both"/>
        <w:textAlignment w:val="baseline"/>
      </w:pPr>
      <w:r>
        <w:rPr>
          <w:rFonts w:hint="eastAsia"/>
          <w:spacing w:val="-4"/>
          <w:lang w:val="en-US" w:eastAsia="zh-CN"/>
        </w:rPr>
        <w:t>第二模块的</w:t>
      </w:r>
      <w:r>
        <w:rPr>
          <w:rFonts w:hint="eastAsia"/>
          <w:spacing w:val="-3"/>
        </w:rPr>
        <w:t>综合展示讲解</w:t>
      </w:r>
      <w:r>
        <w:rPr>
          <w:spacing w:val="-4"/>
        </w:rPr>
        <w:t>则由评分裁判</w:t>
      </w:r>
      <w:r>
        <w:rPr>
          <w:rFonts w:hint="eastAsia"/>
          <w:spacing w:val="-4"/>
          <w:lang w:val="en-US" w:eastAsia="zh-CN"/>
        </w:rPr>
        <w:t>根据</w:t>
      </w:r>
      <w:r>
        <w:rPr>
          <w:spacing w:val="-4"/>
        </w:rPr>
        <w:t>参赛队伍的汇报</w:t>
      </w:r>
      <w:r>
        <w:rPr>
          <w:spacing w:val="-69"/>
        </w:rPr>
        <w:t xml:space="preserve"> </w:t>
      </w:r>
      <w:r>
        <w:rPr>
          <w:spacing w:val="-4"/>
        </w:rPr>
        <w:t>PPT</w:t>
      </w:r>
      <w:r>
        <w:rPr>
          <w:spacing w:val="-62"/>
        </w:rPr>
        <w:t xml:space="preserve"> </w:t>
      </w:r>
      <w:r>
        <w:rPr>
          <w:spacing w:val="-4"/>
        </w:rPr>
        <w:t>和</w:t>
      </w:r>
      <w:r>
        <w:rPr>
          <w:rFonts w:hint="eastAsia"/>
          <w:spacing w:val="-4"/>
          <w:lang w:val="en-US" w:eastAsia="zh-CN"/>
        </w:rPr>
        <w:t>现场</w:t>
      </w:r>
      <w:r>
        <w:rPr>
          <w:spacing w:val="-4"/>
        </w:rPr>
        <w:t>表现进行评分</w:t>
      </w:r>
      <w:r>
        <w:rPr>
          <w:rFonts w:hint="eastAsia"/>
          <w:spacing w:val="-4"/>
          <w:lang w:eastAsia="zh-CN"/>
        </w:rPr>
        <w:t>。</w:t>
      </w:r>
      <w:r>
        <w:rPr>
          <w:rFonts w:hint="eastAsia"/>
          <w:spacing w:val="-6"/>
        </w:rPr>
        <w:t>评分裁判采用百分制现场打分，按照“去掉一个最高分和一个最低分，其余分数计算平均值”规则，统计得出各参赛队得分。</w:t>
      </w:r>
    </w:p>
    <w:p w14:paraId="600F79E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3"/>
        <w:textAlignment w:val="baseline"/>
      </w:pPr>
      <w:r>
        <w:rPr>
          <w:spacing w:val="-10"/>
        </w:rPr>
        <w:t>3.成绩评定完成后，由记分员将解密后的</w:t>
      </w:r>
      <w:r>
        <w:rPr>
          <w:spacing w:val="-11"/>
        </w:rPr>
        <w:t>各参赛队伍（选手）</w:t>
      </w:r>
      <w:r>
        <w:rPr>
          <w:spacing w:val="-3"/>
        </w:rPr>
        <w:t>成绩汇总成最终成绩单，经裁判长、监督组签字后进行</w:t>
      </w:r>
      <w:r>
        <w:rPr>
          <w:spacing w:val="-4"/>
        </w:rPr>
        <w:t>公布。公</w:t>
      </w:r>
      <w:r>
        <w:rPr>
          <w:spacing w:val="1"/>
        </w:rPr>
        <w:t>布时间为2小时。无异议后由裁判长、仲裁组在成绩单上签</w:t>
      </w:r>
      <w:r>
        <w:rPr>
          <w:spacing w:val="-7"/>
        </w:rPr>
        <w:t>字。</w:t>
      </w:r>
    </w:p>
    <w:p w14:paraId="5182A28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7"/>
        <w:textAlignment w:val="baseline"/>
        <w:rPr>
          <w:spacing w:val="-3"/>
        </w:rPr>
      </w:pPr>
      <w:r>
        <w:rPr>
          <w:spacing w:val="-4"/>
        </w:rPr>
        <w:t>4.赛项中原始材料和最终成绩等材料，经监督仲裁组人员和裁判长签字后装袋密封留档</w:t>
      </w:r>
      <w:r>
        <w:rPr>
          <w:rFonts w:hint="eastAsia"/>
          <w:spacing w:val="-4"/>
          <w:lang w:eastAsia="zh-CN"/>
        </w:rPr>
        <w:t>，</w:t>
      </w:r>
      <w:r>
        <w:rPr>
          <w:spacing w:val="-4"/>
        </w:rPr>
        <w:t>并由赛项承办院校封存，委派专</w:t>
      </w:r>
      <w:r>
        <w:rPr>
          <w:spacing w:val="-3"/>
        </w:rPr>
        <w:t>人妥善保管。</w:t>
      </w:r>
    </w:p>
    <w:p w14:paraId="7306B11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7"/>
        <w:textAlignment w:val="baseline"/>
      </w:pPr>
      <w:r>
        <w:rPr>
          <w:spacing w:val="-1"/>
        </w:rPr>
        <w:t>5.其它未尽事宜，将在赛前向各领队做详细说明。</w:t>
      </w:r>
    </w:p>
    <w:p w14:paraId="5BC3977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8" w:firstLineChars="200"/>
        <w:textAlignment w:val="baseline"/>
        <w:outlineLvl w:val="1"/>
        <w:rPr>
          <w:b/>
          <w:bCs/>
          <w:spacing w:val="-6"/>
        </w:rPr>
      </w:pPr>
      <w:r>
        <w:rPr>
          <w:b/>
          <w:bCs/>
          <w:spacing w:val="-6"/>
        </w:rPr>
        <w:t>（七）其他</w:t>
      </w:r>
    </w:p>
    <w:p w14:paraId="61C89C9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4" w:firstLineChars="200"/>
        <w:textAlignment w:val="baseline"/>
        <w:outlineLvl w:val="9"/>
      </w:pPr>
      <w:r>
        <w:rPr>
          <w:spacing w:val="-4"/>
        </w:rPr>
        <w:t>竞赛规则以《</w:t>
      </w:r>
      <w:r>
        <w:rPr>
          <w:rFonts w:hint="eastAsia"/>
          <w:spacing w:val="-4"/>
          <w:lang w:val="en-US" w:eastAsia="zh-CN"/>
        </w:rPr>
        <w:t>全国</w:t>
      </w:r>
      <w:r>
        <w:rPr>
          <w:spacing w:val="-4"/>
        </w:rPr>
        <w:t>职业院校技能大赛章程》及</w:t>
      </w:r>
      <w:r>
        <w:rPr>
          <w:spacing w:val="-5"/>
        </w:rPr>
        <w:t>《</w:t>
      </w:r>
      <w:r>
        <w:rPr>
          <w:rFonts w:hint="eastAsia"/>
          <w:spacing w:val="-5"/>
          <w:lang w:val="en-US" w:eastAsia="zh-CN"/>
        </w:rPr>
        <w:t>世界</w:t>
      </w:r>
      <w:r>
        <w:rPr>
          <w:spacing w:val="-5"/>
        </w:rPr>
        <w:t>职业院</w:t>
      </w:r>
      <w:r>
        <w:rPr>
          <w:spacing w:val="-1"/>
        </w:rPr>
        <w:t>校技能大赛制度汇编》文件要求为准。</w:t>
      </w:r>
    </w:p>
    <w:p w14:paraId="17A5C8B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8" w:firstLineChars="200"/>
        <w:textAlignment w:val="baseline"/>
        <w:outlineLvl w:val="1"/>
        <w:rPr>
          <w:b/>
          <w:bCs/>
          <w:spacing w:val="-6"/>
        </w:rPr>
      </w:pPr>
      <w:r>
        <w:rPr>
          <w:b/>
          <w:bCs/>
          <w:spacing w:val="-6"/>
        </w:rPr>
        <w:t>六、技术环境</w:t>
      </w:r>
    </w:p>
    <w:p w14:paraId="03A4C08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8" w:firstLineChars="200"/>
        <w:textAlignment w:val="baseline"/>
        <w:outlineLvl w:val="1"/>
        <w:rPr>
          <w:b/>
          <w:bCs/>
          <w:spacing w:val="-6"/>
        </w:rPr>
      </w:pPr>
      <w:r>
        <w:rPr>
          <w:b/>
          <w:bCs/>
          <w:spacing w:val="-6"/>
        </w:rPr>
        <w:t>（一）比赛器材和技术平台</w:t>
      </w:r>
    </w:p>
    <w:tbl>
      <w:tblPr>
        <w:tblStyle w:val="7"/>
        <w:tblW w:w="863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0"/>
        <w:gridCol w:w="6598"/>
      </w:tblGrid>
      <w:tr w14:paraId="1A0E3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1" w:hRule="atLeast"/>
        </w:trPr>
        <w:tc>
          <w:tcPr>
            <w:tcW w:w="2040" w:type="dxa"/>
            <w:vAlign w:val="center"/>
          </w:tcPr>
          <w:p w14:paraId="5323B1F8">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21"/>
                <w:szCs w:val="21"/>
              </w:rPr>
            </w:pPr>
            <w:r>
              <w:rPr>
                <w:b/>
                <w:bCs/>
                <w:spacing w:val="-5"/>
                <w:sz w:val="21"/>
                <w:szCs w:val="21"/>
              </w:rPr>
              <w:t>品名</w:t>
            </w:r>
          </w:p>
        </w:tc>
        <w:tc>
          <w:tcPr>
            <w:tcW w:w="6598" w:type="dxa"/>
            <w:vAlign w:val="center"/>
          </w:tcPr>
          <w:p w14:paraId="2FAA901F">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21"/>
                <w:szCs w:val="21"/>
              </w:rPr>
            </w:pPr>
            <w:r>
              <w:rPr>
                <w:b/>
                <w:bCs/>
                <w:spacing w:val="6"/>
                <w:sz w:val="21"/>
                <w:szCs w:val="21"/>
              </w:rPr>
              <w:t>规格要求说明</w:t>
            </w:r>
          </w:p>
        </w:tc>
      </w:tr>
      <w:tr w14:paraId="30DA7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9" w:hRule="atLeast"/>
        </w:trPr>
        <w:tc>
          <w:tcPr>
            <w:tcW w:w="2040" w:type="dxa"/>
            <w:vAlign w:val="center"/>
          </w:tcPr>
          <w:p w14:paraId="1939BD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szCs w:val="21"/>
              </w:rPr>
            </w:pPr>
          </w:p>
          <w:p w14:paraId="370FC54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szCs w:val="21"/>
              </w:rPr>
            </w:pPr>
          </w:p>
          <w:p w14:paraId="0494D4C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szCs w:val="21"/>
              </w:rPr>
            </w:pPr>
          </w:p>
          <w:p w14:paraId="287241A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szCs w:val="21"/>
              </w:rPr>
            </w:pPr>
          </w:p>
          <w:p w14:paraId="3901BB9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szCs w:val="21"/>
              </w:rPr>
            </w:pPr>
          </w:p>
          <w:p w14:paraId="5C48440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szCs w:val="21"/>
              </w:rPr>
            </w:pPr>
          </w:p>
          <w:p w14:paraId="0053F2A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szCs w:val="21"/>
              </w:rPr>
            </w:pPr>
          </w:p>
          <w:p w14:paraId="040A67B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szCs w:val="21"/>
              </w:rPr>
            </w:pPr>
          </w:p>
          <w:p w14:paraId="4FE4533C">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21"/>
                <w:szCs w:val="21"/>
              </w:rPr>
            </w:pPr>
            <w:r>
              <w:rPr>
                <w:spacing w:val="-2"/>
                <w:sz w:val="21"/>
                <w:szCs w:val="21"/>
              </w:rPr>
              <w:t>参赛选手计算机</w:t>
            </w:r>
          </w:p>
        </w:tc>
        <w:tc>
          <w:tcPr>
            <w:tcW w:w="6598" w:type="dxa"/>
            <w:vAlign w:val="center"/>
          </w:tcPr>
          <w:p w14:paraId="6E386A1C">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sz w:val="21"/>
                <w:szCs w:val="21"/>
              </w:rPr>
            </w:pPr>
            <w:r>
              <w:rPr>
                <w:spacing w:val="-4"/>
                <w:sz w:val="21"/>
                <w:szCs w:val="21"/>
              </w:rPr>
              <w:t>1.硬件基本配置</w:t>
            </w:r>
          </w:p>
          <w:p w14:paraId="0C6C98D7">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sz w:val="21"/>
                <w:szCs w:val="21"/>
              </w:rPr>
            </w:pPr>
            <w:r>
              <w:rPr>
                <w:spacing w:val="-3"/>
                <w:sz w:val="21"/>
                <w:szCs w:val="21"/>
              </w:rPr>
              <w:t>（1）双核处理器</w:t>
            </w:r>
          </w:p>
          <w:p w14:paraId="55428DD7">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sz w:val="21"/>
                <w:szCs w:val="21"/>
              </w:rPr>
            </w:pPr>
            <w:r>
              <w:rPr>
                <w:spacing w:val="-9"/>
                <w:sz w:val="21"/>
                <w:szCs w:val="21"/>
              </w:rPr>
              <w:t>（2）8G内存</w:t>
            </w:r>
          </w:p>
          <w:p w14:paraId="57B1E0FC">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sz w:val="21"/>
                <w:szCs w:val="21"/>
              </w:rPr>
            </w:pPr>
            <w:r>
              <w:rPr>
                <w:spacing w:val="-3"/>
                <w:sz w:val="21"/>
                <w:szCs w:val="21"/>
              </w:rPr>
              <w:t>（3）500G硬盘</w:t>
            </w:r>
          </w:p>
          <w:p w14:paraId="660581BB">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sz w:val="21"/>
                <w:szCs w:val="21"/>
              </w:rPr>
            </w:pPr>
            <w:r>
              <w:rPr>
                <w:spacing w:val="-3"/>
                <w:sz w:val="21"/>
                <w:szCs w:val="21"/>
              </w:rPr>
              <w:t>（4）23.8寸LED显示器</w:t>
            </w:r>
          </w:p>
          <w:p w14:paraId="3804492C">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sz w:val="21"/>
                <w:szCs w:val="21"/>
              </w:rPr>
            </w:pPr>
            <w:r>
              <w:rPr>
                <w:spacing w:val="-2"/>
                <w:sz w:val="21"/>
                <w:szCs w:val="21"/>
              </w:rPr>
              <w:t>2.软件基本配置操作系统：</w:t>
            </w:r>
          </w:p>
          <w:p w14:paraId="3FAB4B23">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sz w:val="21"/>
                <w:szCs w:val="21"/>
              </w:rPr>
            </w:pPr>
            <w:r>
              <w:rPr>
                <w:spacing w:val="-1"/>
                <w:sz w:val="21"/>
                <w:szCs w:val="21"/>
              </w:rPr>
              <w:t>Windows10</w:t>
            </w:r>
            <w:r>
              <w:rPr>
                <w:spacing w:val="-48"/>
                <w:sz w:val="21"/>
                <w:szCs w:val="21"/>
              </w:rPr>
              <w:t xml:space="preserve"> </w:t>
            </w:r>
            <w:r>
              <w:rPr>
                <w:spacing w:val="-1"/>
                <w:sz w:val="21"/>
                <w:szCs w:val="21"/>
              </w:rPr>
              <w:t>旗舰版及以上</w:t>
            </w:r>
            <w:r>
              <w:rPr>
                <w:spacing w:val="-3"/>
                <w:sz w:val="21"/>
                <w:szCs w:val="21"/>
              </w:rPr>
              <w:t>软件要求：</w:t>
            </w:r>
          </w:p>
          <w:p w14:paraId="09A737BC">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sz w:val="21"/>
                <w:szCs w:val="21"/>
              </w:rPr>
            </w:pPr>
            <w:r>
              <w:rPr>
                <w:spacing w:val="-2"/>
                <w:sz w:val="21"/>
                <w:szCs w:val="21"/>
              </w:rPr>
              <w:t>Google Chrome</w:t>
            </w:r>
            <w:r>
              <w:rPr>
                <w:spacing w:val="13"/>
                <w:sz w:val="21"/>
                <w:szCs w:val="21"/>
              </w:rPr>
              <w:t xml:space="preserve"> </w:t>
            </w:r>
            <w:r>
              <w:rPr>
                <w:spacing w:val="-2"/>
                <w:sz w:val="21"/>
                <w:szCs w:val="21"/>
              </w:rPr>
              <w:t>浏览器</w:t>
            </w:r>
            <w:r>
              <w:rPr>
                <w:spacing w:val="-1"/>
                <w:sz w:val="21"/>
                <w:szCs w:val="21"/>
              </w:rPr>
              <w:t>WPS  Office</w:t>
            </w:r>
            <w:r>
              <w:rPr>
                <w:spacing w:val="12"/>
                <w:sz w:val="21"/>
                <w:szCs w:val="21"/>
              </w:rPr>
              <w:t xml:space="preserve"> </w:t>
            </w:r>
            <w:r>
              <w:rPr>
                <w:spacing w:val="-1"/>
                <w:sz w:val="21"/>
                <w:szCs w:val="21"/>
              </w:rPr>
              <w:t>2023</w:t>
            </w:r>
          </w:p>
          <w:p w14:paraId="58970B8F">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sz w:val="21"/>
                <w:szCs w:val="21"/>
              </w:rPr>
            </w:pPr>
            <w:r>
              <w:rPr>
                <w:spacing w:val="-4"/>
                <w:sz w:val="21"/>
                <w:szCs w:val="21"/>
              </w:rPr>
              <w:t>输入法工具（QQ</w:t>
            </w:r>
            <w:r>
              <w:rPr>
                <w:spacing w:val="-50"/>
                <w:sz w:val="21"/>
                <w:szCs w:val="21"/>
              </w:rPr>
              <w:t xml:space="preserve"> </w:t>
            </w:r>
            <w:r>
              <w:rPr>
                <w:spacing w:val="-4"/>
                <w:sz w:val="21"/>
                <w:szCs w:val="21"/>
              </w:rPr>
              <w:t>拼音、搜狗拼音、微软拼音、智能</w:t>
            </w:r>
            <w:r>
              <w:rPr>
                <w:spacing w:val="-58"/>
                <w:sz w:val="21"/>
                <w:szCs w:val="21"/>
              </w:rPr>
              <w:t xml:space="preserve"> </w:t>
            </w:r>
            <w:r>
              <w:rPr>
                <w:spacing w:val="-4"/>
                <w:sz w:val="21"/>
                <w:szCs w:val="21"/>
              </w:rPr>
              <w:t>AB</w:t>
            </w:r>
            <w:r>
              <w:rPr>
                <w:spacing w:val="-5"/>
                <w:sz w:val="21"/>
                <w:szCs w:val="21"/>
              </w:rPr>
              <w:t>C、万能</w:t>
            </w:r>
            <w:r>
              <w:rPr>
                <w:spacing w:val="-2"/>
                <w:sz w:val="21"/>
                <w:szCs w:val="21"/>
              </w:rPr>
              <w:t>五笔、英文等）</w:t>
            </w:r>
          </w:p>
          <w:p w14:paraId="40C18FCC">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sz w:val="21"/>
                <w:szCs w:val="21"/>
              </w:rPr>
            </w:pPr>
            <w:r>
              <w:rPr>
                <w:spacing w:val="-3"/>
                <w:sz w:val="21"/>
                <w:szCs w:val="21"/>
              </w:rPr>
              <w:t>截图工具</w:t>
            </w:r>
          </w:p>
        </w:tc>
      </w:tr>
      <w:tr w14:paraId="4A790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2040" w:type="dxa"/>
            <w:vAlign w:val="center"/>
          </w:tcPr>
          <w:p w14:paraId="0C34244C">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21"/>
                <w:szCs w:val="21"/>
              </w:rPr>
            </w:pPr>
            <w:r>
              <w:rPr>
                <w:spacing w:val="-5"/>
                <w:sz w:val="21"/>
                <w:szCs w:val="21"/>
              </w:rPr>
              <w:t>网络连接设备</w:t>
            </w:r>
          </w:p>
        </w:tc>
        <w:tc>
          <w:tcPr>
            <w:tcW w:w="6598" w:type="dxa"/>
            <w:vAlign w:val="center"/>
          </w:tcPr>
          <w:p w14:paraId="559B1F66">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sz w:val="21"/>
                <w:szCs w:val="21"/>
              </w:rPr>
            </w:pPr>
            <w:r>
              <w:rPr>
                <w:spacing w:val="-1"/>
                <w:sz w:val="21"/>
                <w:szCs w:val="21"/>
              </w:rPr>
              <w:t>提供网络布线、千兆交换机</w:t>
            </w:r>
          </w:p>
        </w:tc>
      </w:tr>
      <w:tr w14:paraId="49292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2040" w:type="dxa"/>
            <w:vAlign w:val="center"/>
          </w:tcPr>
          <w:p w14:paraId="446D32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szCs w:val="21"/>
              </w:rPr>
            </w:pPr>
          </w:p>
          <w:p w14:paraId="7ECCB907">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21"/>
                <w:szCs w:val="21"/>
              </w:rPr>
            </w:pPr>
            <w:r>
              <w:rPr>
                <w:spacing w:val="-3"/>
                <w:sz w:val="21"/>
                <w:szCs w:val="21"/>
              </w:rPr>
              <w:t>竞赛服务器</w:t>
            </w:r>
          </w:p>
        </w:tc>
        <w:tc>
          <w:tcPr>
            <w:tcW w:w="6598" w:type="dxa"/>
            <w:vAlign w:val="center"/>
          </w:tcPr>
          <w:p w14:paraId="6E050AF9">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sz w:val="21"/>
                <w:szCs w:val="21"/>
              </w:rPr>
            </w:pPr>
            <w:r>
              <w:rPr>
                <w:spacing w:val="-4"/>
                <w:sz w:val="21"/>
                <w:szCs w:val="21"/>
              </w:rPr>
              <w:t>1.硬件基本配置</w:t>
            </w:r>
          </w:p>
          <w:p w14:paraId="4FD2446A">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sz w:val="21"/>
                <w:szCs w:val="21"/>
              </w:rPr>
            </w:pPr>
            <w:r>
              <w:rPr>
                <w:spacing w:val="-3"/>
                <w:sz w:val="21"/>
                <w:szCs w:val="21"/>
              </w:rPr>
              <w:t>CPU：8</w:t>
            </w:r>
            <w:r>
              <w:rPr>
                <w:spacing w:val="-42"/>
                <w:sz w:val="21"/>
                <w:szCs w:val="21"/>
              </w:rPr>
              <w:t xml:space="preserve"> </w:t>
            </w:r>
            <w:r>
              <w:rPr>
                <w:spacing w:val="-3"/>
                <w:sz w:val="21"/>
                <w:szCs w:val="21"/>
              </w:rPr>
              <w:t>核E5或以上</w:t>
            </w:r>
          </w:p>
          <w:p w14:paraId="39D957C4">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spacing w:val="-6"/>
                <w:sz w:val="21"/>
                <w:szCs w:val="21"/>
              </w:rPr>
            </w:pPr>
            <w:r>
              <w:rPr>
                <w:spacing w:val="-6"/>
                <w:sz w:val="21"/>
                <w:szCs w:val="21"/>
              </w:rPr>
              <w:t>内存：32G或以上</w:t>
            </w:r>
          </w:p>
          <w:p w14:paraId="07DF8DAE">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sz w:val="21"/>
                <w:szCs w:val="21"/>
              </w:rPr>
            </w:pPr>
            <w:r>
              <w:rPr>
                <w:spacing w:val="-3"/>
                <w:sz w:val="21"/>
                <w:szCs w:val="21"/>
              </w:rPr>
              <w:t>硬盘：500G</w:t>
            </w:r>
            <w:r>
              <w:rPr>
                <w:spacing w:val="-41"/>
                <w:sz w:val="21"/>
                <w:szCs w:val="21"/>
              </w:rPr>
              <w:t xml:space="preserve"> </w:t>
            </w:r>
            <w:r>
              <w:rPr>
                <w:spacing w:val="-3"/>
                <w:sz w:val="21"/>
                <w:szCs w:val="21"/>
              </w:rPr>
              <w:t>或以上</w:t>
            </w:r>
          </w:p>
          <w:p w14:paraId="173CEBF2">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sz w:val="21"/>
                <w:szCs w:val="21"/>
              </w:rPr>
            </w:pPr>
            <w:r>
              <w:rPr>
                <w:spacing w:val="-2"/>
                <w:sz w:val="21"/>
                <w:szCs w:val="21"/>
              </w:rPr>
              <w:t>2.软件基本配置</w:t>
            </w:r>
          </w:p>
          <w:p w14:paraId="5D729FA3">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sz w:val="21"/>
                <w:szCs w:val="21"/>
              </w:rPr>
            </w:pPr>
            <w:r>
              <w:rPr>
                <w:sz w:val="21"/>
                <w:szCs w:val="21"/>
              </w:rPr>
              <w:t>Microsoft Windows Server2</w:t>
            </w:r>
            <w:r>
              <w:rPr>
                <w:spacing w:val="-1"/>
                <w:sz w:val="21"/>
                <w:szCs w:val="21"/>
              </w:rPr>
              <w:t>008</w:t>
            </w:r>
            <w:r>
              <w:rPr>
                <w:sz w:val="21"/>
                <w:szCs w:val="21"/>
              </w:rPr>
              <w:t xml:space="preserve"> </w:t>
            </w:r>
            <w:r>
              <w:rPr>
                <w:spacing w:val="-2"/>
                <w:sz w:val="21"/>
                <w:szCs w:val="21"/>
              </w:rPr>
              <w:t>R2_x64</w:t>
            </w:r>
          </w:p>
          <w:p w14:paraId="1974EB6C">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sz w:val="21"/>
                <w:szCs w:val="21"/>
              </w:rPr>
            </w:pPr>
            <w:r>
              <w:rPr>
                <w:spacing w:val="-3"/>
                <w:sz w:val="21"/>
                <w:szCs w:val="21"/>
              </w:rPr>
              <w:t>软件要求：</w:t>
            </w:r>
          </w:p>
          <w:p w14:paraId="69ECC287">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sz w:val="21"/>
                <w:szCs w:val="21"/>
              </w:rPr>
            </w:pPr>
            <w:r>
              <w:rPr>
                <w:spacing w:val="-1"/>
                <w:sz w:val="21"/>
                <w:szCs w:val="21"/>
              </w:rPr>
              <w:t>Microsoft  Office2016</w:t>
            </w:r>
            <w:r>
              <w:rPr>
                <w:spacing w:val="-37"/>
                <w:sz w:val="21"/>
                <w:szCs w:val="21"/>
              </w:rPr>
              <w:t xml:space="preserve"> </w:t>
            </w:r>
            <w:r>
              <w:rPr>
                <w:spacing w:val="-1"/>
                <w:sz w:val="21"/>
                <w:szCs w:val="21"/>
              </w:rPr>
              <w:t>简体中文版WinRAR 解压工具</w:t>
            </w:r>
          </w:p>
        </w:tc>
      </w:tr>
      <w:tr w14:paraId="2CFA5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2040" w:type="dxa"/>
            <w:vAlign w:val="center"/>
          </w:tcPr>
          <w:p w14:paraId="4A561059">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pacing w:val="-3"/>
                <w:sz w:val="21"/>
                <w:szCs w:val="21"/>
              </w:rPr>
            </w:pPr>
            <w:r>
              <w:rPr>
                <w:spacing w:val="-3"/>
                <w:sz w:val="21"/>
                <w:szCs w:val="21"/>
              </w:rPr>
              <w:t>技术平台</w:t>
            </w:r>
          </w:p>
        </w:tc>
        <w:tc>
          <w:tcPr>
            <w:tcW w:w="6598" w:type="dxa"/>
            <w:vAlign w:val="center"/>
          </w:tcPr>
          <w:p w14:paraId="29F4EC04">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sz w:val="21"/>
                <w:szCs w:val="21"/>
              </w:rPr>
            </w:pPr>
            <w:r>
              <w:rPr>
                <w:spacing w:val="-2"/>
                <w:sz w:val="21"/>
                <w:szCs w:val="21"/>
              </w:rPr>
              <w:t>商务数据分析竞赛平台</w:t>
            </w:r>
          </w:p>
          <w:p w14:paraId="451341D3">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sz w:val="21"/>
                <w:szCs w:val="21"/>
              </w:rPr>
            </w:pPr>
            <w:r>
              <w:rPr>
                <w:spacing w:val="-4"/>
                <w:sz w:val="21"/>
                <w:szCs w:val="21"/>
              </w:rPr>
              <w:t>采用竞赛云服务平台。要求平台的管理功能与竞赛管理要求完</w:t>
            </w:r>
            <w:r>
              <w:rPr>
                <w:spacing w:val="-10"/>
                <w:sz w:val="21"/>
                <w:szCs w:val="21"/>
              </w:rPr>
              <w:t>全匹配，平台与赛项设计内容完全匹配。</w:t>
            </w:r>
          </w:p>
          <w:p w14:paraId="07CF22AF">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
              <w:jc w:val="both"/>
              <w:textAlignment w:val="baseline"/>
              <w:rPr>
                <w:sz w:val="21"/>
                <w:szCs w:val="21"/>
              </w:rPr>
            </w:pPr>
            <w:r>
              <w:rPr>
                <w:spacing w:val="-4"/>
                <w:sz w:val="21"/>
                <w:szCs w:val="21"/>
              </w:rPr>
              <w:t>登录竞赛系统进行操作的处理能力实现快速响应，成功率达到100%赛场网络安全保障。赛场网络要屏蔽参赛选手一切与比赛</w:t>
            </w:r>
            <w:r>
              <w:rPr>
                <w:spacing w:val="-1"/>
                <w:sz w:val="21"/>
                <w:szCs w:val="21"/>
              </w:rPr>
              <w:t>无关的上网行为，同时禁止一切外部非授权访问。</w:t>
            </w:r>
          </w:p>
          <w:p w14:paraId="1EB8A106">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sz w:val="21"/>
                <w:szCs w:val="21"/>
              </w:rPr>
            </w:pPr>
            <w:r>
              <w:rPr>
                <w:spacing w:val="-4"/>
                <w:sz w:val="21"/>
                <w:szCs w:val="21"/>
              </w:rPr>
              <w:t>系统部署在云端虚拟专用网络，并采用防火墙及云盾确保网络</w:t>
            </w:r>
            <w:r>
              <w:rPr>
                <w:spacing w:val="-5"/>
                <w:sz w:val="21"/>
                <w:szCs w:val="21"/>
              </w:rPr>
              <w:t>安全。</w:t>
            </w:r>
          </w:p>
          <w:p w14:paraId="6DF26693">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
              <w:jc w:val="both"/>
              <w:textAlignment w:val="baseline"/>
              <w:rPr>
                <w:sz w:val="21"/>
                <w:szCs w:val="21"/>
              </w:rPr>
            </w:pPr>
            <w:r>
              <w:rPr>
                <w:spacing w:val="-4"/>
                <w:sz w:val="21"/>
                <w:szCs w:val="21"/>
              </w:rPr>
              <w:t>登录系统采用多次加密策略，只有在比赛现场才能开启。关键</w:t>
            </w:r>
            <w:r>
              <w:rPr>
                <w:spacing w:val="-1"/>
                <w:sz w:val="21"/>
                <w:szCs w:val="21"/>
              </w:rPr>
              <w:t>信息数据采用加密存储及传输运行监控。</w:t>
            </w:r>
          </w:p>
          <w:p w14:paraId="78BD9913">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spacing w:val="-1"/>
                <w:sz w:val="21"/>
                <w:szCs w:val="21"/>
              </w:rPr>
            </w:pPr>
            <w:r>
              <w:rPr>
                <w:spacing w:val="-4"/>
                <w:sz w:val="21"/>
                <w:szCs w:val="21"/>
              </w:rPr>
              <w:t>采用现场监控和后台数据同步监听的方式，赛场采用全方位视频监控，后台监控系统实时监听，系统可对现场出现的异常情</w:t>
            </w:r>
            <w:r>
              <w:rPr>
                <w:spacing w:val="-2"/>
                <w:sz w:val="21"/>
                <w:szCs w:val="21"/>
              </w:rPr>
              <w:t>况进行快速处理。</w:t>
            </w:r>
          </w:p>
        </w:tc>
      </w:tr>
    </w:tbl>
    <w:p w14:paraId="33C25DD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Arial"/>
          <w:sz w:val="2"/>
        </w:rPr>
      </w:pPr>
    </w:p>
    <w:p w14:paraId="274A5BE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8" w:firstLineChars="200"/>
        <w:textAlignment w:val="baseline"/>
        <w:outlineLvl w:val="1"/>
        <w:rPr>
          <w:b/>
          <w:bCs/>
          <w:spacing w:val="-6"/>
        </w:rPr>
      </w:pPr>
      <w:r>
        <w:rPr>
          <w:b/>
          <w:bCs/>
          <w:spacing w:val="-6"/>
        </w:rPr>
        <w:t>（二）场地要求</w:t>
      </w:r>
    </w:p>
    <w:p w14:paraId="3D2F17C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2"/>
        <w:textAlignment w:val="baseline"/>
      </w:pPr>
      <w:r>
        <w:rPr>
          <w:spacing w:val="-5"/>
        </w:rPr>
        <w:t>1.赛场各赛位统一使用清晰的工位标识，一个参赛队一个机</w:t>
      </w:r>
      <w:r>
        <w:rPr>
          <w:spacing w:val="-2"/>
        </w:rPr>
        <w:t>位，每个机位</w:t>
      </w:r>
      <w:r>
        <w:rPr>
          <w:rFonts w:hint="eastAsia"/>
          <w:spacing w:val="-2"/>
          <w:lang w:val="en-US" w:eastAsia="zh-CN"/>
        </w:rPr>
        <w:t>四</w:t>
      </w:r>
      <w:r>
        <w:rPr>
          <w:spacing w:val="-2"/>
        </w:rPr>
        <w:t>台电脑，其中一台备用，两张桌子，</w:t>
      </w:r>
      <w:r>
        <w:rPr>
          <w:rFonts w:hint="eastAsia"/>
          <w:spacing w:val="-2"/>
          <w:lang w:val="en-US" w:eastAsia="zh-CN"/>
        </w:rPr>
        <w:t>四</w:t>
      </w:r>
      <w:r>
        <w:rPr>
          <w:spacing w:val="-3"/>
        </w:rPr>
        <w:t>把椅子</w:t>
      </w:r>
      <w:r>
        <w:rPr>
          <w:rFonts w:hint="eastAsia"/>
          <w:spacing w:val="-3"/>
          <w:lang w:eastAsia="zh-CN"/>
        </w:rPr>
        <w:t>。</w:t>
      </w:r>
    </w:p>
    <w:p w14:paraId="52CDECD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3"/>
        <w:textAlignment w:val="baseline"/>
      </w:pPr>
      <w:r>
        <w:rPr>
          <w:spacing w:val="-3"/>
        </w:rPr>
        <w:t>2.汇报场地。汇报场地为每组设置汇报室、准备室</w:t>
      </w:r>
      <w:r>
        <w:rPr>
          <w:spacing w:val="-4"/>
        </w:rPr>
        <w:t>。汇报室配备多媒体设备及录音录像设备</w:t>
      </w:r>
      <w:r>
        <w:rPr>
          <w:spacing w:val="-1"/>
        </w:rPr>
        <w:t>。</w:t>
      </w:r>
    </w:p>
    <w:p w14:paraId="132ACFC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3"/>
        <w:textAlignment w:val="baseline"/>
      </w:pPr>
      <w:r>
        <w:rPr>
          <w:spacing w:val="-3"/>
        </w:rPr>
        <w:t>3.安全保障。采用统一的杀毒软件对服务器进行防毒保护。</w:t>
      </w:r>
      <w:r>
        <w:rPr>
          <w:spacing w:val="-4"/>
        </w:rPr>
        <w:t>屏蔽竞赛现场使用的电脑</w:t>
      </w:r>
      <w:r>
        <w:rPr>
          <w:spacing w:val="-70"/>
        </w:rPr>
        <w:t xml:space="preserve"> </w:t>
      </w:r>
      <w:r>
        <w:rPr>
          <w:spacing w:val="-4"/>
        </w:rPr>
        <w:t>USB</w:t>
      </w:r>
      <w:r>
        <w:rPr>
          <w:spacing w:val="-64"/>
        </w:rPr>
        <w:t xml:space="preserve"> </w:t>
      </w:r>
      <w:r>
        <w:rPr>
          <w:spacing w:val="-4"/>
        </w:rPr>
        <w:t>接口。部署具</w:t>
      </w:r>
      <w:r>
        <w:rPr>
          <w:spacing w:val="-5"/>
        </w:rPr>
        <w:t>有网络管理、账号管</w:t>
      </w:r>
      <w:r>
        <w:rPr>
          <w:spacing w:val="-1"/>
        </w:rPr>
        <w:t>理和日志管理功能的综合监控系统。</w:t>
      </w:r>
    </w:p>
    <w:p w14:paraId="37EC6F2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8" w:firstLineChars="200"/>
        <w:textAlignment w:val="baseline"/>
        <w:outlineLvl w:val="1"/>
        <w:rPr>
          <w:b/>
          <w:bCs/>
          <w:spacing w:val="-6"/>
        </w:rPr>
      </w:pPr>
      <w:r>
        <w:rPr>
          <w:b/>
          <w:bCs/>
          <w:spacing w:val="-6"/>
        </w:rPr>
        <w:t>七、竞赛样题</w:t>
      </w:r>
    </w:p>
    <w:p w14:paraId="19D1544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8" w:firstLineChars="200"/>
        <w:textAlignment w:val="baseline"/>
        <w:outlineLvl w:val="1"/>
        <w:rPr>
          <w:b/>
          <w:bCs/>
          <w:spacing w:val="-6"/>
        </w:rPr>
      </w:pPr>
      <w:r>
        <w:rPr>
          <w:b/>
          <w:bCs/>
          <w:spacing w:val="-6"/>
        </w:rPr>
        <w:t>（一）赛题内容</w:t>
      </w:r>
    </w:p>
    <w:p w14:paraId="079F158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3"/>
        <w:jc w:val="both"/>
        <w:textAlignment w:val="baseline"/>
      </w:pPr>
      <w:r>
        <w:rPr>
          <w:rFonts w:hint="eastAsia"/>
          <w:spacing w:val="-4"/>
          <w:lang w:val="en-US" w:eastAsia="zh-CN"/>
        </w:rPr>
        <w:t>主要考察</w:t>
      </w:r>
      <w:r>
        <w:rPr>
          <w:spacing w:val="-4"/>
        </w:rPr>
        <w:t>数据思维与职业素养考察</w:t>
      </w:r>
      <w:r>
        <w:rPr>
          <w:rFonts w:hint="eastAsia"/>
          <w:spacing w:val="-4"/>
          <w:lang w:eastAsia="zh-CN"/>
        </w:rPr>
        <w:t>；</w:t>
      </w:r>
      <w:r>
        <w:rPr>
          <w:spacing w:val="-4"/>
        </w:rPr>
        <w:t>从产品、客户、竞争</w:t>
      </w:r>
      <w:r>
        <w:rPr>
          <w:spacing w:val="-5"/>
        </w:rPr>
        <w:t>对手、供应</w:t>
      </w:r>
      <w:r>
        <w:rPr>
          <w:spacing w:val="-4"/>
        </w:rPr>
        <w:t>链、营销推广等维度完成经营数据采集与处理、经营数据分析与可视化、商务数据分析报告撰写</w:t>
      </w:r>
      <w:r>
        <w:rPr>
          <w:spacing w:val="-2"/>
        </w:rPr>
        <w:t>等任务。</w:t>
      </w:r>
    </w:p>
    <w:p w14:paraId="5E22438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1"/>
        <w:textAlignment w:val="baseline"/>
      </w:pPr>
      <w:r>
        <w:rPr>
          <w:spacing w:val="-4"/>
        </w:rPr>
        <w:t>考察点主要包括商务数据采集、清洗、分析与</w:t>
      </w:r>
      <w:r>
        <w:rPr>
          <w:spacing w:val="-5"/>
        </w:rPr>
        <w:t>可视化的流</w:t>
      </w:r>
      <w:r>
        <w:rPr>
          <w:spacing w:val="-2"/>
        </w:rPr>
        <w:t>程、方法和工具、商务数据分析应用等方面的知识及实践</w:t>
      </w:r>
      <w:r>
        <w:rPr>
          <w:spacing w:val="-3"/>
        </w:rPr>
        <w:t>能力。</w:t>
      </w:r>
    </w:p>
    <w:p w14:paraId="62312FE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8" w:firstLineChars="200"/>
        <w:textAlignment w:val="baseline"/>
        <w:outlineLvl w:val="1"/>
        <w:rPr>
          <w:b/>
          <w:bCs/>
          <w:spacing w:val="-6"/>
        </w:rPr>
      </w:pPr>
      <w:r>
        <w:rPr>
          <w:b/>
          <w:bCs/>
          <w:spacing w:val="-6"/>
        </w:rPr>
        <w:t>（</w:t>
      </w:r>
      <w:r>
        <w:rPr>
          <w:rFonts w:hint="eastAsia"/>
          <w:b/>
          <w:bCs/>
          <w:spacing w:val="-6"/>
          <w:lang w:val="en-US" w:eastAsia="zh-CN"/>
        </w:rPr>
        <w:t>二</w:t>
      </w:r>
      <w:r>
        <w:rPr>
          <w:b/>
          <w:bCs/>
          <w:spacing w:val="-6"/>
        </w:rPr>
        <w:t>）样题类型</w:t>
      </w:r>
    </w:p>
    <w:p w14:paraId="11231E7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8" w:firstLineChars="200"/>
        <w:textAlignment w:val="baseline"/>
      </w:pPr>
      <w:r>
        <w:rPr>
          <w:spacing w:val="-3"/>
        </w:rPr>
        <w:t>1.试题类型一</w:t>
      </w:r>
    </w:p>
    <w:p w14:paraId="5F890F0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16" w:firstLineChars="200"/>
        <w:textAlignment w:val="baseline"/>
      </w:pPr>
      <w:r>
        <w:rPr>
          <w:spacing w:val="4"/>
        </w:rPr>
        <w:t>试题采用单选题、多选题和判断题等题型</w:t>
      </w:r>
      <w:r>
        <w:rPr>
          <w:rFonts w:hint="eastAsia"/>
          <w:spacing w:val="4"/>
          <w:lang w:eastAsia="zh-CN"/>
        </w:rPr>
        <w:t>，</w:t>
      </w:r>
      <w:r>
        <w:rPr>
          <w:rFonts w:hint="eastAsia"/>
          <w:spacing w:val="4"/>
          <w:lang w:val="en-US" w:eastAsia="zh-CN"/>
        </w:rPr>
        <w:t>其中</w:t>
      </w:r>
      <w:r>
        <w:rPr>
          <w:spacing w:val="4"/>
        </w:rPr>
        <w:t>单选</w:t>
      </w:r>
      <w:r>
        <w:rPr>
          <w:spacing w:val="3"/>
        </w:rPr>
        <w:t>题</w:t>
      </w:r>
      <w:r>
        <w:rPr>
          <w:spacing w:val="-56"/>
        </w:rPr>
        <w:t xml:space="preserve"> </w:t>
      </w:r>
      <w:r>
        <w:rPr>
          <w:spacing w:val="3"/>
        </w:rPr>
        <w:t>30题，</w:t>
      </w:r>
      <w:r>
        <w:rPr>
          <w:spacing w:val="-2"/>
        </w:rPr>
        <w:t>每题</w:t>
      </w:r>
      <w:r>
        <w:rPr>
          <w:spacing w:val="-55"/>
        </w:rPr>
        <w:t xml:space="preserve"> </w:t>
      </w:r>
      <w:r>
        <w:rPr>
          <w:spacing w:val="-2"/>
        </w:rPr>
        <w:t>0.4</w:t>
      </w:r>
      <w:r>
        <w:rPr>
          <w:spacing w:val="-3"/>
        </w:rPr>
        <w:t>分</w:t>
      </w:r>
      <w:r>
        <w:rPr>
          <w:rFonts w:hint="eastAsia"/>
          <w:spacing w:val="-3"/>
          <w:lang w:eastAsia="zh-CN"/>
        </w:rPr>
        <w:t>；</w:t>
      </w:r>
      <w:r>
        <w:rPr>
          <w:spacing w:val="-2"/>
        </w:rPr>
        <w:t>多选题</w:t>
      </w:r>
      <w:r>
        <w:rPr>
          <w:spacing w:val="-34"/>
        </w:rPr>
        <w:t xml:space="preserve"> </w:t>
      </w:r>
      <w:r>
        <w:rPr>
          <w:spacing w:val="-2"/>
        </w:rPr>
        <w:t>10</w:t>
      </w:r>
      <w:r>
        <w:rPr>
          <w:spacing w:val="-58"/>
        </w:rPr>
        <w:t xml:space="preserve"> </w:t>
      </w:r>
      <w:r>
        <w:rPr>
          <w:spacing w:val="-2"/>
        </w:rPr>
        <w:t>题，</w:t>
      </w:r>
      <w:r>
        <w:rPr>
          <w:spacing w:val="-3"/>
        </w:rPr>
        <w:t>每题</w:t>
      </w:r>
      <w:r>
        <w:rPr>
          <w:spacing w:val="-34"/>
        </w:rPr>
        <w:t xml:space="preserve"> </w:t>
      </w:r>
      <w:r>
        <w:rPr>
          <w:spacing w:val="-3"/>
        </w:rPr>
        <w:t>1</w:t>
      </w:r>
      <w:r>
        <w:rPr>
          <w:spacing w:val="-57"/>
        </w:rPr>
        <w:t xml:space="preserve"> </w:t>
      </w:r>
      <w:r>
        <w:rPr>
          <w:spacing w:val="-3"/>
        </w:rPr>
        <w:t>分</w:t>
      </w:r>
      <w:r>
        <w:rPr>
          <w:rFonts w:hint="eastAsia"/>
          <w:spacing w:val="-3"/>
          <w:lang w:eastAsia="zh-CN"/>
        </w:rPr>
        <w:t>；</w:t>
      </w:r>
      <w:r>
        <w:rPr>
          <w:spacing w:val="-2"/>
        </w:rPr>
        <w:t>判断题</w:t>
      </w:r>
      <w:r>
        <w:rPr>
          <w:spacing w:val="-34"/>
        </w:rPr>
        <w:t xml:space="preserve"> </w:t>
      </w:r>
      <w:r>
        <w:rPr>
          <w:spacing w:val="-2"/>
        </w:rPr>
        <w:t>10</w:t>
      </w:r>
      <w:r>
        <w:rPr>
          <w:spacing w:val="-60"/>
        </w:rPr>
        <w:t xml:space="preserve"> </w:t>
      </w:r>
      <w:r>
        <w:rPr>
          <w:spacing w:val="-2"/>
        </w:rPr>
        <w:t>题，</w:t>
      </w:r>
      <w:r>
        <w:rPr>
          <w:spacing w:val="-3"/>
        </w:rPr>
        <w:t>每题</w:t>
      </w:r>
      <w:r>
        <w:rPr>
          <w:spacing w:val="-59"/>
        </w:rPr>
        <w:t xml:space="preserve"> </w:t>
      </w:r>
      <w:r>
        <w:rPr>
          <w:spacing w:val="-3"/>
        </w:rPr>
        <w:t>0.3</w:t>
      </w:r>
      <w:r>
        <w:rPr>
          <w:spacing w:val="-56"/>
        </w:rPr>
        <w:t xml:space="preserve"> </w:t>
      </w:r>
      <w:r>
        <w:rPr>
          <w:spacing w:val="-3"/>
        </w:rPr>
        <w:t>分</w:t>
      </w:r>
      <w:r>
        <w:rPr>
          <w:rFonts w:hint="eastAsia"/>
          <w:spacing w:val="-3"/>
          <w:lang w:eastAsia="zh-CN"/>
        </w:rPr>
        <w:t>，</w:t>
      </w:r>
      <w:r>
        <w:rPr>
          <w:spacing w:val="-3"/>
        </w:rPr>
        <w:t>总分</w:t>
      </w:r>
      <w:r>
        <w:rPr>
          <w:spacing w:val="-58"/>
        </w:rPr>
        <w:t xml:space="preserve"> </w:t>
      </w:r>
      <w:r>
        <w:rPr>
          <w:spacing w:val="-3"/>
        </w:rPr>
        <w:t>25</w:t>
      </w:r>
      <w:r>
        <w:rPr>
          <w:spacing w:val="-59"/>
        </w:rPr>
        <w:t xml:space="preserve"> </w:t>
      </w:r>
      <w:r>
        <w:rPr>
          <w:spacing w:val="-3"/>
        </w:rPr>
        <w:t>分</w:t>
      </w:r>
      <w:r>
        <w:rPr>
          <w:rFonts w:hint="eastAsia"/>
          <w:spacing w:val="-3"/>
          <w:lang w:eastAsia="zh-CN"/>
        </w:rPr>
        <w:t>。</w:t>
      </w:r>
    </w:p>
    <w:p w14:paraId="6A972E9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8" w:firstLineChars="200"/>
        <w:textAlignment w:val="baseline"/>
      </w:pPr>
      <w:r>
        <w:rPr>
          <w:spacing w:val="-3"/>
        </w:rPr>
        <w:t>2.试题类型二</w:t>
      </w:r>
    </w:p>
    <w:p w14:paraId="6F2C8A6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6" w:firstLineChars="200"/>
        <w:textAlignment w:val="baseline"/>
      </w:pPr>
      <w:r>
        <w:rPr>
          <w:spacing w:val="-1"/>
        </w:rPr>
        <w:t>试题采用</w:t>
      </w:r>
      <w:r>
        <w:rPr>
          <w:spacing w:val="-58"/>
        </w:rPr>
        <w:t xml:space="preserve"> </w:t>
      </w:r>
      <w:r>
        <w:rPr>
          <w:spacing w:val="-1"/>
        </w:rPr>
        <w:t>Python</w:t>
      </w:r>
      <w:r>
        <w:rPr>
          <w:spacing w:val="-56"/>
        </w:rPr>
        <w:t xml:space="preserve"> </w:t>
      </w:r>
      <w:r>
        <w:rPr>
          <w:spacing w:val="-1"/>
        </w:rPr>
        <w:t>实操题、BI</w:t>
      </w:r>
      <w:r>
        <w:rPr>
          <w:spacing w:val="-59"/>
        </w:rPr>
        <w:t xml:space="preserve"> </w:t>
      </w:r>
      <w:r>
        <w:rPr>
          <w:spacing w:val="-1"/>
        </w:rPr>
        <w:t>工具实操题、EXCEL</w:t>
      </w:r>
      <w:r>
        <w:rPr>
          <w:spacing w:val="-53"/>
        </w:rPr>
        <w:t xml:space="preserve"> </w:t>
      </w:r>
      <w:r>
        <w:rPr>
          <w:spacing w:val="-1"/>
        </w:rPr>
        <w:t>实操题，</w:t>
      </w:r>
      <w:r>
        <w:rPr>
          <w:spacing w:val="-4"/>
        </w:rPr>
        <w:t>根据题目要求进行数据采集、清洗、分析与可视化。团队成员分</w:t>
      </w:r>
      <w:r>
        <w:rPr>
          <w:spacing w:val="-2"/>
        </w:rPr>
        <w:t>工合作完成。</w:t>
      </w:r>
    </w:p>
    <w:p w14:paraId="4EED359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pPr>
      <w:r>
        <w:rPr>
          <w:spacing w:val="-1"/>
        </w:rPr>
        <w:t>【任务描述】</w:t>
      </w:r>
    </w:p>
    <w:p w14:paraId="2C57EEB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2" w:firstLineChars="200"/>
        <w:jc w:val="both"/>
        <w:textAlignment w:val="baseline"/>
      </w:pPr>
      <w:r>
        <w:rPr>
          <w:spacing w:val="8"/>
        </w:rPr>
        <w:t>鹏飞电子商务公司是一家专注于网络贸易的</w:t>
      </w:r>
      <w:r>
        <w:rPr>
          <w:spacing w:val="7"/>
        </w:rPr>
        <w:t>公司，成立于</w:t>
      </w:r>
      <w:r>
        <w:rPr>
          <w:spacing w:val="3"/>
        </w:rPr>
        <w:t>2015</w:t>
      </w:r>
      <w:r>
        <w:rPr>
          <w:spacing w:val="-46"/>
        </w:rPr>
        <w:t xml:space="preserve"> </w:t>
      </w:r>
      <w:r>
        <w:rPr>
          <w:spacing w:val="3"/>
        </w:rPr>
        <w:t>年，主要销售电子产品、家居用品、服装鞋帽、礼品饰品</w:t>
      </w:r>
      <w:r>
        <w:rPr>
          <w:spacing w:val="-4"/>
        </w:rPr>
        <w:t>等品类。在过去几年中，通过线上商城和多媒体渠道合作推广优化，不断扩大市场份额，提高产品质量和服务水平，并保持与供</w:t>
      </w:r>
      <w:r>
        <w:rPr>
          <w:spacing w:val="-1"/>
        </w:rPr>
        <w:t>应商和客户的良好合作关系。</w:t>
      </w:r>
    </w:p>
    <w:p w14:paraId="77DFD45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4" w:firstLineChars="200"/>
        <w:jc w:val="both"/>
        <w:textAlignment w:val="baseline"/>
      </w:pPr>
      <w:r>
        <w:rPr>
          <w:spacing w:val="-4"/>
        </w:rPr>
        <w:t>近两年，该公司遭遇到了日益激烈的市场竞争和不断变</w:t>
      </w:r>
      <w:r>
        <w:rPr>
          <w:spacing w:val="-5"/>
        </w:rPr>
        <w:t>化的</w:t>
      </w:r>
      <w:r>
        <w:t>客户需求，公司在</w:t>
      </w:r>
      <w:r>
        <w:rPr>
          <w:spacing w:val="-48"/>
        </w:rPr>
        <w:t xml:space="preserve"> </w:t>
      </w:r>
      <w:r>
        <w:t>2020</w:t>
      </w:r>
      <w:r>
        <w:rPr>
          <w:spacing w:val="-59"/>
        </w:rPr>
        <w:t xml:space="preserve"> </w:t>
      </w:r>
      <w:r>
        <w:t>年主力商品销售额下降、仓储中心库存</w:t>
      </w:r>
      <w:r>
        <w:rPr>
          <w:spacing w:val="-4"/>
        </w:rPr>
        <w:t>积压、市场推广效果持续不佳。为了应对竞争挑战，公司于2020年成立了商务数据分析部门，通过采集、处理、分析、商品、客户、供应商、竞争对手、营销推广等方面的数据，进行商品同类竞争态势、替代品竞争、四类客户群体分析、供应链风险、营销</w:t>
      </w:r>
      <w:r>
        <w:rPr>
          <w:spacing w:val="-2"/>
        </w:rPr>
        <w:t>推广效果等分析与可视化呈现，发现问题，寻找业务发</w:t>
      </w:r>
      <w:r>
        <w:rPr>
          <w:spacing w:val="-3"/>
        </w:rPr>
        <w:t>展规律</w:t>
      </w:r>
      <w:r>
        <w:rPr>
          <w:rFonts w:hint="eastAsia"/>
          <w:spacing w:val="-3"/>
          <w:lang w:eastAsia="zh-CN"/>
        </w:rPr>
        <w:t>。</w:t>
      </w:r>
    </w:p>
    <w:p w14:paraId="5590113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pPr>
      <w:r>
        <w:rPr>
          <w:spacing w:val="-1"/>
        </w:rPr>
        <w:t>【任务要求】</w:t>
      </w:r>
    </w:p>
    <w:p w14:paraId="476BD64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2" w:firstLineChars="200"/>
        <w:jc w:val="both"/>
        <w:textAlignment w:val="baseline"/>
      </w:pPr>
      <w:r>
        <w:rPr>
          <w:spacing w:val="8"/>
        </w:rPr>
        <w:t>鹏飞电子商务公司线上运营部门近期打算开</w:t>
      </w:r>
      <w:r>
        <w:rPr>
          <w:spacing w:val="7"/>
        </w:rPr>
        <w:t>发一系列小众</w:t>
      </w:r>
      <w:r>
        <w:rPr>
          <w:spacing w:val="-4"/>
        </w:rPr>
        <w:t>的新商品，需要商务数据分析部门对近期市场的热度商品进行相关数据采集。本次采集的商品数据包括来自企业的商品相关数据</w:t>
      </w:r>
      <w:r>
        <w:rPr>
          <w:spacing w:val="1"/>
        </w:rPr>
        <w:t>表，请将</w:t>
      </w:r>
      <w:r>
        <w:rPr>
          <w:spacing w:val="-66"/>
        </w:rPr>
        <w:t xml:space="preserve"> </w:t>
      </w:r>
      <w:r>
        <w:t>Python</w:t>
      </w:r>
      <w:r>
        <w:rPr>
          <w:spacing w:val="-64"/>
        </w:rPr>
        <w:t xml:space="preserve"> </w:t>
      </w:r>
      <w:r>
        <w:rPr>
          <w:spacing w:val="1"/>
        </w:rPr>
        <w:t>采集程序补充完整，使其运行时，可以搜</w:t>
      </w:r>
      <w:r>
        <w:t>集网</w:t>
      </w:r>
      <w:r>
        <w:rPr>
          <w:spacing w:val="6"/>
        </w:rPr>
        <w:t>页中符合条件的商品数据，并将数据全部采集到</w:t>
      </w:r>
      <w:r>
        <w:rPr>
          <w:spacing w:val="-59"/>
        </w:rPr>
        <w:t xml:space="preserve"> </w:t>
      </w:r>
      <w:r>
        <w:t>CSV</w:t>
      </w:r>
      <w:r>
        <w:rPr>
          <w:spacing w:val="-53"/>
        </w:rPr>
        <w:t xml:space="preserve"> </w:t>
      </w:r>
      <w:r>
        <w:rPr>
          <w:spacing w:val="5"/>
        </w:rPr>
        <w:t>文件中保</w:t>
      </w:r>
      <w:r>
        <w:rPr>
          <w:spacing w:val="-6"/>
        </w:rPr>
        <w:t>存。</w:t>
      </w:r>
    </w:p>
    <w:p w14:paraId="69BF7F4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6" w:firstLineChars="200"/>
        <w:textAlignment w:val="baseline"/>
      </w:pPr>
      <w:r>
        <w:rPr>
          <w:spacing w:val="-1"/>
        </w:rPr>
        <w:t>（1）能根据企业运营需求，确定数据采集维度、</w:t>
      </w:r>
      <w:r>
        <w:rPr>
          <w:spacing w:val="-2"/>
        </w:rPr>
        <w:t>指标。</w:t>
      </w:r>
    </w:p>
    <w:p w14:paraId="50BF3CC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6" w:firstLineChars="200"/>
        <w:textAlignment w:val="baseline"/>
        <w:rPr>
          <w:spacing w:val="-1"/>
        </w:rPr>
      </w:pPr>
      <w:r>
        <w:rPr>
          <w:spacing w:val="-1"/>
        </w:rPr>
        <w:t>（2）能根据数据源，准确定位数据指标，通过 Python 完成商品数据采集。</w:t>
      </w:r>
    </w:p>
    <w:p w14:paraId="1D5BED2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6" w:firstLineChars="200"/>
        <w:textAlignment w:val="baseline"/>
        <w:rPr>
          <w:spacing w:val="-1"/>
        </w:rPr>
      </w:pPr>
      <w:r>
        <w:rPr>
          <w:spacing w:val="-1"/>
        </w:rPr>
        <w:t>（3）能根据采集目的，使用 Python 对采集到的商品数据进行简单的数据清洗和计算。</w:t>
      </w:r>
    </w:p>
    <w:p w14:paraId="57DC648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pPr>
      <w:r>
        <w:rPr>
          <w:spacing w:val="-1"/>
        </w:rPr>
        <w:t>【操作过程】</w:t>
      </w:r>
    </w:p>
    <w:p w14:paraId="661F560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6" w:firstLineChars="200"/>
        <w:textAlignment w:val="baseline"/>
        <w:rPr>
          <w:spacing w:val="-1"/>
        </w:rPr>
      </w:pPr>
      <w:r>
        <w:rPr>
          <w:spacing w:val="-1"/>
        </w:rPr>
        <w:t>（1）查看给定的网页数据表，通过浏览器开发者工具查看页面代码，定位需要采集的字段，关键词展现量不低于 1000，同时转化率不低于2%。</w:t>
      </w:r>
    </w:p>
    <w:p w14:paraId="22DE476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6" w:firstLineChars="200"/>
        <w:textAlignment w:val="baseline"/>
        <w:rPr>
          <w:spacing w:val="-1"/>
        </w:rPr>
      </w:pPr>
      <w:r>
        <w:rPr>
          <w:spacing w:val="-1"/>
        </w:rPr>
        <w:t>（2）采集保存的关键词数据中，点击率和转化率需要保留2 位小数。</w:t>
      </w:r>
    </w:p>
    <w:p w14:paraId="1A0228E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6" w:firstLineChars="200"/>
        <w:textAlignment w:val="baseline"/>
        <w:rPr>
          <w:spacing w:val="-1"/>
        </w:rPr>
      </w:pPr>
      <w:r>
        <w:rPr>
          <w:spacing w:val="-1"/>
        </w:rPr>
        <w:t>（3）通过分析，梳理出 Python 程序的主要函数功能及逻辑。</w:t>
      </w:r>
    </w:p>
    <w:p w14:paraId="6206D75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6" w:firstLineChars="200"/>
        <w:textAlignment w:val="baseline"/>
        <w:rPr>
          <w:spacing w:val="-1"/>
        </w:rPr>
      </w:pPr>
      <w:r>
        <w:rPr>
          <w:spacing w:val="-1"/>
        </w:rPr>
        <w:t>（4）补充编写正确的 Python 程序，使用 Request 库访问网页，使用Bs4 库解析页面代码，提取网页数据，完成商品数据的采集工作。</w:t>
      </w:r>
    </w:p>
    <w:p w14:paraId="3E80AC8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6" w:firstLineChars="200"/>
        <w:textAlignment w:val="baseline"/>
        <w:rPr>
          <w:spacing w:val="-1"/>
        </w:rPr>
      </w:pPr>
      <w:r>
        <w:rPr>
          <w:spacing w:val="-1"/>
        </w:rPr>
        <w:t>（5） 数据清理正确采用 Isnull（ ）函数判断缺失值， duplicated(</w:t>
      </w:r>
      <w:r>
        <w:rPr>
          <w:rFonts w:hint="eastAsia"/>
          <w:spacing w:val="-1"/>
          <w:lang w:val="en-US" w:eastAsia="zh-CN"/>
        </w:rPr>
        <w:t xml:space="preserve"> </w:t>
      </w:r>
      <w:r>
        <w:rPr>
          <w:spacing w:val="-1"/>
        </w:rPr>
        <w:t>)函数判断重复值，</w:t>
      </w:r>
    </w:p>
    <w:p w14:paraId="2FDD4DF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6" w:firstLineChars="200"/>
        <w:jc w:val="both"/>
        <w:textAlignment w:val="baseline"/>
        <w:rPr>
          <w:spacing w:val="-1"/>
        </w:rPr>
      </w:pPr>
      <w:r>
        <w:rPr>
          <w:spacing w:val="-1"/>
        </w:rPr>
        <w:t>（6）通过测试用例验证 Python 程序的正确性和采集数据的准确性。</w:t>
      </w:r>
    </w:p>
    <w:p w14:paraId="21EFAC8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8" w:firstLineChars="200"/>
        <w:textAlignment w:val="baseline"/>
      </w:pPr>
      <w:r>
        <w:rPr>
          <w:spacing w:val="-3"/>
        </w:rPr>
        <w:t>3.试题类型三</w:t>
      </w:r>
    </w:p>
    <w:p w14:paraId="697715C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6" w:firstLineChars="200"/>
        <w:textAlignment w:val="baseline"/>
        <w:rPr>
          <w:spacing w:val="-1"/>
        </w:rPr>
      </w:pPr>
      <w:r>
        <w:rPr>
          <w:spacing w:val="-1"/>
        </w:rPr>
        <w:t>采用报告撰写题形式，考察团队商务数据分析报告撰写能力。</w:t>
      </w:r>
    </w:p>
    <w:p w14:paraId="09A4059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8" w:firstLineChars="200"/>
        <w:textAlignment w:val="baseline"/>
        <w:outlineLvl w:val="1"/>
        <w:rPr>
          <w:b/>
          <w:bCs/>
          <w:spacing w:val="-6"/>
        </w:rPr>
      </w:pPr>
      <w:r>
        <w:rPr>
          <w:b/>
          <w:bCs/>
          <w:spacing w:val="-6"/>
        </w:rPr>
        <w:t>八、成绩评定</w:t>
      </w:r>
    </w:p>
    <w:p w14:paraId="481B63E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6" w:firstLineChars="200"/>
        <w:textAlignment w:val="baseline"/>
      </w:pPr>
      <w:r>
        <w:rPr>
          <w:spacing w:val="-6"/>
        </w:rPr>
        <w:t>按</w:t>
      </w:r>
      <w:r>
        <w:rPr>
          <w:spacing w:val="-38"/>
        </w:rPr>
        <w:t xml:space="preserve"> </w:t>
      </w:r>
      <w:r>
        <w:rPr>
          <w:spacing w:val="-6"/>
        </w:rPr>
        <w:t>100</w:t>
      </w:r>
      <w:r>
        <w:rPr>
          <w:spacing w:val="-59"/>
        </w:rPr>
        <w:t xml:space="preserve"> </w:t>
      </w:r>
      <w:r>
        <w:rPr>
          <w:spacing w:val="-6"/>
        </w:rPr>
        <w:t>分制计分，由高到低进行排名，如出现总成绩相同的</w:t>
      </w:r>
      <w:r>
        <w:rPr>
          <w:spacing w:val="-4"/>
        </w:rPr>
        <w:t>情况，以模块一分值确定排名，如模块一分值依然并列，则以模</w:t>
      </w:r>
      <w:r>
        <w:rPr>
          <w:spacing w:val="-2"/>
        </w:rPr>
        <w:t>块二分值确定排名。</w:t>
      </w:r>
    </w:p>
    <w:p w14:paraId="3D28DC4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8" w:firstLineChars="200"/>
        <w:textAlignment w:val="baseline"/>
        <w:outlineLvl w:val="1"/>
        <w:rPr>
          <w:b/>
          <w:bCs/>
          <w:spacing w:val="-6"/>
        </w:rPr>
      </w:pPr>
      <w:r>
        <w:rPr>
          <w:b/>
          <w:bCs/>
          <w:spacing w:val="-6"/>
        </w:rPr>
        <w:t>（</w:t>
      </w:r>
      <w:r>
        <w:rPr>
          <w:rFonts w:hint="eastAsia"/>
          <w:b/>
          <w:bCs/>
          <w:spacing w:val="-6"/>
          <w:lang w:val="en-US" w:eastAsia="zh-CN"/>
        </w:rPr>
        <w:t>一</w:t>
      </w:r>
      <w:r>
        <w:rPr>
          <w:b/>
          <w:bCs/>
          <w:spacing w:val="-6"/>
        </w:rPr>
        <w:t>）评分标准</w:t>
      </w:r>
    </w:p>
    <w:p w14:paraId="060337E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8" w:firstLineChars="200"/>
        <w:textAlignment w:val="baseline"/>
        <w:rPr>
          <w:rFonts w:hint="default" w:eastAsia="宋体"/>
          <w:lang w:val="en-US" w:eastAsia="zh-CN"/>
        </w:rPr>
      </w:pPr>
      <w:r>
        <w:rPr>
          <w:rFonts w:hint="eastAsia"/>
          <w:spacing w:val="-3"/>
          <w:lang w:val="en-US" w:eastAsia="zh-CN"/>
        </w:rPr>
        <w:t>1</w:t>
      </w:r>
      <w:r>
        <w:rPr>
          <w:spacing w:val="-3"/>
        </w:rPr>
        <w:t>.</w:t>
      </w:r>
      <w:r>
        <w:rPr>
          <w:rFonts w:hint="eastAsia"/>
          <w:spacing w:val="-3"/>
          <w:lang w:val="en-US" w:eastAsia="zh-CN"/>
        </w:rPr>
        <w:t>模块一 传统赛项比拼评分标准</w:t>
      </w:r>
    </w:p>
    <w:p w14:paraId="49AC1CA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0" w:right="0" w:firstLine="576" w:firstLineChars="200"/>
        <w:jc w:val="both"/>
        <w:textAlignment w:val="baseline"/>
        <w:rPr>
          <w:rFonts w:hint="eastAsia" w:ascii="宋体" w:hAnsi="宋体" w:eastAsia="宋体" w:cs="宋体"/>
          <w:snapToGrid w:val="0"/>
          <w:color w:val="000000"/>
          <w:spacing w:val="-6"/>
          <w:kern w:val="0"/>
          <w:sz w:val="30"/>
          <w:szCs w:val="30"/>
          <w:lang w:val="en-US" w:eastAsia="zh-CN" w:bidi="ar-SA"/>
        </w:rPr>
      </w:pPr>
      <w:r>
        <w:rPr>
          <w:rFonts w:hint="eastAsia" w:ascii="宋体" w:hAnsi="宋体" w:eastAsia="宋体" w:cs="宋体"/>
          <w:snapToGrid w:val="0"/>
          <w:color w:val="000000"/>
          <w:spacing w:val="-6"/>
          <w:kern w:val="0"/>
          <w:sz w:val="30"/>
          <w:szCs w:val="30"/>
          <w:lang w:val="en-US" w:eastAsia="zh-CN" w:bidi="ar-SA"/>
        </w:rPr>
        <w:t>传统赛项比拼</w:t>
      </w:r>
      <w:r>
        <w:rPr>
          <w:rFonts w:hint="default" w:ascii="宋体" w:hAnsi="宋体" w:eastAsia="宋体" w:cs="宋体"/>
          <w:snapToGrid w:val="0"/>
          <w:color w:val="000000"/>
          <w:spacing w:val="-6"/>
          <w:kern w:val="0"/>
          <w:sz w:val="30"/>
          <w:szCs w:val="30"/>
          <w:lang w:val="en-US" w:eastAsia="zh-CN" w:bidi="ar-SA"/>
        </w:rPr>
        <w:t>模块为团队合作完成</w:t>
      </w:r>
      <w:r>
        <w:rPr>
          <w:rFonts w:hint="eastAsia" w:ascii="宋体" w:hAnsi="宋体" w:eastAsia="宋体" w:cs="宋体"/>
          <w:snapToGrid w:val="0"/>
          <w:color w:val="000000"/>
          <w:spacing w:val="-6"/>
          <w:kern w:val="0"/>
          <w:sz w:val="30"/>
          <w:szCs w:val="30"/>
          <w:lang w:val="en-US" w:eastAsia="zh-CN" w:bidi="ar-SA"/>
        </w:rPr>
        <w:t>，</w:t>
      </w:r>
      <w:r>
        <w:rPr>
          <w:rFonts w:hint="default" w:ascii="宋体" w:hAnsi="宋体" w:eastAsia="宋体" w:cs="宋体"/>
          <w:snapToGrid w:val="0"/>
          <w:color w:val="000000"/>
          <w:spacing w:val="-6"/>
          <w:kern w:val="0"/>
          <w:sz w:val="30"/>
          <w:szCs w:val="30"/>
          <w:lang w:val="en-US" w:eastAsia="zh-CN" w:bidi="ar-SA"/>
        </w:rPr>
        <w:t>其中数据</w:t>
      </w:r>
      <w:r>
        <w:rPr>
          <w:rFonts w:hint="eastAsia" w:ascii="宋体" w:hAnsi="宋体" w:eastAsia="宋体" w:cs="宋体"/>
          <w:snapToGrid w:val="0"/>
          <w:color w:val="000000"/>
          <w:spacing w:val="-6"/>
          <w:kern w:val="0"/>
          <w:sz w:val="30"/>
          <w:szCs w:val="30"/>
          <w:lang w:val="en-US" w:eastAsia="zh-CN" w:bidi="ar-SA"/>
        </w:rPr>
        <w:t>思</w:t>
      </w:r>
      <w:r>
        <w:rPr>
          <w:rFonts w:hint="default" w:ascii="宋体" w:hAnsi="宋体" w:eastAsia="宋体" w:cs="宋体"/>
          <w:snapToGrid w:val="0"/>
          <w:color w:val="000000"/>
          <w:spacing w:val="-6"/>
          <w:kern w:val="0"/>
          <w:sz w:val="30"/>
          <w:szCs w:val="30"/>
          <w:lang w:val="en-US" w:eastAsia="zh-CN" w:bidi="ar-SA"/>
        </w:rPr>
        <w:t>维与职业素养</w:t>
      </w:r>
      <w:r>
        <w:rPr>
          <w:rFonts w:hint="eastAsia" w:ascii="宋体" w:hAnsi="宋体" w:eastAsia="宋体" w:cs="宋体"/>
          <w:snapToGrid w:val="0"/>
          <w:color w:val="000000"/>
          <w:spacing w:val="-6"/>
          <w:kern w:val="0"/>
          <w:sz w:val="30"/>
          <w:szCs w:val="30"/>
          <w:lang w:val="en-US" w:eastAsia="zh-CN" w:bidi="ar-SA"/>
        </w:rPr>
        <w:t>25分，商务数据分析方法与工具应用45分，商务数据分析报告撰写10分，本模块总分80分。</w:t>
      </w:r>
    </w:p>
    <w:tbl>
      <w:tblPr>
        <w:tblStyle w:val="7"/>
        <w:tblW w:w="84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2"/>
        <w:gridCol w:w="1499"/>
        <w:gridCol w:w="4720"/>
        <w:gridCol w:w="960"/>
      </w:tblGrid>
      <w:tr w14:paraId="699F8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2721" w:type="dxa"/>
            <w:gridSpan w:val="2"/>
            <w:tcBorders>
              <w:tl2br w:val="nil"/>
              <w:tr2bl w:val="nil"/>
            </w:tcBorders>
            <w:vAlign w:val="center"/>
          </w:tcPr>
          <w:p w14:paraId="67D96BC2">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21"/>
                <w:szCs w:val="21"/>
              </w:rPr>
            </w:pPr>
            <w:r>
              <w:rPr>
                <w:rFonts w:hint="eastAsia"/>
                <w:b/>
                <w:bCs/>
                <w:spacing w:val="-7"/>
                <w:sz w:val="21"/>
                <w:szCs w:val="21"/>
                <w:lang w:val="en-US" w:eastAsia="zh-CN"/>
              </w:rPr>
              <w:t>竞赛内容</w:t>
            </w:r>
          </w:p>
        </w:tc>
        <w:tc>
          <w:tcPr>
            <w:tcW w:w="4720" w:type="dxa"/>
            <w:tcBorders>
              <w:tl2br w:val="nil"/>
              <w:tr2bl w:val="nil"/>
            </w:tcBorders>
            <w:vAlign w:val="center"/>
          </w:tcPr>
          <w:p w14:paraId="59C53A6E">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eastAsia="宋体"/>
                <w:sz w:val="21"/>
                <w:szCs w:val="21"/>
                <w:lang w:val="en-US" w:eastAsia="zh-CN"/>
              </w:rPr>
            </w:pPr>
            <w:r>
              <w:rPr>
                <w:rFonts w:hint="eastAsia"/>
                <w:b/>
                <w:bCs/>
                <w:spacing w:val="-5"/>
                <w:sz w:val="21"/>
                <w:szCs w:val="21"/>
                <w:lang w:val="en-US" w:eastAsia="zh-CN"/>
              </w:rPr>
              <w:t>观测点</w:t>
            </w:r>
          </w:p>
        </w:tc>
        <w:tc>
          <w:tcPr>
            <w:tcW w:w="960" w:type="dxa"/>
            <w:tcBorders>
              <w:tl2br w:val="nil"/>
              <w:tr2bl w:val="nil"/>
            </w:tcBorders>
            <w:vAlign w:val="center"/>
          </w:tcPr>
          <w:p w14:paraId="132C0D7E">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21"/>
                <w:szCs w:val="21"/>
              </w:rPr>
            </w:pPr>
            <w:r>
              <w:rPr>
                <w:b/>
                <w:bCs/>
                <w:spacing w:val="-3"/>
                <w:sz w:val="21"/>
                <w:szCs w:val="21"/>
              </w:rPr>
              <w:t>评分方式</w:t>
            </w:r>
          </w:p>
        </w:tc>
      </w:tr>
      <w:tr w14:paraId="0975E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2721" w:type="dxa"/>
            <w:gridSpan w:val="2"/>
            <w:tcBorders>
              <w:tl2br w:val="nil"/>
              <w:tr2bl w:val="nil"/>
            </w:tcBorders>
            <w:vAlign w:val="center"/>
          </w:tcPr>
          <w:p w14:paraId="06067F78">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21"/>
                <w:szCs w:val="21"/>
              </w:rPr>
            </w:pPr>
            <w:r>
              <w:rPr>
                <w:spacing w:val="-4"/>
                <w:sz w:val="21"/>
                <w:szCs w:val="21"/>
              </w:rPr>
              <w:t>数据思</w:t>
            </w:r>
            <w:r>
              <w:rPr>
                <w:spacing w:val="-5"/>
                <w:sz w:val="21"/>
                <w:szCs w:val="21"/>
              </w:rPr>
              <w:t>维及职</w:t>
            </w:r>
            <w:r>
              <w:rPr>
                <w:spacing w:val="-3"/>
                <w:sz w:val="21"/>
                <w:szCs w:val="21"/>
              </w:rPr>
              <w:t>业素养</w:t>
            </w:r>
          </w:p>
        </w:tc>
        <w:tc>
          <w:tcPr>
            <w:tcW w:w="4720" w:type="dxa"/>
            <w:tcBorders>
              <w:tl2br w:val="nil"/>
              <w:tr2bl w:val="nil"/>
            </w:tcBorders>
            <w:vAlign w:val="center"/>
          </w:tcPr>
          <w:p w14:paraId="05ABC3B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Arial" w:eastAsia="宋体"/>
                <w:sz w:val="21"/>
                <w:szCs w:val="21"/>
                <w:lang w:val="en-US" w:eastAsia="zh-CN"/>
              </w:rPr>
            </w:pPr>
            <w:r>
              <w:rPr>
                <w:rFonts w:hint="eastAsia" w:ascii="Arial"/>
                <w:sz w:val="21"/>
                <w:szCs w:val="21"/>
              </w:rPr>
              <w:t>商务数据思维、商务数据分析职业素养</w:t>
            </w:r>
            <w:r>
              <w:rPr>
                <w:rFonts w:hint="eastAsia" w:eastAsia="宋体"/>
                <w:sz w:val="21"/>
                <w:szCs w:val="21"/>
                <w:lang w:eastAsia="zh-CN"/>
              </w:rPr>
              <w:t>。</w:t>
            </w:r>
          </w:p>
        </w:tc>
        <w:tc>
          <w:tcPr>
            <w:tcW w:w="960" w:type="dxa"/>
            <w:tcBorders>
              <w:tl2br w:val="nil"/>
              <w:tr2bl w:val="nil"/>
            </w:tcBorders>
            <w:vAlign w:val="center"/>
          </w:tcPr>
          <w:p w14:paraId="6E194F60">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21"/>
                <w:szCs w:val="21"/>
              </w:rPr>
            </w:pPr>
            <w:r>
              <w:rPr>
                <w:spacing w:val="-3"/>
                <w:sz w:val="21"/>
                <w:szCs w:val="21"/>
              </w:rPr>
              <w:t>系统评分</w:t>
            </w:r>
          </w:p>
        </w:tc>
      </w:tr>
      <w:tr w14:paraId="4C07A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222" w:type="dxa"/>
            <w:vMerge w:val="restart"/>
            <w:tcBorders>
              <w:tl2br w:val="nil"/>
              <w:tr2bl w:val="nil"/>
            </w:tcBorders>
            <w:vAlign w:val="center"/>
          </w:tcPr>
          <w:p w14:paraId="03526538">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eastAsia="宋体"/>
                <w:sz w:val="21"/>
                <w:szCs w:val="21"/>
                <w:lang w:eastAsia="zh-CN"/>
              </w:rPr>
            </w:pPr>
            <w:r>
              <w:rPr>
                <w:spacing w:val="-5"/>
                <w:sz w:val="21"/>
                <w:szCs w:val="21"/>
              </w:rPr>
              <w:t>商务数</w:t>
            </w:r>
            <w:r>
              <w:rPr>
                <w:spacing w:val="-3"/>
                <w:sz w:val="21"/>
                <w:szCs w:val="21"/>
              </w:rPr>
              <w:t>据分析</w:t>
            </w:r>
            <w:r>
              <w:rPr>
                <w:spacing w:val="-4"/>
                <w:sz w:val="21"/>
                <w:szCs w:val="21"/>
              </w:rPr>
              <w:t>方法与</w:t>
            </w:r>
            <w:r>
              <w:rPr>
                <w:spacing w:val="-5"/>
                <w:sz w:val="21"/>
                <w:szCs w:val="21"/>
              </w:rPr>
              <w:t>工具应</w:t>
            </w:r>
            <w:r>
              <w:rPr>
                <w:sz w:val="21"/>
                <w:szCs w:val="21"/>
              </w:rPr>
              <w:t>用</w:t>
            </w:r>
          </w:p>
        </w:tc>
        <w:tc>
          <w:tcPr>
            <w:tcW w:w="1499" w:type="dxa"/>
            <w:tcBorders>
              <w:tl2br w:val="nil"/>
              <w:tr2bl w:val="nil"/>
            </w:tcBorders>
            <w:vAlign w:val="center"/>
          </w:tcPr>
          <w:p w14:paraId="4DC40A77">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eastAsia="宋体"/>
                <w:sz w:val="21"/>
                <w:szCs w:val="21"/>
                <w:lang w:val="en-US" w:eastAsia="zh-CN"/>
              </w:rPr>
            </w:pPr>
            <w:r>
              <w:rPr>
                <w:spacing w:val="-13"/>
                <w:sz w:val="21"/>
                <w:szCs w:val="21"/>
              </w:rPr>
              <w:t>商务数据</w:t>
            </w:r>
            <w:r>
              <w:rPr>
                <w:spacing w:val="-7"/>
                <w:sz w:val="21"/>
                <w:szCs w:val="21"/>
              </w:rPr>
              <w:t>采集</w:t>
            </w:r>
            <w:r>
              <w:rPr>
                <w:rFonts w:hint="eastAsia"/>
                <w:spacing w:val="-7"/>
                <w:sz w:val="21"/>
                <w:szCs w:val="21"/>
                <w:lang w:val="en-US" w:eastAsia="zh-CN"/>
              </w:rPr>
              <w:t>、处理及分析</w:t>
            </w:r>
          </w:p>
        </w:tc>
        <w:tc>
          <w:tcPr>
            <w:tcW w:w="4720" w:type="dxa"/>
            <w:tcBorders>
              <w:tl2br w:val="nil"/>
              <w:tr2bl w:val="nil"/>
            </w:tcBorders>
            <w:vAlign w:val="center"/>
          </w:tcPr>
          <w:p w14:paraId="39FF1E3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Arial" w:eastAsia="宋体"/>
                <w:sz w:val="21"/>
                <w:szCs w:val="21"/>
                <w:lang w:eastAsia="zh-CN"/>
              </w:rPr>
            </w:pPr>
            <w:r>
              <w:rPr>
                <w:rFonts w:hint="eastAsia" w:ascii="Arial"/>
                <w:sz w:val="21"/>
                <w:szCs w:val="21"/>
              </w:rPr>
              <w:t>利用 Excel、BI 工具、Python等工具完成数据采集、处理、分析</w:t>
            </w:r>
            <w:r>
              <w:rPr>
                <w:rFonts w:hint="eastAsia" w:eastAsia="宋体"/>
                <w:sz w:val="21"/>
                <w:szCs w:val="21"/>
                <w:lang w:eastAsia="zh-CN"/>
              </w:rPr>
              <w:t>。</w:t>
            </w:r>
          </w:p>
        </w:tc>
        <w:tc>
          <w:tcPr>
            <w:tcW w:w="960" w:type="dxa"/>
            <w:tcBorders>
              <w:tl2br w:val="nil"/>
              <w:tr2bl w:val="nil"/>
            </w:tcBorders>
            <w:vAlign w:val="center"/>
          </w:tcPr>
          <w:p w14:paraId="39ED53C1">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21"/>
                <w:szCs w:val="21"/>
              </w:rPr>
            </w:pPr>
            <w:r>
              <w:rPr>
                <w:spacing w:val="-3"/>
                <w:sz w:val="21"/>
                <w:szCs w:val="21"/>
              </w:rPr>
              <w:t>系统评分</w:t>
            </w:r>
          </w:p>
        </w:tc>
      </w:tr>
      <w:tr w14:paraId="25A7D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1222" w:type="dxa"/>
            <w:vMerge w:val="continue"/>
            <w:tcBorders>
              <w:tl2br w:val="nil"/>
              <w:tr2bl w:val="nil"/>
            </w:tcBorders>
            <w:vAlign w:val="center"/>
          </w:tcPr>
          <w:p w14:paraId="5C0B3F21">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pacing w:val="-5"/>
                <w:sz w:val="21"/>
                <w:szCs w:val="21"/>
              </w:rPr>
            </w:pPr>
          </w:p>
        </w:tc>
        <w:tc>
          <w:tcPr>
            <w:tcW w:w="1499" w:type="dxa"/>
            <w:tcBorders>
              <w:tl2br w:val="nil"/>
              <w:tr2bl w:val="nil"/>
            </w:tcBorders>
            <w:shd w:val="clear" w:color="auto" w:fill="auto"/>
            <w:vAlign w:val="center"/>
          </w:tcPr>
          <w:p w14:paraId="487B6A31">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jc w:val="center"/>
              <w:textAlignment w:val="baseline"/>
              <w:rPr>
                <w:spacing w:val="-4"/>
                <w:sz w:val="21"/>
                <w:szCs w:val="21"/>
              </w:rPr>
            </w:pPr>
            <w:r>
              <w:rPr>
                <w:spacing w:val="-10"/>
                <w:sz w:val="21"/>
                <w:szCs w:val="21"/>
              </w:rPr>
              <w:t>商务数据</w:t>
            </w:r>
            <w:r>
              <w:rPr>
                <w:spacing w:val="-4"/>
                <w:sz w:val="21"/>
                <w:szCs w:val="21"/>
              </w:rPr>
              <w:t>大屏</w:t>
            </w:r>
          </w:p>
          <w:p w14:paraId="365248F7">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jc w:val="center"/>
              <w:textAlignment w:val="baseline"/>
              <w:rPr>
                <w:rFonts w:ascii="宋体" w:hAnsi="宋体" w:eastAsia="宋体" w:cs="宋体"/>
                <w:snapToGrid w:val="0"/>
                <w:color w:val="000000"/>
                <w:kern w:val="0"/>
                <w:sz w:val="21"/>
                <w:szCs w:val="21"/>
                <w:lang w:val="en-US" w:eastAsia="en-US" w:bidi="ar-SA"/>
              </w:rPr>
            </w:pPr>
            <w:r>
              <w:rPr>
                <w:spacing w:val="-4"/>
                <w:sz w:val="21"/>
                <w:szCs w:val="21"/>
              </w:rPr>
              <w:t>制作</w:t>
            </w:r>
          </w:p>
        </w:tc>
        <w:tc>
          <w:tcPr>
            <w:tcW w:w="4720" w:type="dxa"/>
            <w:tcBorders>
              <w:tl2br w:val="nil"/>
              <w:tr2bl w:val="nil"/>
            </w:tcBorders>
            <w:shd w:val="clear" w:color="auto" w:fill="auto"/>
            <w:vAlign w:val="center"/>
          </w:tcPr>
          <w:p w14:paraId="0C9BFAC0">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sz w:val="21"/>
                <w:szCs w:val="21"/>
              </w:rPr>
            </w:pPr>
            <w:r>
              <w:rPr>
                <w:rFonts w:hint="eastAsia"/>
                <w:spacing w:val="-13"/>
                <w:sz w:val="21"/>
                <w:szCs w:val="21"/>
                <w:lang w:val="en-US" w:eastAsia="zh-CN"/>
              </w:rPr>
              <w:t>1.</w:t>
            </w:r>
            <w:r>
              <w:rPr>
                <w:spacing w:val="-13"/>
                <w:sz w:val="21"/>
                <w:szCs w:val="21"/>
              </w:rPr>
              <w:t>添加大屏标题，标题</w:t>
            </w:r>
            <w:r>
              <w:rPr>
                <w:spacing w:val="1"/>
                <w:sz w:val="21"/>
                <w:szCs w:val="21"/>
              </w:rPr>
              <w:t>内容、位置、字体大小</w:t>
            </w:r>
            <w:r>
              <w:rPr>
                <w:spacing w:val="-2"/>
                <w:sz w:val="21"/>
                <w:szCs w:val="21"/>
              </w:rPr>
              <w:t>合理。</w:t>
            </w:r>
          </w:p>
          <w:p w14:paraId="3037BF59">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39"/>
              <w:jc w:val="both"/>
              <w:textAlignment w:val="baseline"/>
              <w:rPr>
                <w:sz w:val="21"/>
                <w:szCs w:val="21"/>
              </w:rPr>
            </w:pPr>
            <w:r>
              <w:rPr>
                <w:rFonts w:hint="eastAsia"/>
                <w:spacing w:val="-13"/>
                <w:sz w:val="21"/>
                <w:szCs w:val="21"/>
                <w:lang w:val="en-US" w:eastAsia="zh-CN"/>
              </w:rPr>
              <w:t>2.</w:t>
            </w:r>
            <w:r>
              <w:rPr>
                <w:spacing w:val="-13"/>
                <w:sz w:val="21"/>
                <w:szCs w:val="21"/>
              </w:rPr>
              <w:t>整体：大屏的整体布</w:t>
            </w:r>
            <w:r>
              <w:rPr>
                <w:spacing w:val="-10"/>
                <w:sz w:val="21"/>
                <w:szCs w:val="21"/>
              </w:rPr>
              <w:t>局美观，结构合理。</w:t>
            </w:r>
          </w:p>
          <w:p w14:paraId="57CFA058">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40" w:firstLineChars="0"/>
              <w:jc w:val="both"/>
              <w:textAlignment w:val="baseline"/>
              <w:rPr>
                <w:rFonts w:ascii="宋体" w:hAnsi="宋体" w:eastAsia="宋体" w:cs="宋体"/>
                <w:snapToGrid w:val="0"/>
                <w:color w:val="000000"/>
                <w:kern w:val="0"/>
                <w:sz w:val="21"/>
                <w:szCs w:val="21"/>
                <w:lang w:val="en-US" w:eastAsia="en-US" w:bidi="ar-SA"/>
              </w:rPr>
            </w:pPr>
            <w:r>
              <w:rPr>
                <w:rFonts w:hint="eastAsia"/>
                <w:spacing w:val="7"/>
                <w:sz w:val="21"/>
                <w:szCs w:val="21"/>
                <w:lang w:val="en-US" w:eastAsia="zh-CN"/>
              </w:rPr>
              <w:t>3.</w:t>
            </w:r>
            <w:r>
              <w:rPr>
                <w:spacing w:val="7"/>
                <w:sz w:val="21"/>
                <w:szCs w:val="21"/>
              </w:rPr>
              <w:t>数据大屏包括必要</w:t>
            </w:r>
            <w:r>
              <w:rPr>
                <w:spacing w:val="-2"/>
                <w:sz w:val="21"/>
                <w:szCs w:val="21"/>
              </w:rPr>
              <w:t>数据图/表。</w:t>
            </w:r>
          </w:p>
        </w:tc>
        <w:tc>
          <w:tcPr>
            <w:tcW w:w="960" w:type="dxa"/>
            <w:tcBorders>
              <w:tl2br w:val="nil"/>
              <w:tr2bl w:val="nil"/>
            </w:tcBorders>
            <w:shd w:val="clear" w:color="auto" w:fill="auto"/>
            <w:vAlign w:val="center"/>
          </w:tcPr>
          <w:p w14:paraId="3AFAC5E7">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jc w:val="center"/>
              <w:textAlignment w:val="baseline"/>
              <w:rPr>
                <w:rFonts w:hint="default" w:ascii="宋体" w:hAnsi="宋体" w:eastAsia="宋体" w:cs="宋体"/>
                <w:snapToGrid w:val="0"/>
                <w:color w:val="000000"/>
                <w:kern w:val="0"/>
                <w:sz w:val="21"/>
                <w:szCs w:val="21"/>
                <w:lang w:val="en-US" w:eastAsia="zh-CN" w:bidi="ar-SA"/>
              </w:rPr>
            </w:pPr>
            <w:r>
              <w:rPr>
                <w:rFonts w:hint="eastAsia" w:cs="宋体"/>
                <w:snapToGrid w:val="0"/>
                <w:color w:val="000000"/>
                <w:kern w:val="0"/>
                <w:sz w:val="21"/>
                <w:szCs w:val="21"/>
                <w:lang w:val="en-US" w:eastAsia="zh-CN" w:bidi="ar-SA"/>
              </w:rPr>
              <w:t>人工评分</w:t>
            </w:r>
          </w:p>
        </w:tc>
      </w:tr>
      <w:tr w14:paraId="300FA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2721" w:type="dxa"/>
            <w:gridSpan w:val="2"/>
            <w:tcBorders>
              <w:tl2br w:val="nil"/>
              <w:tr2bl w:val="nil"/>
            </w:tcBorders>
            <w:vAlign w:val="center"/>
          </w:tcPr>
          <w:p w14:paraId="5E5DC19B">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pacing w:val="-3"/>
                <w:sz w:val="21"/>
                <w:szCs w:val="21"/>
              </w:rPr>
            </w:pPr>
            <w:r>
              <w:rPr>
                <w:spacing w:val="-5"/>
                <w:sz w:val="21"/>
                <w:szCs w:val="21"/>
              </w:rPr>
              <w:t>商务数</w:t>
            </w:r>
            <w:r>
              <w:rPr>
                <w:spacing w:val="-3"/>
                <w:sz w:val="21"/>
                <w:szCs w:val="21"/>
              </w:rPr>
              <w:t>据分析报告</w:t>
            </w:r>
          </w:p>
          <w:p w14:paraId="0B273895">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pacing w:val="-10"/>
                <w:sz w:val="21"/>
                <w:szCs w:val="21"/>
              </w:rPr>
            </w:pPr>
            <w:r>
              <w:rPr>
                <w:spacing w:val="-3"/>
                <w:sz w:val="21"/>
                <w:szCs w:val="21"/>
              </w:rPr>
              <w:t>撰</w:t>
            </w:r>
            <w:r>
              <w:rPr>
                <w:spacing w:val="-6"/>
                <w:sz w:val="21"/>
                <w:szCs w:val="21"/>
              </w:rPr>
              <w:t>写</w:t>
            </w:r>
          </w:p>
        </w:tc>
        <w:tc>
          <w:tcPr>
            <w:tcW w:w="4720" w:type="dxa"/>
            <w:tcBorders>
              <w:tl2br w:val="nil"/>
              <w:tr2bl w:val="nil"/>
            </w:tcBorders>
            <w:shd w:val="clear" w:color="auto" w:fill="auto"/>
            <w:vAlign w:val="center"/>
          </w:tcPr>
          <w:p w14:paraId="123BCABB">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40" w:firstLineChars="0"/>
              <w:jc w:val="both"/>
              <w:textAlignment w:val="baseline"/>
              <w:rPr>
                <w:rFonts w:hint="eastAsia" w:eastAsia="宋体"/>
                <w:spacing w:val="-1"/>
                <w:sz w:val="21"/>
                <w:szCs w:val="21"/>
                <w:lang w:eastAsia="zh-CN"/>
              </w:rPr>
            </w:pPr>
            <w:r>
              <w:rPr>
                <w:rFonts w:hint="eastAsia"/>
                <w:spacing w:val="7"/>
                <w:sz w:val="21"/>
                <w:szCs w:val="21"/>
                <w:lang w:val="en-US" w:eastAsia="zh-CN"/>
              </w:rPr>
              <w:t>1.</w:t>
            </w:r>
            <w:r>
              <w:rPr>
                <w:spacing w:val="7"/>
                <w:sz w:val="21"/>
                <w:szCs w:val="21"/>
              </w:rPr>
              <w:t>商务数据分析报告</w:t>
            </w:r>
            <w:r>
              <w:rPr>
                <w:spacing w:val="-1"/>
                <w:sz w:val="21"/>
                <w:szCs w:val="21"/>
              </w:rPr>
              <w:t>框架完整准确</w:t>
            </w:r>
            <w:r>
              <w:rPr>
                <w:rFonts w:hint="eastAsia"/>
                <w:spacing w:val="-1"/>
                <w:sz w:val="21"/>
                <w:szCs w:val="21"/>
                <w:lang w:eastAsia="zh-CN"/>
              </w:rPr>
              <w:t>。</w:t>
            </w:r>
          </w:p>
          <w:p w14:paraId="597587D1">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40" w:firstLineChars="0"/>
              <w:jc w:val="both"/>
              <w:textAlignment w:val="baseline"/>
              <w:rPr>
                <w:rFonts w:hint="eastAsia" w:eastAsia="宋体"/>
                <w:spacing w:val="-2"/>
                <w:sz w:val="21"/>
                <w:szCs w:val="21"/>
                <w:lang w:eastAsia="zh-CN"/>
              </w:rPr>
            </w:pPr>
            <w:r>
              <w:rPr>
                <w:rFonts w:hint="eastAsia"/>
                <w:spacing w:val="7"/>
                <w:sz w:val="21"/>
                <w:szCs w:val="21"/>
                <w:lang w:val="en-US" w:eastAsia="zh-CN"/>
              </w:rPr>
              <w:t>2.</w:t>
            </w:r>
            <w:r>
              <w:rPr>
                <w:spacing w:val="7"/>
                <w:sz w:val="21"/>
                <w:szCs w:val="21"/>
              </w:rPr>
              <w:t>企业经营及市场战</w:t>
            </w:r>
            <w:r>
              <w:rPr>
                <w:spacing w:val="-2"/>
                <w:sz w:val="21"/>
                <w:szCs w:val="21"/>
              </w:rPr>
              <w:t>略中问题合理</w:t>
            </w:r>
            <w:r>
              <w:rPr>
                <w:rFonts w:hint="eastAsia"/>
                <w:spacing w:val="-2"/>
                <w:sz w:val="21"/>
                <w:szCs w:val="21"/>
                <w:lang w:eastAsia="zh-CN"/>
              </w:rPr>
              <w:t>。</w:t>
            </w:r>
          </w:p>
          <w:p w14:paraId="1A34A85E">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40" w:firstLineChars="0"/>
              <w:jc w:val="both"/>
              <w:textAlignment w:val="baseline"/>
              <w:rPr>
                <w:spacing w:val="-2"/>
                <w:sz w:val="21"/>
                <w:szCs w:val="21"/>
              </w:rPr>
            </w:pPr>
            <w:r>
              <w:rPr>
                <w:rFonts w:hint="eastAsia"/>
                <w:spacing w:val="-13"/>
                <w:sz w:val="21"/>
                <w:szCs w:val="21"/>
                <w:lang w:val="en-US" w:eastAsia="zh-CN"/>
              </w:rPr>
              <w:t>3.</w:t>
            </w:r>
            <w:r>
              <w:rPr>
                <w:spacing w:val="-13"/>
                <w:sz w:val="21"/>
                <w:szCs w:val="21"/>
              </w:rPr>
              <w:t>解决方案合理、逻辑</w:t>
            </w:r>
            <w:r>
              <w:rPr>
                <w:spacing w:val="-2"/>
                <w:sz w:val="21"/>
                <w:szCs w:val="21"/>
              </w:rPr>
              <w:t>清晰。</w:t>
            </w:r>
          </w:p>
          <w:p w14:paraId="00892EF4">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40" w:firstLineChars="0"/>
              <w:jc w:val="both"/>
              <w:textAlignment w:val="baseline"/>
              <w:rPr>
                <w:spacing w:val="-2"/>
                <w:sz w:val="21"/>
                <w:szCs w:val="21"/>
              </w:rPr>
            </w:pPr>
            <w:r>
              <w:rPr>
                <w:rFonts w:hint="eastAsia"/>
                <w:spacing w:val="-13"/>
                <w:sz w:val="21"/>
                <w:szCs w:val="21"/>
                <w:lang w:val="en-US" w:eastAsia="zh-CN"/>
              </w:rPr>
              <w:t>4.</w:t>
            </w:r>
            <w:r>
              <w:rPr>
                <w:spacing w:val="-13"/>
                <w:sz w:val="21"/>
                <w:szCs w:val="21"/>
              </w:rPr>
              <w:t>图文展示完整、布局</w:t>
            </w:r>
            <w:r>
              <w:rPr>
                <w:spacing w:val="-2"/>
                <w:sz w:val="21"/>
                <w:szCs w:val="21"/>
              </w:rPr>
              <w:t>合理。</w:t>
            </w:r>
          </w:p>
          <w:p w14:paraId="538409A8">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40" w:firstLineChars="0"/>
              <w:jc w:val="both"/>
              <w:textAlignment w:val="baseline"/>
              <w:rPr>
                <w:spacing w:val="-2"/>
                <w:sz w:val="21"/>
                <w:szCs w:val="21"/>
              </w:rPr>
            </w:pPr>
            <w:r>
              <w:rPr>
                <w:rFonts w:hint="eastAsia"/>
                <w:spacing w:val="7"/>
                <w:sz w:val="21"/>
                <w:szCs w:val="21"/>
                <w:lang w:val="en-US" w:eastAsia="zh-CN"/>
              </w:rPr>
              <w:t>5.</w:t>
            </w:r>
            <w:r>
              <w:rPr>
                <w:spacing w:val="7"/>
                <w:sz w:val="21"/>
                <w:szCs w:val="21"/>
              </w:rPr>
              <w:t>符合商务数据分析</w:t>
            </w:r>
            <w:r>
              <w:rPr>
                <w:spacing w:val="-2"/>
                <w:sz w:val="21"/>
                <w:szCs w:val="21"/>
              </w:rPr>
              <w:t>逻辑。</w:t>
            </w:r>
          </w:p>
          <w:p w14:paraId="636A5D4C">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40" w:firstLineChars="0"/>
              <w:jc w:val="both"/>
              <w:textAlignment w:val="baseline"/>
              <w:rPr>
                <w:spacing w:val="-2"/>
                <w:sz w:val="21"/>
                <w:szCs w:val="21"/>
              </w:rPr>
            </w:pPr>
            <w:r>
              <w:rPr>
                <w:rFonts w:hint="eastAsia"/>
                <w:spacing w:val="7"/>
                <w:sz w:val="21"/>
                <w:szCs w:val="21"/>
                <w:lang w:val="en-US" w:eastAsia="zh-CN"/>
              </w:rPr>
              <w:t>6.</w:t>
            </w:r>
            <w:r>
              <w:rPr>
                <w:spacing w:val="7"/>
                <w:sz w:val="21"/>
                <w:szCs w:val="21"/>
              </w:rPr>
              <w:t>商务数据分析报告</w:t>
            </w:r>
            <w:r>
              <w:rPr>
                <w:spacing w:val="-4"/>
                <w:sz w:val="21"/>
                <w:szCs w:val="21"/>
              </w:rPr>
              <w:t>内容富有创意。</w:t>
            </w:r>
          </w:p>
        </w:tc>
        <w:tc>
          <w:tcPr>
            <w:tcW w:w="960" w:type="dxa"/>
            <w:tcBorders>
              <w:tl2br w:val="nil"/>
              <w:tr2bl w:val="nil"/>
            </w:tcBorders>
            <w:shd w:val="clear" w:color="auto" w:fill="auto"/>
            <w:vAlign w:val="center"/>
          </w:tcPr>
          <w:p w14:paraId="28521569">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jc w:val="center"/>
              <w:textAlignment w:val="baseline"/>
              <w:rPr>
                <w:rFonts w:hint="eastAsia" w:cs="宋体"/>
                <w:snapToGrid w:val="0"/>
                <w:color w:val="000000"/>
                <w:kern w:val="0"/>
                <w:sz w:val="21"/>
                <w:szCs w:val="21"/>
                <w:lang w:val="en-US" w:eastAsia="zh-CN" w:bidi="ar-SA"/>
              </w:rPr>
            </w:pPr>
            <w:r>
              <w:rPr>
                <w:rFonts w:hint="eastAsia" w:cs="宋体"/>
                <w:snapToGrid w:val="0"/>
                <w:color w:val="000000"/>
                <w:kern w:val="0"/>
                <w:sz w:val="21"/>
                <w:szCs w:val="21"/>
                <w:lang w:val="en-US" w:eastAsia="zh-CN" w:bidi="ar-SA"/>
              </w:rPr>
              <w:t>人工评分</w:t>
            </w:r>
          </w:p>
        </w:tc>
      </w:tr>
    </w:tbl>
    <w:p w14:paraId="1CDA539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szCs w:val="21"/>
        </w:rPr>
      </w:pPr>
    </w:p>
    <w:p w14:paraId="764C3C4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Arial"/>
          <w:sz w:val="2"/>
        </w:rPr>
      </w:pPr>
    </w:p>
    <w:p w14:paraId="5A5A473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8" w:firstLineChars="200"/>
        <w:textAlignment w:val="baseline"/>
        <w:rPr>
          <w:rFonts w:hint="eastAsia"/>
          <w:spacing w:val="-3"/>
          <w:lang w:val="en-US" w:eastAsia="zh-CN"/>
        </w:rPr>
      </w:pPr>
      <w:r>
        <w:rPr>
          <w:rFonts w:hint="eastAsia"/>
          <w:spacing w:val="-3"/>
          <w:lang w:val="en-US" w:eastAsia="zh-CN"/>
        </w:rPr>
        <w:t>2</w:t>
      </w:r>
      <w:r>
        <w:rPr>
          <w:spacing w:val="-3"/>
        </w:rPr>
        <w:t>.</w:t>
      </w:r>
      <w:r>
        <w:rPr>
          <w:rFonts w:hint="eastAsia"/>
          <w:spacing w:val="-3"/>
          <w:lang w:val="en-US" w:eastAsia="zh-CN"/>
        </w:rPr>
        <w:t>模块二 综</w:t>
      </w:r>
      <w:r>
        <w:rPr>
          <w:rFonts w:hint="eastAsia"/>
          <w:spacing w:val="-3"/>
        </w:rPr>
        <w:t>合展示讲解</w:t>
      </w:r>
      <w:r>
        <w:rPr>
          <w:rFonts w:hint="eastAsia"/>
          <w:spacing w:val="-3"/>
          <w:lang w:val="en-US" w:eastAsia="zh-CN"/>
        </w:rPr>
        <w:t>评分标准</w:t>
      </w:r>
    </w:p>
    <w:p w14:paraId="0ED9D60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4" w:firstLineChars="200"/>
        <w:textAlignment w:val="baseline"/>
        <w:rPr>
          <w:rFonts w:hint="default"/>
          <w:spacing w:val="-4"/>
          <w:lang w:val="en-US" w:eastAsia="zh-CN"/>
        </w:rPr>
      </w:pPr>
      <w:r>
        <w:rPr>
          <w:rFonts w:hint="default"/>
          <w:spacing w:val="-4"/>
          <w:lang w:val="en-US" w:eastAsia="zh-CN"/>
        </w:rPr>
        <w:t>依据2025年世赛评分</w:t>
      </w:r>
      <w:r>
        <w:rPr>
          <w:rFonts w:hint="eastAsia"/>
          <w:spacing w:val="-4"/>
          <w:lang w:val="en-US" w:eastAsia="zh-CN"/>
        </w:rPr>
        <w:t>标准</w:t>
      </w:r>
      <w:r>
        <w:rPr>
          <w:rFonts w:hint="default"/>
          <w:spacing w:val="-4"/>
          <w:lang w:val="en-US" w:eastAsia="zh-CN"/>
        </w:rPr>
        <w:t>确定本赛项的</w:t>
      </w:r>
      <w:r>
        <w:rPr>
          <w:rFonts w:hint="eastAsia"/>
          <w:spacing w:val="-4"/>
          <w:lang w:val="en-US" w:eastAsia="zh-CN"/>
        </w:rPr>
        <w:t>综合</w:t>
      </w:r>
      <w:r>
        <w:rPr>
          <w:rFonts w:hint="default"/>
          <w:spacing w:val="-4"/>
          <w:lang w:val="en-US" w:eastAsia="zh-CN"/>
        </w:rPr>
        <w:t>展示讲解部分</w:t>
      </w:r>
      <w:r>
        <w:rPr>
          <w:rFonts w:hint="eastAsia"/>
          <w:spacing w:val="-4"/>
          <w:lang w:val="en-US" w:eastAsia="zh-CN"/>
        </w:rPr>
        <w:t>的</w:t>
      </w:r>
      <w:r>
        <w:rPr>
          <w:rFonts w:hint="default"/>
          <w:spacing w:val="-4"/>
          <w:lang w:val="en-US" w:eastAsia="zh-CN"/>
        </w:rPr>
        <w:t>评分方法。</w:t>
      </w:r>
      <w:r>
        <w:rPr>
          <w:rFonts w:hint="eastAsia"/>
          <w:spacing w:val="-4"/>
          <w:lang w:val="en-US" w:eastAsia="zh-CN"/>
        </w:rPr>
        <w:t>其中</w:t>
      </w:r>
      <w:r>
        <w:rPr>
          <w:rFonts w:hint="default"/>
          <w:spacing w:val="-4"/>
          <w:lang w:val="en-US" w:eastAsia="zh-CN"/>
        </w:rPr>
        <w:t>技能水平、职业素养、应用价值、团队合作、创新创意五个维度每个维度分值</w:t>
      </w:r>
      <w:r>
        <w:rPr>
          <w:rFonts w:hint="eastAsia"/>
          <w:spacing w:val="-4"/>
          <w:lang w:val="en-US" w:eastAsia="zh-CN"/>
        </w:rPr>
        <w:t>占比</w:t>
      </w:r>
      <w:r>
        <w:rPr>
          <w:rFonts w:hint="default"/>
          <w:spacing w:val="-4"/>
          <w:lang w:val="en-US" w:eastAsia="zh-CN"/>
        </w:rPr>
        <w:t>20</w:t>
      </w:r>
      <w:r>
        <w:rPr>
          <w:rFonts w:hint="eastAsia"/>
          <w:spacing w:val="-4"/>
          <w:lang w:val="en-US" w:eastAsia="zh-CN"/>
        </w:rPr>
        <w:t>%</w:t>
      </w:r>
      <w:r>
        <w:rPr>
          <w:rFonts w:hint="default"/>
          <w:spacing w:val="-4"/>
          <w:lang w:val="en-US" w:eastAsia="zh-CN"/>
        </w:rPr>
        <w:t>，</w:t>
      </w:r>
      <w:r>
        <w:rPr>
          <w:rFonts w:hint="eastAsia"/>
          <w:spacing w:val="-4"/>
          <w:lang w:val="en-US" w:eastAsia="zh-CN"/>
        </w:rPr>
        <w:t>本模块</w:t>
      </w:r>
      <w:r>
        <w:rPr>
          <w:rFonts w:hint="default"/>
          <w:spacing w:val="-4"/>
          <w:lang w:val="en-US" w:eastAsia="zh-CN"/>
        </w:rPr>
        <w:t>总分</w:t>
      </w:r>
      <w:r>
        <w:rPr>
          <w:rFonts w:hint="eastAsia"/>
          <w:spacing w:val="-4"/>
          <w:lang w:val="en-US" w:eastAsia="zh-CN"/>
        </w:rPr>
        <w:t>20</w:t>
      </w:r>
      <w:r>
        <w:rPr>
          <w:rFonts w:hint="default"/>
          <w:spacing w:val="-4"/>
          <w:lang w:val="en-US" w:eastAsia="zh-CN"/>
        </w:rPr>
        <w:t>分。</w:t>
      </w:r>
    </w:p>
    <w:tbl>
      <w:tblPr>
        <w:tblStyle w:val="5"/>
        <w:tblW w:w="8875" w:type="dxa"/>
        <w:tblInd w:w="7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302"/>
        <w:gridCol w:w="1707"/>
        <w:gridCol w:w="5866"/>
      </w:tblGrid>
      <w:tr w14:paraId="492CB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0" w:hRule="atLeast"/>
        </w:trPr>
        <w:tc>
          <w:tcPr>
            <w:tcW w:w="1302" w:type="dxa"/>
            <w:tcBorders>
              <w:tl2br w:val="nil"/>
              <w:tr2bl w:val="nil"/>
            </w:tcBorders>
            <w:vAlign w:val="center"/>
          </w:tcPr>
          <w:p w14:paraId="34DE296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评分指标</w:t>
            </w:r>
          </w:p>
        </w:tc>
        <w:tc>
          <w:tcPr>
            <w:tcW w:w="1707" w:type="dxa"/>
            <w:tcBorders>
              <w:tl2br w:val="nil"/>
              <w:tr2bl w:val="nil"/>
            </w:tcBorders>
            <w:vAlign w:val="center"/>
          </w:tcPr>
          <w:p w14:paraId="40AA6E0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观测点</w:t>
            </w:r>
          </w:p>
        </w:tc>
        <w:tc>
          <w:tcPr>
            <w:tcW w:w="5866" w:type="dxa"/>
            <w:tcBorders>
              <w:tl2br w:val="nil"/>
              <w:tr2bl w:val="nil"/>
            </w:tcBorders>
            <w:vAlign w:val="center"/>
          </w:tcPr>
          <w:p w14:paraId="753EF5E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说明</w:t>
            </w:r>
          </w:p>
        </w:tc>
      </w:tr>
      <w:tr w14:paraId="06F56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exact"/>
        </w:trPr>
        <w:tc>
          <w:tcPr>
            <w:tcW w:w="1302" w:type="dxa"/>
            <w:vMerge w:val="restart"/>
            <w:tcBorders>
              <w:tl2br w:val="nil"/>
              <w:tr2bl w:val="nil"/>
            </w:tcBorders>
            <w:vAlign w:val="center"/>
          </w:tcPr>
          <w:p w14:paraId="02AE300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技能水平</w:t>
            </w:r>
          </w:p>
        </w:tc>
        <w:tc>
          <w:tcPr>
            <w:tcW w:w="1707" w:type="dxa"/>
            <w:tcBorders>
              <w:tl2br w:val="nil"/>
              <w:tr2bl w:val="nil"/>
            </w:tcBorders>
            <w:vAlign w:val="center"/>
          </w:tcPr>
          <w:p w14:paraId="66AB46C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1.操作规范性</w:t>
            </w:r>
          </w:p>
        </w:tc>
        <w:tc>
          <w:tcPr>
            <w:tcW w:w="5866" w:type="dxa"/>
            <w:tcBorders>
              <w:tl2br w:val="nil"/>
              <w:tr2bl w:val="nil"/>
            </w:tcBorders>
            <w:vAlign w:val="center"/>
          </w:tcPr>
          <w:p w14:paraId="505736D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技能操作规范，符合行业标准和岗位要求</w:t>
            </w:r>
          </w:p>
        </w:tc>
      </w:tr>
      <w:tr w14:paraId="1AE82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0" w:hRule="exact"/>
        </w:trPr>
        <w:tc>
          <w:tcPr>
            <w:tcW w:w="1302" w:type="dxa"/>
            <w:vMerge w:val="continue"/>
            <w:tcBorders>
              <w:tl2br w:val="nil"/>
              <w:tr2bl w:val="nil"/>
            </w:tcBorders>
            <w:vAlign w:val="center"/>
          </w:tcPr>
          <w:p w14:paraId="4491360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Theme="minorEastAsia" w:hAnsiTheme="minorEastAsia" w:eastAsiaTheme="minorEastAsia" w:cstheme="minorEastAsia"/>
                <w:b w:val="0"/>
                <w:bCs w:val="0"/>
                <w:kern w:val="0"/>
                <w:sz w:val="21"/>
                <w:szCs w:val="21"/>
              </w:rPr>
            </w:pPr>
          </w:p>
        </w:tc>
        <w:tc>
          <w:tcPr>
            <w:tcW w:w="1707" w:type="dxa"/>
            <w:tcBorders>
              <w:tl2br w:val="nil"/>
              <w:tr2bl w:val="nil"/>
            </w:tcBorders>
            <w:vAlign w:val="center"/>
          </w:tcPr>
          <w:p w14:paraId="32D36A3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2.技能熟练度</w:t>
            </w:r>
          </w:p>
        </w:tc>
        <w:tc>
          <w:tcPr>
            <w:tcW w:w="5866" w:type="dxa"/>
            <w:tcBorders>
              <w:tl2br w:val="nil"/>
              <w:tr2bl w:val="nil"/>
            </w:tcBorders>
            <w:vAlign w:val="center"/>
          </w:tcPr>
          <w:p w14:paraId="6DCED5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知识技术应用和软硬件等工具使用熟练，操作流畅，运用精准，任务进度控制和时间利用合理</w:t>
            </w:r>
          </w:p>
        </w:tc>
      </w:tr>
      <w:tr w14:paraId="52CA9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0" w:hRule="exact"/>
        </w:trPr>
        <w:tc>
          <w:tcPr>
            <w:tcW w:w="1302" w:type="dxa"/>
            <w:vMerge w:val="continue"/>
            <w:tcBorders>
              <w:tl2br w:val="nil"/>
              <w:tr2bl w:val="nil"/>
            </w:tcBorders>
            <w:vAlign w:val="center"/>
          </w:tcPr>
          <w:p w14:paraId="737C5DF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Theme="minorEastAsia" w:hAnsiTheme="minorEastAsia" w:eastAsiaTheme="minorEastAsia" w:cstheme="minorEastAsia"/>
                <w:b w:val="0"/>
                <w:bCs w:val="0"/>
                <w:kern w:val="0"/>
                <w:sz w:val="21"/>
                <w:szCs w:val="21"/>
              </w:rPr>
            </w:pPr>
          </w:p>
        </w:tc>
        <w:tc>
          <w:tcPr>
            <w:tcW w:w="1707" w:type="dxa"/>
            <w:tcBorders>
              <w:tl2br w:val="nil"/>
              <w:tr2bl w:val="nil"/>
            </w:tcBorders>
            <w:vAlign w:val="center"/>
          </w:tcPr>
          <w:p w14:paraId="314542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3.任务难易度</w:t>
            </w:r>
          </w:p>
        </w:tc>
        <w:tc>
          <w:tcPr>
            <w:tcW w:w="5866" w:type="dxa"/>
            <w:tcBorders>
              <w:tl2br w:val="nil"/>
              <w:tr2bl w:val="nil"/>
            </w:tcBorders>
            <w:vAlign w:val="center"/>
          </w:tcPr>
          <w:p w14:paraId="1AA12AF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工作任务完整，突出关键技术，具有一定挑战性，需要较高技能操作水平和解决复杂问题的综合能力</w:t>
            </w:r>
          </w:p>
        </w:tc>
      </w:tr>
      <w:tr w14:paraId="50923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0" w:hRule="exact"/>
        </w:trPr>
        <w:tc>
          <w:tcPr>
            <w:tcW w:w="1302" w:type="dxa"/>
            <w:vMerge w:val="continue"/>
            <w:tcBorders>
              <w:tl2br w:val="nil"/>
              <w:tr2bl w:val="nil"/>
            </w:tcBorders>
            <w:vAlign w:val="center"/>
          </w:tcPr>
          <w:p w14:paraId="364A9B6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Theme="minorEastAsia" w:hAnsiTheme="minorEastAsia" w:eastAsiaTheme="minorEastAsia" w:cstheme="minorEastAsia"/>
                <w:b w:val="0"/>
                <w:bCs w:val="0"/>
                <w:kern w:val="0"/>
                <w:sz w:val="21"/>
                <w:szCs w:val="21"/>
              </w:rPr>
            </w:pPr>
          </w:p>
        </w:tc>
        <w:tc>
          <w:tcPr>
            <w:tcW w:w="1707" w:type="dxa"/>
            <w:tcBorders>
              <w:tl2br w:val="nil"/>
              <w:tr2bl w:val="nil"/>
            </w:tcBorders>
            <w:vAlign w:val="center"/>
          </w:tcPr>
          <w:p w14:paraId="1F87B7D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4.技术先进性</w:t>
            </w:r>
          </w:p>
        </w:tc>
        <w:tc>
          <w:tcPr>
            <w:tcW w:w="5866" w:type="dxa"/>
            <w:tcBorders>
              <w:tl2br w:val="nil"/>
              <w:tr2bl w:val="nil"/>
            </w:tcBorders>
            <w:vAlign w:val="center"/>
          </w:tcPr>
          <w:p w14:paraId="1B33D67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体现所属行业新标准、新技术、新场景应用，积极应用前沿技术、数字化技术，技术选择恰当</w:t>
            </w:r>
          </w:p>
        </w:tc>
      </w:tr>
      <w:tr w14:paraId="17098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exact"/>
        </w:trPr>
        <w:tc>
          <w:tcPr>
            <w:tcW w:w="1302" w:type="dxa"/>
            <w:vMerge w:val="continue"/>
            <w:tcBorders>
              <w:tl2br w:val="nil"/>
              <w:tr2bl w:val="nil"/>
            </w:tcBorders>
            <w:vAlign w:val="center"/>
          </w:tcPr>
          <w:p w14:paraId="6A5988B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Theme="minorEastAsia" w:hAnsiTheme="minorEastAsia" w:eastAsiaTheme="minorEastAsia" w:cstheme="minorEastAsia"/>
                <w:b w:val="0"/>
                <w:bCs w:val="0"/>
                <w:kern w:val="0"/>
                <w:sz w:val="21"/>
                <w:szCs w:val="21"/>
              </w:rPr>
            </w:pPr>
          </w:p>
        </w:tc>
        <w:tc>
          <w:tcPr>
            <w:tcW w:w="1707" w:type="dxa"/>
            <w:tcBorders>
              <w:tl2br w:val="nil"/>
              <w:tr2bl w:val="nil"/>
            </w:tcBorders>
            <w:vAlign w:val="center"/>
          </w:tcPr>
          <w:p w14:paraId="746E2C1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5.现场讲解效果</w:t>
            </w:r>
          </w:p>
        </w:tc>
        <w:tc>
          <w:tcPr>
            <w:tcW w:w="5866" w:type="dxa"/>
            <w:tcBorders>
              <w:tl2br w:val="nil"/>
              <w:tr2bl w:val="nil"/>
            </w:tcBorders>
            <w:vAlign w:val="center"/>
          </w:tcPr>
          <w:p w14:paraId="3A72C5E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讲解内容逻辑清晰，重点突出，表达准确</w:t>
            </w:r>
          </w:p>
        </w:tc>
      </w:tr>
      <w:tr w14:paraId="3B1B8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0" w:hRule="exact"/>
        </w:trPr>
        <w:tc>
          <w:tcPr>
            <w:tcW w:w="1302" w:type="dxa"/>
            <w:vMerge w:val="restart"/>
            <w:tcBorders>
              <w:tl2br w:val="nil"/>
              <w:tr2bl w:val="nil"/>
            </w:tcBorders>
            <w:vAlign w:val="center"/>
          </w:tcPr>
          <w:p w14:paraId="5782EC1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职业素养</w:t>
            </w:r>
          </w:p>
        </w:tc>
        <w:tc>
          <w:tcPr>
            <w:tcW w:w="1707" w:type="dxa"/>
            <w:tcBorders>
              <w:tl2br w:val="nil"/>
              <w:tr2bl w:val="nil"/>
            </w:tcBorders>
            <w:vAlign w:val="center"/>
          </w:tcPr>
          <w:p w14:paraId="07DCE0B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1.职业道德与行为规范</w:t>
            </w:r>
          </w:p>
        </w:tc>
        <w:tc>
          <w:tcPr>
            <w:tcW w:w="5866" w:type="dxa"/>
            <w:tcBorders>
              <w:tl2br w:val="nil"/>
              <w:tr2bl w:val="nil"/>
            </w:tcBorders>
            <w:vAlign w:val="center"/>
          </w:tcPr>
          <w:p w14:paraId="4FD986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诚信守法，尊重知识产权，遵守职业伦理，展现良好职业风貌</w:t>
            </w:r>
          </w:p>
        </w:tc>
      </w:tr>
      <w:tr w14:paraId="22A08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exact"/>
        </w:trPr>
        <w:tc>
          <w:tcPr>
            <w:tcW w:w="1302" w:type="dxa"/>
            <w:vMerge w:val="continue"/>
            <w:tcBorders>
              <w:tl2br w:val="nil"/>
              <w:tr2bl w:val="nil"/>
            </w:tcBorders>
            <w:vAlign w:val="center"/>
          </w:tcPr>
          <w:p w14:paraId="039E6D8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Theme="minorEastAsia" w:hAnsiTheme="minorEastAsia" w:eastAsiaTheme="minorEastAsia" w:cstheme="minorEastAsia"/>
                <w:b w:val="0"/>
                <w:bCs w:val="0"/>
                <w:kern w:val="0"/>
                <w:sz w:val="21"/>
                <w:szCs w:val="21"/>
              </w:rPr>
            </w:pPr>
          </w:p>
        </w:tc>
        <w:tc>
          <w:tcPr>
            <w:tcW w:w="1707" w:type="dxa"/>
            <w:tcBorders>
              <w:tl2br w:val="nil"/>
              <w:tr2bl w:val="nil"/>
            </w:tcBorders>
            <w:vAlign w:val="center"/>
          </w:tcPr>
          <w:p w14:paraId="7278322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2.工匠精神</w:t>
            </w:r>
          </w:p>
        </w:tc>
        <w:tc>
          <w:tcPr>
            <w:tcW w:w="5866" w:type="dxa"/>
            <w:tcBorders>
              <w:tl2br w:val="nil"/>
              <w:tr2bl w:val="nil"/>
            </w:tcBorders>
            <w:vAlign w:val="center"/>
          </w:tcPr>
          <w:p w14:paraId="7D83120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注重细节，精益求精，追求卓越，体现管理意识和质量意识</w:t>
            </w:r>
          </w:p>
        </w:tc>
      </w:tr>
      <w:tr w14:paraId="7648D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exact"/>
        </w:trPr>
        <w:tc>
          <w:tcPr>
            <w:tcW w:w="1302" w:type="dxa"/>
            <w:vMerge w:val="continue"/>
            <w:tcBorders>
              <w:tl2br w:val="nil"/>
              <w:tr2bl w:val="nil"/>
            </w:tcBorders>
            <w:vAlign w:val="center"/>
          </w:tcPr>
          <w:p w14:paraId="1953DBE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Theme="minorEastAsia" w:hAnsiTheme="minorEastAsia" w:eastAsiaTheme="minorEastAsia" w:cstheme="minorEastAsia"/>
                <w:b w:val="0"/>
                <w:bCs w:val="0"/>
                <w:kern w:val="0"/>
                <w:sz w:val="21"/>
                <w:szCs w:val="21"/>
              </w:rPr>
            </w:pPr>
          </w:p>
        </w:tc>
        <w:tc>
          <w:tcPr>
            <w:tcW w:w="1707" w:type="dxa"/>
            <w:tcBorders>
              <w:tl2br w:val="nil"/>
              <w:tr2bl w:val="nil"/>
            </w:tcBorders>
            <w:vAlign w:val="center"/>
          </w:tcPr>
          <w:p w14:paraId="5B2CDBC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3.安全意识</w:t>
            </w:r>
          </w:p>
        </w:tc>
        <w:tc>
          <w:tcPr>
            <w:tcW w:w="5866" w:type="dxa"/>
            <w:tcBorders>
              <w:tl2br w:val="nil"/>
              <w:tr2bl w:val="nil"/>
            </w:tcBorders>
            <w:vAlign w:val="center"/>
          </w:tcPr>
          <w:p w14:paraId="75451B0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严格遵守安全规范，具备劳动保护和风险防范意识</w:t>
            </w:r>
          </w:p>
        </w:tc>
      </w:tr>
      <w:tr w14:paraId="1D4CF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15" w:hRule="exact"/>
        </w:trPr>
        <w:tc>
          <w:tcPr>
            <w:tcW w:w="1302" w:type="dxa"/>
            <w:vMerge w:val="restart"/>
            <w:tcBorders>
              <w:tl2br w:val="nil"/>
              <w:tr2bl w:val="nil"/>
            </w:tcBorders>
            <w:vAlign w:val="center"/>
          </w:tcPr>
          <w:p w14:paraId="6682F2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应用价值</w:t>
            </w:r>
          </w:p>
        </w:tc>
        <w:tc>
          <w:tcPr>
            <w:tcW w:w="1707" w:type="dxa"/>
            <w:tcBorders>
              <w:tl2br w:val="nil"/>
              <w:tr2bl w:val="nil"/>
            </w:tcBorders>
            <w:vAlign w:val="center"/>
          </w:tcPr>
          <w:p w14:paraId="4A24BEE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1.实用性</w:t>
            </w:r>
          </w:p>
        </w:tc>
        <w:tc>
          <w:tcPr>
            <w:tcW w:w="5866" w:type="dxa"/>
            <w:tcBorders>
              <w:tl2br w:val="nil"/>
              <w:tr2bl w:val="nil"/>
            </w:tcBorders>
            <w:vAlign w:val="center"/>
          </w:tcPr>
          <w:p w14:paraId="204D84C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解决方案可直接应用于实践，有效解决生产、生活中的实际问题，契合产业转型升级、区域经济社会发展、乡村振兴、促进高质量就业等国家战略需求</w:t>
            </w:r>
          </w:p>
        </w:tc>
      </w:tr>
      <w:tr w14:paraId="3AFF0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3" w:hRule="exact"/>
        </w:trPr>
        <w:tc>
          <w:tcPr>
            <w:tcW w:w="1302" w:type="dxa"/>
            <w:vMerge w:val="continue"/>
            <w:tcBorders>
              <w:tl2br w:val="nil"/>
              <w:tr2bl w:val="nil"/>
            </w:tcBorders>
            <w:vAlign w:val="center"/>
          </w:tcPr>
          <w:p w14:paraId="3AF0D53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Theme="minorEastAsia" w:hAnsiTheme="minorEastAsia" w:eastAsiaTheme="minorEastAsia" w:cstheme="minorEastAsia"/>
                <w:b w:val="0"/>
                <w:bCs w:val="0"/>
                <w:kern w:val="0"/>
                <w:sz w:val="21"/>
                <w:szCs w:val="21"/>
              </w:rPr>
            </w:pPr>
          </w:p>
        </w:tc>
        <w:tc>
          <w:tcPr>
            <w:tcW w:w="1707" w:type="dxa"/>
            <w:tcBorders>
              <w:tl2br w:val="nil"/>
              <w:tr2bl w:val="nil"/>
            </w:tcBorders>
            <w:vAlign w:val="center"/>
          </w:tcPr>
          <w:p w14:paraId="1F1117F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2.经济性</w:t>
            </w:r>
          </w:p>
        </w:tc>
        <w:tc>
          <w:tcPr>
            <w:tcW w:w="5866" w:type="dxa"/>
            <w:tcBorders>
              <w:tl2br w:val="nil"/>
              <w:tr2bl w:val="nil"/>
            </w:tcBorders>
            <w:vAlign w:val="center"/>
          </w:tcPr>
          <w:p w14:paraId="32B3F43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资源利用合理，体现高效益、高质量</w:t>
            </w:r>
          </w:p>
        </w:tc>
      </w:tr>
      <w:tr w14:paraId="6C977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exact"/>
        </w:trPr>
        <w:tc>
          <w:tcPr>
            <w:tcW w:w="1302" w:type="dxa"/>
            <w:vMerge w:val="continue"/>
            <w:tcBorders>
              <w:tl2br w:val="nil"/>
              <w:tr2bl w:val="nil"/>
            </w:tcBorders>
            <w:vAlign w:val="center"/>
          </w:tcPr>
          <w:p w14:paraId="3CF1E21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Theme="minorEastAsia" w:hAnsiTheme="minorEastAsia" w:eastAsiaTheme="minorEastAsia" w:cstheme="minorEastAsia"/>
                <w:b w:val="0"/>
                <w:bCs w:val="0"/>
                <w:kern w:val="0"/>
                <w:sz w:val="21"/>
                <w:szCs w:val="21"/>
              </w:rPr>
            </w:pPr>
          </w:p>
        </w:tc>
        <w:tc>
          <w:tcPr>
            <w:tcW w:w="1707" w:type="dxa"/>
            <w:tcBorders>
              <w:tl2br w:val="nil"/>
              <w:tr2bl w:val="nil"/>
            </w:tcBorders>
            <w:vAlign w:val="center"/>
          </w:tcPr>
          <w:p w14:paraId="3756C01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3.可持续性</w:t>
            </w:r>
          </w:p>
        </w:tc>
        <w:tc>
          <w:tcPr>
            <w:tcW w:w="5866" w:type="dxa"/>
            <w:tcBorders>
              <w:tl2br w:val="nil"/>
              <w:tr2bl w:val="nil"/>
            </w:tcBorders>
            <w:vAlign w:val="center"/>
          </w:tcPr>
          <w:p w14:paraId="571C372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具有良好环保意识，绿色低碳，符合产业未来发展方向</w:t>
            </w:r>
          </w:p>
        </w:tc>
      </w:tr>
      <w:tr w14:paraId="6D2C3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0" w:hRule="exact"/>
        </w:trPr>
        <w:tc>
          <w:tcPr>
            <w:tcW w:w="1302" w:type="dxa"/>
            <w:vMerge w:val="restart"/>
            <w:tcBorders>
              <w:tl2br w:val="nil"/>
              <w:tr2bl w:val="nil"/>
            </w:tcBorders>
            <w:vAlign w:val="center"/>
          </w:tcPr>
          <w:p w14:paraId="10BA29F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团队合作</w:t>
            </w:r>
          </w:p>
        </w:tc>
        <w:tc>
          <w:tcPr>
            <w:tcW w:w="1707" w:type="dxa"/>
            <w:tcBorders>
              <w:tl2br w:val="nil"/>
              <w:tr2bl w:val="nil"/>
            </w:tcBorders>
            <w:vAlign w:val="center"/>
          </w:tcPr>
          <w:p w14:paraId="270C869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1.团队精神</w:t>
            </w:r>
          </w:p>
        </w:tc>
        <w:tc>
          <w:tcPr>
            <w:tcW w:w="5866" w:type="dxa"/>
            <w:tcBorders>
              <w:tl2br w:val="nil"/>
              <w:tr2bl w:val="nil"/>
            </w:tcBorders>
            <w:vAlign w:val="center"/>
          </w:tcPr>
          <w:p w14:paraId="5A4B10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团队成员能够准确理解共同目标和任务，清楚自己的角色定位和职责，团队成员相互尊重、信任和支持，拥有良好的团队氛围</w:t>
            </w:r>
          </w:p>
        </w:tc>
      </w:tr>
      <w:tr w14:paraId="01670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0" w:hRule="exact"/>
        </w:trPr>
        <w:tc>
          <w:tcPr>
            <w:tcW w:w="1302" w:type="dxa"/>
            <w:vMerge w:val="continue"/>
            <w:tcBorders>
              <w:tl2br w:val="nil"/>
              <w:tr2bl w:val="nil"/>
            </w:tcBorders>
            <w:vAlign w:val="center"/>
          </w:tcPr>
          <w:p w14:paraId="1A989FE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Theme="minorEastAsia" w:hAnsiTheme="minorEastAsia" w:eastAsiaTheme="minorEastAsia" w:cstheme="minorEastAsia"/>
                <w:b w:val="0"/>
                <w:bCs w:val="0"/>
                <w:kern w:val="0"/>
                <w:sz w:val="21"/>
                <w:szCs w:val="21"/>
              </w:rPr>
            </w:pPr>
          </w:p>
        </w:tc>
        <w:tc>
          <w:tcPr>
            <w:tcW w:w="1707" w:type="dxa"/>
            <w:tcBorders>
              <w:tl2br w:val="nil"/>
              <w:tr2bl w:val="nil"/>
            </w:tcBorders>
            <w:vAlign w:val="center"/>
          </w:tcPr>
          <w:p w14:paraId="3A3D49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2.沟通协作</w:t>
            </w:r>
          </w:p>
        </w:tc>
        <w:tc>
          <w:tcPr>
            <w:tcW w:w="5866" w:type="dxa"/>
            <w:tcBorders>
              <w:tl2br w:val="nil"/>
              <w:tr2bl w:val="nil"/>
            </w:tcBorders>
            <w:vAlign w:val="center"/>
          </w:tcPr>
          <w:p w14:paraId="09F1A52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团队成员在比赛中能够有效沟通、紧密协作，能够相互补台，共同应对突发情况</w:t>
            </w:r>
          </w:p>
        </w:tc>
      </w:tr>
      <w:tr w14:paraId="3395C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exact"/>
        </w:trPr>
        <w:tc>
          <w:tcPr>
            <w:tcW w:w="1302" w:type="dxa"/>
            <w:vMerge w:val="restart"/>
            <w:tcBorders>
              <w:tl2br w:val="nil"/>
              <w:tr2bl w:val="nil"/>
            </w:tcBorders>
            <w:vAlign w:val="center"/>
          </w:tcPr>
          <w:p w14:paraId="1EB181D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创新创意</w:t>
            </w:r>
          </w:p>
        </w:tc>
        <w:tc>
          <w:tcPr>
            <w:tcW w:w="1707" w:type="dxa"/>
            <w:tcBorders>
              <w:tl2br w:val="nil"/>
              <w:tr2bl w:val="nil"/>
            </w:tcBorders>
            <w:vAlign w:val="center"/>
          </w:tcPr>
          <w:p w14:paraId="359B548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1.创新意识</w:t>
            </w:r>
          </w:p>
        </w:tc>
        <w:tc>
          <w:tcPr>
            <w:tcW w:w="5866" w:type="dxa"/>
            <w:tcBorders>
              <w:tl2br w:val="nil"/>
              <w:tr2bl w:val="nil"/>
            </w:tcBorders>
            <w:vAlign w:val="center"/>
          </w:tcPr>
          <w:p w14:paraId="71737DC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体现原始创意、创新和团队成员创新精神、创新能力</w:t>
            </w:r>
          </w:p>
        </w:tc>
      </w:tr>
      <w:tr w14:paraId="57A37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52" w:hRule="exact"/>
        </w:trPr>
        <w:tc>
          <w:tcPr>
            <w:tcW w:w="1302" w:type="dxa"/>
            <w:vMerge w:val="continue"/>
            <w:tcBorders>
              <w:tl2br w:val="nil"/>
              <w:tr2bl w:val="nil"/>
            </w:tcBorders>
            <w:vAlign w:val="center"/>
          </w:tcPr>
          <w:p w14:paraId="2B9ADAB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Theme="minorEastAsia" w:hAnsiTheme="minorEastAsia" w:eastAsiaTheme="minorEastAsia" w:cstheme="minorEastAsia"/>
                <w:b/>
                <w:bCs/>
                <w:kern w:val="0"/>
                <w:sz w:val="21"/>
                <w:szCs w:val="21"/>
              </w:rPr>
            </w:pPr>
          </w:p>
        </w:tc>
        <w:tc>
          <w:tcPr>
            <w:tcW w:w="1707" w:type="dxa"/>
            <w:tcBorders>
              <w:tl2br w:val="nil"/>
              <w:tr2bl w:val="nil"/>
            </w:tcBorders>
            <w:vAlign w:val="center"/>
          </w:tcPr>
          <w:p w14:paraId="58CFB6A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2.创新成效</w:t>
            </w:r>
          </w:p>
        </w:tc>
        <w:tc>
          <w:tcPr>
            <w:tcW w:w="5866" w:type="dxa"/>
            <w:tcBorders>
              <w:tl2br w:val="nil"/>
              <w:tr2bl w:val="nil"/>
            </w:tcBorders>
            <w:vAlign w:val="center"/>
          </w:tcPr>
          <w:p w14:paraId="6806746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在要素整合、新技术应用、工艺流程改进、服务模式优化等方面具有原创性，侧重加工工艺创新、实用技术创新、产品（技术）数字化改良、应用性优化、民生类创意等</w:t>
            </w:r>
          </w:p>
        </w:tc>
      </w:tr>
    </w:tbl>
    <w:p w14:paraId="685B09A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Arial"/>
          <w:sz w:val="2"/>
        </w:rPr>
      </w:pPr>
    </w:p>
    <w:p w14:paraId="462E810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8" w:firstLineChars="200"/>
        <w:textAlignment w:val="baseline"/>
        <w:outlineLvl w:val="1"/>
        <w:rPr>
          <w:b/>
          <w:bCs/>
          <w:spacing w:val="-6"/>
        </w:rPr>
      </w:pPr>
      <w:r>
        <w:rPr>
          <w:b/>
          <w:bCs/>
          <w:spacing w:val="-6"/>
        </w:rPr>
        <w:t>（</w:t>
      </w:r>
      <w:r>
        <w:rPr>
          <w:rFonts w:hint="eastAsia"/>
          <w:b/>
          <w:bCs/>
          <w:spacing w:val="-6"/>
          <w:lang w:val="en-US" w:eastAsia="zh-CN"/>
        </w:rPr>
        <w:t>二</w:t>
      </w:r>
      <w:r>
        <w:rPr>
          <w:b/>
          <w:bCs/>
          <w:spacing w:val="-6"/>
        </w:rPr>
        <w:t>）成绩审核</w:t>
      </w:r>
    </w:p>
    <w:p w14:paraId="5ECD6C5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4"/>
        <w:jc w:val="both"/>
        <w:textAlignment w:val="baseline"/>
      </w:pPr>
      <w:r>
        <w:rPr>
          <w:spacing w:val="-4"/>
        </w:rPr>
        <w:t>为保障成绩评判的准确性，监督仲裁组将对赛</w:t>
      </w:r>
      <w:r>
        <w:rPr>
          <w:spacing w:val="-5"/>
        </w:rPr>
        <w:t>项总成绩排名</w:t>
      </w:r>
      <w:r>
        <w:rPr>
          <w:spacing w:val="-2"/>
        </w:rPr>
        <w:t>前30%的所有参赛队伍（选手）的成绩进行复核。对其余成绩进行抽检复核，抽检覆盖率不得低于15%。如发现成</w:t>
      </w:r>
      <w:r>
        <w:rPr>
          <w:spacing w:val="-3"/>
        </w:rPr>
        <w:t>绩错误须以书</w:t>
      </w:r>
      <w:r>
        <w:rPr>
          <w:spacing w:val="-2"/>
        </w:rPr>
        <w:t>面方式及时告知裁判长，由裁判长更正成绩并签字确认</w:t>
      </w:r>
      <w:r>
        <w:rPr>
          <w:spacing w:val="-3"/>
        </w:rPr>
        <w:t>。复核、</w:t>
      </w:r>
      <w:r>
        <w:rPr>
          <w:spacing w:val="-1"/>
        </w:rPr>
        <w:t>抽检错误率超过5%的，裁判组须对所有成绩</w:t>
      </w:r>
      <w:r>
        <w:rPr>
          <w:spacing w:val="-2"/>
        </w:rPr>
        <w:t>进行复核。</w:t>
      </w:r>
    </w:p>
    <w:p w14:paraId="6033C0D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8" w:firstLineChars="200"/>
        <w:textAlignment w:val="baseline"/>
        <w:outlineLvl w:val="1"/>
        <w:rPr>
          <w:b/>
          <w:bCs/>
          <w:spacing w:val="-6"/>
        </w:rPr>
      </w:pPr>
      <w:r>
        <w:rPr>
          <w:b/>
          <w:bCs/>
          <w:spacing w:val="-6"/>
        </w:rPr>
        <w:t>（</w:t>
      </w:r>
      <w:r>
        <w:rPr>
          <w:rFonts w:hint="eastAsia"/>
          <w:b/>
          <w:bCs/>
          <w:spacing w:val="-6"/>
          <w:lang w:val="en-US" w:eastAsia="zh-CN"/>
        </w:rPr>
        <w:t>三</w:t>
      </w:r>
      <w:r>
        <w:rPr>
          <w:b/>
          <w:bCs/>
          <w:spacing w:val="-6"/>
        </w:rPr>
        <w:t>）成绩解密</w:t>
      </w:r>
    </w:p>
    <w:p w14:paraId="3329DEE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1"/>
        <w:textAlignment w:val="baseline"/>
      </w:pPr>
      <w:r>
        <w:rPr>
          <w:spacing w:val="-3"/>
        </w:rPr>
        <w:t>裁判长正式提交赛位（竞赛作品）评分结果并</w:t>
      </w:r>
      <w:r>
        <w:rPr>
          <w:spacing w:val="-4"/>
        </w:rPr>
        <w:t>复核无误后，</w:t>
      </w:r>
      <w:r>
        <w:rPr>
          <w:spacing w:val="-1"/>
        </w:rPr>
        <w:t>加密裁判在监督人员监督下对加密结果进行逐层解密。</w:t>
      </w:r>
    </w:p>
    <w:p w14:paraId="2C0845D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8" w:firstLineChars="200"/>
        <w:textAlignment w:val="baseline"/>
        <w:outlineLvl w:val="1"/>
        <w:rPr>
          <w:b/>
          <w:bCs/>
          <w:spacing w:val="-6"/>
        </w:rPr>
      </w:pPr>
      <w:r>
        <w:rPr>
          <w:b/>
          <w:bCs/>
          <w:spacing w:val="-6"/>
        </w:rPr>
        <w:t>（</w:t>
      </w:r>
      <w:r>
        <w:rPr>
          <w:rFonts w:hint="eastAsia"/>
          <w:b/>
          <w:bCs/>
          <w:spacing w:val="-6"/>
          <w:lang w:val="en-US" w:eastAsia="zh-CN"/>
        </w:rPr>
        <w:t>四</w:t>
      </w:r>
      <w:r>
        <w:rPr>
          <w:b/>
          <w:bCs/>
          <w:spacing w:val="-6"/>
        </w:rPr>
        <w:t>）成绩公布</w:t>
      </w:r>
    </w:p>
    <w:p w14:paraId="415361C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3"/>
        <w:jc w:val="both"/>
        <w:textAlignment w:val="baseline"/>
      </w:pPr>
      <w:r>
        <w:rPr>
          <w:spacing w:val="-4"/>
        </w:rPr>
        <w:t>竞赛总成绩复核无误后，经赛项裁判长、监督</w:t>
      </w:r>
      <w:r>
        <w:rPr>
          <w:spacing w:val="-5"/>
        </w:rPr>
        <w:t>仲裁人员签字</w:t>
      </w:r>
      <w:r>
        <w:rPr>
          <w:spacing w:val="-2"/>
        </w:rPr>
        <w:t>确认，在指定地点以纸质形式向全体参赛队公布比赛结果，2</w:t>
      </w:r>
      <w:r>
        <w:rPr>
          <w:spacing w:val="-51"/>
        </w:rPr>
        <w:t xml:space="preserve"> </w:t>
      </w:r>
      <w:r>
        <w:rPr>
          <w:spacing w:val="-2"/>
        </w:rPr>
        <w:t>小时无异议后，予以宣布。</w:t>
      </w:r>
    </w:p>
    <w:p w14:paraId="281EAF6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8" w:firstLineChars="200"/>
        <w:textAlignment w:val="baseline"/>
        <w:outlineLvl w:val="1"/>
        <w:rPr>
          <w:b/>
          <w:bCs/>
          <w:spacing w:val="-6"/>
        </w:rPr>
      </w:pPr>
      <w:r>
        <w:rPr>
          <w:b/>
          <w:bCs/>
          <w:spacing w:val="-6"/>
        </w:rPr>
        <w:t>（</w:t>
      </w:r>
      <w:r>
        <w:rPr>
          <w:rFonts w:hint="eastAsia"/>
          <w:b/>
          <w:bCs/>
          <w:spacing w:val="-6"/>
          <w:lang w:val="en-US" w:eastAsia="zh-CN"/>
        </w:rPr>
        <w:t>五</w:t>
      </w:r>
      <w:r>
        <w:rPr>
          <w:b/>
          <w:bCs/>
          <w:spacing w:val="-6"/>
        </w:rPr>
        <w:t>）成绩报送</w:t>
      </w:r>
    </w:p>
    <w:p w14:paraId="386D330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2"/>
        <w:textAlignment w:val="baseline"/>
        <w:rPr>
          <w:spacing w:val="-4"/>
        </w:rPr>
      </w:pPr>
      <w:r>
        <w:rPr>
          <w:spacing w:val="-4"/>
        </w:rPr>
        <w:t>1.录入。由承办单位信息员将赛项总成绩的最终结果录入赛务管理系统。</w:t>
      </w:r>
    </w:p>
    <w:p w14:paraId="2D853F0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2"/>
        <w:textAlignment w:val="baseline"/>
        <w:rPr>
          <w:spacing w:val="-4"/>
        </w:rPr>
      </w:pPr>
      <w:r>
        <w:rPr>
          <w:spacing w:val="-4"/>
        </w:rPr>
        <w:t>2.审核。承办单位信息员对成绩数据审核后，将赛务系统中录入的成绩导出打印，经赛项裁判长审核无误后签字。</w:t>
      </w:r>
    </w:p>
    <w:p w14:paraId="0917573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2"/>
        <w:textAlignment w:val="baseline"/>
        <w:rPr>
          <w:spacing w:val="-4"/>
        </w:rPr>
      </w:pPr>
      <w:r>
        <w:rPr>
          <w:spacing w:val="-4"/>
        </w:rPr>
        <w:t>3.报送。由承办单位信息员将裁判长确认的电子版赛项成绩</w:t>
      </w:r>
      <w:r>
        <w:rPr>
          <w:spacing w:val="-4"/>
        </w:rPr>
        <w:t>信息上传赛务管理系统，同时将裁判长签字的纸质打印成绩单报送大赛执委会办公室。</w:t>
      </w:r>
    </w:p>
    <w:p w14:paraId="7F5E1C6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8" w:firstLineChars="200"/>
        <w:textAlignment w:val="baseline"/>
        <w:outlineLvl w:val="1"/>
        <w:rPr>
          <w:b/>
          <w:bCs/>
          <w:spacing w:val="-6"/>
        </w:rPr>
      </w:pPr>
      <w:r>
        <w:rPr>
          <w:b/>
          <w:bCs/>
          <w:spacing w:val="-6"/>
        </w:rPr>
        <w:t>（</w:t>
      </w:r>
      <w:r>
        <w:rPr>
          <w:rFonts w:hint="eastAsia"/>
          <w:b/>
          <w:bCs/>
          <w:spacing w:val="-6"/>
          <w:lang w:val="en-US" w:eastAsia="zh-CN"/>
        </w:rPr>
        <w:t>六</w:t>
      </w:r>
      <w:r>
        <w:rPr>
          <w:b/>
          <w:bCs/>
          <w:spacing w:val="-6"/>
        </w:rPr>
        <w:t>）成绩使用</w:t>
      </w:r>
    </w:p>
    <w:p w14:paraId="35D4995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4"/>
        <w:textAlignment w:val="baseline"/>
      </w:pPr>
      <w:r>
        <w:rPr>
          <w:spacing w:val="-4"/>
        </w:rPr>
        <w:t>大赛最终成绩由赛项执委会公布，任何组织和</w:t>
      </w:r>
      <w:r>
        <w:rPr>
          <w:spacing w:val="-5"/>
        </w:rPr>
        <w:t>个人，不得擅</w:t>
      </w:r>
      <w:r>
        <w:rPr>
          <w:spacing w:val="-3"/>
        </w:rPr>
        <w:t>自对大赛成绩进行涂改、伪造或用于欺诈等违法犯罪活动。</w:t>
      </w:r>
    </w:p>
    <w:p w14:paraId="4A72F97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8" w:firstLineChars="200"/>
        <w:textAlignment w:val="baseline"/>
        <w:outlineLvl w:val="1"/>
        <w:rPr>
          <w:b/>
          <w:bCs/>
          <w:spacing w:val="-6"/>
        </w:rPr>
      </w:pPr>
      <w:r>
        <w:rPr>
          <w:b/>
          <w:bCs/>
          <w:spacing w:val="-6"/>
        </w:rPr>
        <w:t>九、竞赛须知</w:t>
      </w:r>
    </w:p>
    <w:p w14:paraId="4EC2910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8" w:firstLineChars="200"/>
        <w:textAlignment w:val="baseline"/>
        <w:outlineLvl w:val="1"/>
        <w:rPr>
          <w:b/>
          <w:bCs/>
          <w:spacing w:val="-6"/>
        </w:rPr>
      </w:pPr>
      <w:r>
        <w:rPr>
          <w:b/>
          <w:bCs/>
          <w:spacing w:val="-6"/>
        </w:rPr>
        <w:t>（一）参赛队须知</w:t>
      </w:r>
    </w:p>
    <w:p w14:paraId="611016C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3"/>
        <w:textAlignment w:val="baseline"/>
      </w:pPr>
      <w:r>
        <w:rPr>
          <w:spacing w:val="-2"/>
        </w:rPr>
        <w:t>1.参赛队对大赛执委会发布的所有文件都要仔细阅读，确</w:t>
      </w:r>
      <w:r>
        <w:rPr>
          <w:spacing w:val="-1"/>
        </w:rPr>
        <w:t>切了解大赛时间安排、评判细节等，以保证顺利参加比赛。</w:t>
      </w:r>
    </w:p>
    <w:p w14:paraId="55B76E7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3"/>
        <w:textAlignment w:val="baseline"/>
        <w:rPr>
          <w:spacing w:val="-4"/>
        </w:rPr>
      </w:pPr>
      <w:r>
        <w:rPr>
          <w:spacing w:val="-1"/>
        </w:rPr>
        <w:t>2.领队负责本参赛队的参赛组织和大赛的联络，并按时参加领队会议。参赛选手应自觉遵守赛场纪律，服从裁判、听从</w:t>
      </w:r>
      <w:r>
        <w:rPr>
          <w:spacing w:val="-4"/>
        </w:rPr>
        <w:t>指挥。</w:t>
      </w:r>
    </w:p>
    <w:p w14:paraId="241EB1D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4" w:firstLineChars="200"/>
        <w:textAlignment w:val="baseline"/>
        <w:rPr>
          <w:rFonts w:hint="eastAsia"/>
          <w:spacing w:val="-4"/>
        </w:rPr>
      </w:pPr>
      <w:r>
        <w:rPr>
          <w:rFonts w:hint="eastAsia"/>
          <w:spacing w:val="-4"/>
        </w:rPr>
        <w:t>3.参赛队按照赛项赛程安排，凭赛项执委会颁发的参赛证和有效身份证件参加竞赛及相关活动。通过抽签决定比赛场地和比赛顺序。</w:t>
      </w:r>
    </w:p>
    <w:p w14:paraId="33F718D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3"/>
        <w:textAlignment w:val="baseline"/>
        <w:rPr>
          <w:spacing w:val="-4"/>
        </w:rPr>
      </w:pPr>
      <w:r>
        <w:rPr>
          <w:rFonts w:hint="eastAsia"/>
          <w:spacing w:val="-4"/>
        </w:rPr>
        <w:t>4.参赛队选手必须购买在竞赛期间的意外伤害保险。</w:t>
      </w:r>
    </w:p>
    <w:p w14:paraId="59247BE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8" w:firstLineChars="200"/>
        <w:textAlignment w:val="baseline"/>
        <w:outlineLvl w:val="1"/>
        <w:rPr>
          <w:b/>
          <w:bCs/>
          <w:spacing w:val="-6"/>
        </w:rPr>
      </w:pPr>
      <w:r>
        <w:rPr>
          <w:b/>
          <w:bCs/>
          <w:spacing w:val="-6"/>
        </w:rPr>
        <w:t>（二）指导教师须知</w:t>
      </w:r>
    </w:p>
    <w:p w14:paraId="237DFF8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40" w:firstLineChars="200"/>
        <w:textAlignment w:val="baseline"/>
      </w:pPr>
      <w:r>
        <w:rPr>
          <w:spacing w:val="10"/>
        </w:rPr>
        <w:t>1.指导教师应该根据专业教学计划和赛项规程合理制定</w:t>
      </w:r>
      <w:r>
        <w:rPr>
          <w:spacing w:val="-1"/>
        </w:rPr>
        <w:t>训练方案，认真指导选手训练，培养选手的综合职业能力和良</w:t>
      </w:r>
      <w:r>
        <w:rPr>
          <w:spacing w:val="-2"/>
        </w:rPr>
        <w:t>好的职业素养。</w:t>
      </w:r>
    </w:p>
    <w:p w14:paraId="7C5B750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0"/>
        <w:textAlignment w:val="baseline"/>
      </w:pPr>
      <w:r>
        <w:rPr>
          <w:spacing w:val="11"/>
        </w:rPr>
        <w:t>2.指导教师应该根据赛项规程要求做好参赛选手保险办</w:t>
      </w:r>
      <w:r>
        <w:rPr>
          <w:spacing w:val="-1"/>
        </w:rPr>
        <w:t>理工作，并积极做好选手的安全教育。</w:t>
      </w:r>
    </w:p>
    <w:p w14:paraId="436FB76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0"/>
        <w:textAlignment w:val="baseline"/>
      </w:pPr>
      <w:r>
        <w:rPr>
          <w:rFonts w:hint="eastAsia"/>
          <w:spacing w:val="-1"/>
          <w:lang w:val="en-US" w:eastAsia="zh-CN"/>
        </w:rPr>
        <w:t>3</w:t>
      </w:r>
      <w:r>
        <w:rPr>
          <w:spacing w:val="-1"/>
        </w:rPr>
        <w:t>.指导教师应自觉遵守大赛各项制度，尊重专家、裁判、监督仲裁及工作人员。要引导和教育参赛选手对于认为有影响比赛成绩的裁判行为或设备故障，按照赛项指南规定和大赛制度与裁判、工作人员进行充分沟通或赛后提出申诉，不得在网络、微信群等各种媒体发表、传播有待核实信息和过激言论。对比赛过程中的争议问题，要按大赛制度规定程序处理，不得</w:t>
      </w:r>
      <w:r>
        <w:rPr>
          <w:spacing w:val="-2"/>
        </w:rPr>
        <w:t>采取过激行为。</w:t>
      </w:r>
    </w:p>
    <w:p w14:paraId="49BA184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8" w:firstLineChars="200"/>
        <w:textAlignment w:val="baseline"/>
        <w:outlineLvl w:val="1"/>
        <w:rPr>
          <w:b/>
          <w:bCs/>
          <w:spacing w:val="-6"/>
        </w:rPr>
      </w:pPr>
      <w:r>
        <w:rPr>
          <w:b/>
          <w:bCs/>
          <w:spacing w:val="-6"/>
        </w:rPr>
        <w:t>（三）参赛选手须知</w:t>
      </w:r>
    </w:p>
    <w:p w14:paraId="5E8FF24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18"/>
        <w:textAlignment w:val="baseline"/>
      </w:pPr>
      <w:r>
        <w:rPr>
          <w:spacing w:val="-2"/>
        </w:rPr>
        <w:t>1.参赛选手应当文明参赛，服从裁判统一指挥，尊重赛场工作人员，自觉维护赛场秩序。</w:t>
      </w:r>
    </w:p>
    <w:p w14:paraId="0C398BC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2"/>
        <w:textAlignment w:val="baseline"/>
      </w:pPr>
      <w:r>
        <w:rPr>
          <w:spacing w:val="-1"/>
        </w:rPr>
        <w:t>2.参赛选手须严格遵守竞赛规程规定的安全操作流程，防</w:t>
      </w:r>
      <w:r>
        <w:rPr>
          <w:spacing w:val="-2"/>
        </w:rPr>
        <w:t>止发生安全事故。</w:t>
      </w:r>
    </w:p>
    <w:p w14:paraId="150988E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6"/>
        <w:textAlignment w:val="baseline"/>
      </w:pPr>
      <w:r>
        <w:rPr>
          <w:spacing w:val="-1"/>
        </w:rPr>
        <w:t>3.参赛选手应该爱护赛场使用的设备、仪器等，不得人为损坏比赛所使用的仪器设备。</w:t>
      </w:r>
    </w:p>
    <w:p w14:paraId="70B370A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0"/>
        <w:textAlignment w:val="baseline"/>
      </w:pPr>
      <w:r>
        <w:rPr>
          <w:spacing w:val="-1"/>
        </w:rPr>
        <w:t>4.参赛选手须严格按照规定时间进入候考区和比赛场地，不允许携带任何竞赛规程禁止使用的电子产品及通讯工具，以及其他与竞赛有关的资料和书籍，不得以任何方式泄露参赛院校、选手姓名等涉及竞赛场上应该保密的信息。</w:t>
      </w:r>
    </w:p>
    <w:p w14:paraId="74EC3D4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6"/>
        <w:jc w:val="both"/>
        <w:textAlignment w:val="baseline"/>
      </w:pPr>
      <w:r>
        <w:rPr>
          <w:spacing w:val="11"/>
        </w:rPr>
        <w:t>5.参赛选手对于认为有影响比赛成绩的裁判行为或设备</w:t>
      </w:r>
      <w:r>
        <w:rPr>
          <w:spacing w:val="-1"/>
        </w:rPr>
        <w:t>故障等应向指导老师反映，由指导老师按大赛制度规定进行</w:t>
      </w:r>
      <w:r>
        <w:rPr>
          <w:spacing w:val="5"/>
        </w:rPr>
        <w:t>申诉。参赛选手不得利用比赛相关的微信群、</w:t>
      </w:r>
      <w:r>
        <w:t>QQ</w:t>
      </w:r>
      <w:r>
        <w:rPr>
          <w:spacing w:val="5"/>
        </w:rPr>
        <w:t xml:space="preserve"> 群发布虚假</w:t>
      </w:r>
      <w:r>
        <w:rPr>
          <w:spacing w:val="-2"/>
        </w:rPr>
        <w:t>信息和不当言论。</w:t>
      </w:r>
    </w:p>
    <w:p w14:paraId="07E8087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8" w:firstLineChars="200"/>
        <w:textAlignment w:val="baseline"/>
        <w:outlineLvl w:val="1"/>
        <w:rPr>
          <w:b/>
          <w:bCs/>
          <w:spacing w:val="-6"/>
        </w:rPr>
      </w:pPr>
      <w:r>
        <w:rPr>
          <w:b/>
          <w:bCs/>
          <w:spacing w:val="-6"/>
        </w:rPr>
        <w:t>（四）工作人员须知</w:t>
      </w:r>
    </w:p>
    <w:p w14:paraId="161460E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3"/>
        <w:textAlignment w:val="baseline"/>
      </w:pPr>
      <w:r>
        <w:rPr>
          <w:spacing w:val="-2"/>
        </w:rPr>
        <w:t>1.工作人员应服从赛项执委会的领导，遵守职业道德、坚</w:t>
      </w:r>
      <w:r>
        <w:rPr>
          <w:spacing w:val="-1"/>
        </w:rPr>
        <w:t>持原则、按章办事，以高度负责的精神、严肃认真的态度和严谨细致的作风做好工作，为赛场提供有序的服务。</w:t>
      </w:r>
    </w:p>
    <w:p w14:paraId="37A925C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5"/>
        <w:textAlignment w:val="baseline"/>
      </w:pPr>
      <w:r>
        <w:rPr>
          <w:spacing w:val="-1"/>
        </w:rPr>
        <w:t>2.佩戴工作人员证件，仪表整洁，忠于职守，语言举止文</w:t>
      </w:r>
      <w:r>
        <w:rPr>
          <w:spacing w:val="-10"/>
        </w:rPr>
        <w:t>明礼貌。</w:t>
      </w:r>
    </w:p>
    <w:p w14:paraId="44AFE4E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7"/>
        <w:textAlignment w:val="baseline"/>
      </w:pPr>
      <w:r>
        <w:rPr>
          <w:spacing w:val="-1"/>
        </w:rPr>
        <w:t>3.熟悉《竞赛规程》，认真执行竞赛规则，严格按照工作程序和有关规定办事，遇突发事件按照应急预案组织指挥人员疏散，确保人员安全。</w:t>
      </w:r>
    </w:p>
    <w:p w14:paraId="5CD16A5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6" w:firstLineChars="200"/>
        <w:textAlignment w:val="baseline"/>
      </w:pPr>
      <w:r>
        <w:rPr>
          <w:spacing w:val="-1"/>
        </w:rPr>
        <w:t>4.坚守岗位，不迟到</w:t>
      </w:r>
      <w:r>
        <w:rPr>
          <w:rFonts w:hint="eastAsia"/>
          <w:spacing w:val="-1"/>
          <w:lang w:eastAsia="zh-CN"/>
        </w:rPr>
        <w:t>、</w:t>
      </w:r>
      <w:r>
        <w:rPr>
          <w:spacing w:val="-1"/>
        </w:rPr>
        <w:t>不早退，不擅离职守。</w:t>
      </w:r>
    </w:p>
    <w:p w14:paraId="1C4687E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0"/>
        <w:textAlignment w:val="baseline"/>
      </w:pPr>
      <w:r>
        <w:rPr>
          <w:spacing w:val="-1"/>
        </w:rPr>
        <w:t>5.赛场工作人员要积极维护好赛场秩序，以利于参赛选手</w:t>
      </w:r>
      <w:r>
        <w:rPr>
          <w:spacing w:val="-3"/>
        </w:rPr>
        <w:t>正常发挥水平。</w:t>
      </w:r>
    </w:p>
    <w:p w14:paraId="6B44DF1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1"/>
        <w:jc w:val="both"/>
        <w:textAlignment w:val="baseline"/>
        <w:rPr>
          <w:spacing w:val="-1"/>
        </w:rPr>
      </w:pPr>
      <w:r>
        <w:rPr>
          <w:spacing w:val="7"/>
        </w:rPr>
        <w:t>6.赛场工作人员在比赛中不回答选手提出的任何有关比赛</w:t>
      </w:r>
      <w:r>
        <w:rPr>
          <w:spacing w:val="-1"/>
        </w:rPr>
        <w:t>技术问题，如遇争议</w:t>
      </w:r>
      <w:r>
        <w:rPr>
          <w:b w:val="0"/>
          <w:bCs w:val="0"/>
          <w:spacing w:val="-6"/>
        </w:rPr>
        <w:t>问题需上报执委会</w:t>
      </w:r>
      <w:r>
        <w:rPr>
          <w:spacing w:val="-1"/>
        </w:rPr>
        <w:t>。</w:t>
      </w:r>
    </w:p>
    <w:p w14:paraId="679CED5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8" w:firstLineChars="200"/>
        <w:textAlignment w:val="baseline"/>
        <w:outlineLvl w:val="1"/>
        <w:rPr>
          <w:rFonts w:hint="eastAsia"/>
          <w:b/>
          <w:bCs/>
          <w:spacing w:val="-6"/>
        </w:rPr>
      </w:pPr>
      <w:r>
        <w:rPr>
          <w:rFonts w:hint="eastAsia"/>
          <w:b/>
          <w:bCs/>
          <w:spacing w:val="-6"/>
          <w:lang w:val="en-US" w:eastAsia="zh-CN"/>
        </w:rPr>
        <w:t>十、</w:t>
      </w:r>
      <w:r>
        <w:rPr>
          <w:rFonts w:hint="eastAsia"/>
          <w:b/>
          <w:bCs/>
          <w:spacing w:val="-6"/>
        </w:rPr>
        <w:t>申诉与仲裁</w:t>
      </w:r>
    </w:p>
    <w:p w14:paraId="201F5A11">
      <w:pPr>
        <w:keepNext w:val="0"/>
        <w:keepLines w:val="0"/>
        <w:pageBreakBefore w:val="0"/>
        <w:widowControl w:val="0"/>
        <w:kinsoku/>
        <w:wordWrap/>
        <w:overflowPunct/>
        <w:topLinePunct w:val="0"/>
        <w:autoSpaceDE/>
        <w:autoSpaceDN/>
        <w:bidi w:val="0"/>
        <w:spacing w:after="0" w:line="360" w:lineRule="auto"/>
        <w:ind w:firstLine="592" w:firstLineChars="200"/>
        <w:jc w:val="both"/>
        <w:textAlignment w:val="auto"/>
        <w:rPr>
          <w:spacing w:val="-1"/>
        </w:rPr>
      </w:pPr>
      <w:r>
        <w:rPr>
          <w:rFonts w:hint="eastAsia" w:ascii="宋体" w:hAnsi="宋体" w:eastAsia="宋体" w:cs="宋体"/>
          <w:snapToGrid w:val="0"/>
          <w:color w:val="000000"/>
          <w:spacing w:val="-2"/>
          <w:kern w:val="0"/>
          <w:sz w:val="30"/>
          <w:szCs w:val="30"/>
          <w:lang w:val="en-US" w:eastAsia="en-US" w:bidi="ar-SA"/>
        </w:rPr>
        <w:t>本赛项在比赛过程中若出现有失公正或有关人员违规等现象，代表队领队可在全部比赛内容结束后1小时之内向仲裁组提出书面申诉，超过时效不予受理。</w:t>
      </w:r>
    </w:p>
    <w:sectPr>
      <w:footerReference r:id="rId5" w:type="default"/>
      <w:pgSz w:w="11906" w:h="16839"/>
      <w:pgMar w:top="1431" w:right="1785" w:bottom="1171" w:left="1785" w:header="0" w:footer="805"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7151F">
    <w:pPr>
      <w:pStyle w:val="2"/>
      <w:spacing w:line="234" w:lineRule="auto"/>
      <w:ind w:left="3836"/>
      <w:rPr>
        <w:rFonts w:ascii="Calibri" w:hAnsi="Calibri" w:eastAsia="Calibri" w:cs="Calibri"/>
        <w:sz w:val="18"/>
        <w:szCs w:val="18"/>
      </w:rPr>
    </w:pPr>
    <w:r>
      <w:rPr>
        <w:rFonts w:ascii="Calibri" w:hAnsi="Calibri" w:eastAsia="Calibri" w:cs="Calibri"/>
        <w:spacing w:val="-14"/>
        <w:sz w:val="18"/>
        <w:szCs w:val="18"/>
      </w:rPr>
      <w:t>—</w:t>
    </w:r>
    <w:r>
      <w:rPr>
        <w:rFonts w:ascii="Calibri" w:hAnsi="Calibri" w:eastAsia="Calibri" w:cs="Calibri"/>
        <w:spacing w:val="32"/>
        <w:w w:val="102"/>
        <w:sz w:val="18"/>
        <w:szCs w:val="18"/>
      </w:rPr>
      <w:t xml:space="preserve"> </w:t>
    </w:r>
    <w:r>
      <w:rPr>
        <w:spacing w:val="-17"/>
        <w:sz w:val="28"/>
        <w:szCs w:val="28"/>
      </w:rPr>
      <w:t>17</w:t>
    </w:r>
    <w:r>
      <w:rPr>
        <w:spacing w:val="-88"/>
        <w:sz w:val="28"/>
        <w:szCs w:val="28"/>
      </w:rPr>
      <w:t xml:space="preserve"> </w:t>
    </w:r>
    <w:r>
      <w:rPr>
        <w:rFonts w:ascii="Calibri" w:hAnsi="Calibri" w:eastAsia="Calibri" w:cs="Calibri"/>
        <w:spacing w:val="1"/>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0ED8B2"/>
    <w:multiLevelType w:val="singleLevel"/>
    <w:tmpl w:val="C70ED8B2"/>
    <w:lvl w:ilvl="0" w:tentative="0">
      <w:start w:val="1"/>
      <w:numFmt w:val="chineseCountingThousand"/>
      <w:pStyle w:val="4"/>
      <w:lvlText w:val="%1、"/>
      <w:lvlJc w:val="left"/>
      <w:pPr>
        <w:ind w:left="42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3F25E9"/>
    <w:rsid w:val="014F4AD6"/>
    <w:rsid w:val="01BD686F"/>
    <w:rsid w:val="029647A1"/>
    <w:rsid w:val="031E276F"/>
    <w:rsid w:val="0371289F"/>
    <w:rsid w:val="082223BA"/>
    <w:rsid w:val="089B01CD"/>
    <w:rsid w:val="0B7868F7"/>
    <w:rsid w:val="0DF30354"/>
    <w:rsid w:val="0F1A36B1"/>
    <w:rsid w:val="0F4C5F6E"/>
    <w:rsid w:val="0FC56FBE"/>
    <w:rsid w:val="10151235"/>
    <w:rsid w:val="121541A4"/>
    <w:rsid w:val="152D05F0"/>
    <w:rsid w:val="15C639A4"/>
    <w:rsid w:val="168E50BE"/>
    <w:rsid w:val="17CA3DD5"/>
    <w:rsid w:val="186A03C4"/>
    <w:rsid w:val="18C272A1"/>
    <w:rsid w:val="198A7DBF"/>
    <w:rsid w:val="19E23A1D"/>
    <w:rsid w:val="1ABA3DD1"/>
    <w:rsid w:val="1D3F2EA2"/>
    <w:rsid w:val="1D585D26"/>
    <w:rsid w:val="1DC27FC4"/>
    <w:rsid w:val="1F0979D8"/>
    <w:rsid w:val="1F2634B6"/>
    <w:rsid w:val="211D776A"/>
    <w:rsid w:val="21704656"/>
    <w:rsid w:val="21A734D8"/>
    <w:rsid w:val="21FF50C2"/>
    <w:rsid w:val="222114DC"/>
    <w:rsid w:val="25E46AA9"/>
    <w:rsid w:val="26290F1D"/>
    <w:rsid w:val="26663961"/>
    <w:rsid w:val="27767BD4"/>
    <w:rsid w:val="27C970E2"/>
    <w:rsid w:val="2BAD10CD"/>
    <w:rsid w:val="2D8262FB"/>
    <w:rsid w:val="2E782484"/>
    <w:rsid w:val="2F1A353B"/>
    <w:rsid w:val="2F854E58"/>
    <w:rsid w:val="2FE77412"/>
    <w:rsid w:val="30B4631B"/>
    <w:rsid w:val="320112A0"/>
    <w:rsid w:val="32355DC4"/>
    <w:rsid w:val="32764F2C"/>
    <w:rsid w:val="32AC177E"/>
    <w:rsid w:val="34727975"/>
    <w:rsid w:val="36C3270A"/>
    <w:rsid w:val="36D6243D"/>
    <w:rsid w:val="37A147F9"/>
    <w:rsid w:val="37F963E3"/>
    <w:rsid w:val="38A65E3F"/>
    <w:rsid w:val="3A4E50A0"/>
    <w:rsid w:val="3DAB63D2"/>
    <w:rsid w:val="3DDE5C98"/>
    <w:rsid w:val="3ED80E13"/>
    <w:rsid w:val="3F5A6277"/>
    <w:rsid w:val="403A57EB"/>
    <w:rsid w:val="42DF267A"/>
    <w:rsid w:val="4340667B"/>
    <w:rsid w:val="43505326"/>
    <w:rsid w:val="444A5133"/>
    <w:rsid w:val="44641089"/>
    <w:rsid w:val="446655BF"/>
    <w:rsid w:val="453A5BFF"/>
    <w:rsid w:val="45980A85"/>
    <w:rsid w:val="47715077"/>
    <w:rsid w:val="47CA38F8"/>
    <w:rsid w:val="481E59F2"/>
    <w:rsid w:val="4A1B7D0B"/>
    <w:rsid w:val="4A8107CB"/>
    <w:rsid w:val="4BCB7C3F"/>
    <w:rsid w:val="4F493C9D"/>
    <w:rsid w:val="4F8E16AF"/>
    <w:rsid w:val="4FDC241B"/>
    <w:rsid w:val="50724B2D"/>
    <w:rsid w:val="50B05655"/>
    <w:rsid w:val="52927709"/>
    <w:rsid w:val="59DE3233"/>
    <w:rsid w:val="5B793214"/>
    <w:rsid w:val="5C451348"/>
    <w:rsid w:val="5CD821BC"/>
    <w:rsid w:val="5D8536D5"/>
    <w:rsid w:val="5D872910"/>
    <w:rsid w:val="5FA43345"/>
    <w:rsid w:val="613D4CE3"/>
    <w:rsid w:val="62BE3686"/>
    <w:rsid w:val="62CC631F"/>
    <w:rsid w:val="63840E2A"/>
    <w:rsid w:val="66717F4C"/>
    <w:rsid w:val="66F558B8"/>
    <w:rsid w:val="678461EE"/>
    <w:rsid w:val="69C77840"/>
    <w:rsid w:val="6A7A2B04"/>
    <w:rsid w:val="6BA74EF9"/>
    <w:rsid w:val="6D1C7EA3"/>
    <w:rsid w:val="6D425B37"/>
    <w:rsid w:val="6D8C26BC"/>
    <w:rsid w:val="70C60851"/>
    <w:rsid w:val="711D243B"/>
    <w:rsid w:val="71D32236"/>
    <w:rsid w:val="76591577"/>
    <w:rsid w:val="79D35D8D"/>
    <w:rsid w:val="79FC52E4"/>
    <w:rsid w:val="7B6A44CF"/>
    <w:rsid w:val="7BDE71A0"/>
    <w:rsid w:val="7C370855"/>
    <w:rsid w:val="7C957BB8"/>
    <w:rsid w:val="7D012C11"/>
    <w:rsid w:val="7E470AF8"/>
    <w:rsid w:val="7E5F5E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0"/>
      <w:szCs w:val="30"/>
      <w:lang w:val="en-US" w:eastAsia="en-US"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Title"/>
    <w:basedOn w:val="1"/>
    <w:next w:val="1"/>
    <w:qFormat/>
    <w:uiPriority w:val="0"/>
    <w:pPr>
      <w:numPr>
        <w:ilvl w:val="0"/>
        <w:numId w:val="1"/>
      </w:numPr>
      <w:tabs>
        <w:tab w:val="left" w:pos="312"/>
      </w:tabs>
      <w:adjustRightInd w:val="0"/>
      <w:snapToGrid w:val="0"/>
      <w:spacing w:line="360" w:lineRule="auto"/>
      <w:jc w:val="left"/>
      <w:outlineLvl w:val="0"/>
    </w:pPr>
    <w:rPr>
      <w:rFonts w:ascii="宋体" w:hAnsi="宋体" w:cs="Times New Roman"/>
      <w:b/>
      <w:bCs/>
      <w:sz w:val="28"/>
      <w:szCs w:val="2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Pages>
  <Words>7559</Words>
  <Characters>7993</Characters>
  <TotalTime>4</TotalTime>
  <ScaleCrop>false</ScaleCrop>
  <LinksUpToDate>false</LinksUpToDate>
  <CharactersWithSpaces>8074</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2024-11-05T17:12:00Z</dcterms:created>
  <dc:creator>阳小白</dc:creator>
  <cp:lastModifiedBy>还是决定换个名氏</cp:lastModifiedBy>
  <dcterms:modified xsi:type="dcterms:W3CDTF">2025-12-15T03:17:45Z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2025-12-09T09:51:11Z</vt:filetime>
  </property>
  <property fmtid="{D5CDD505-2E9C-101B-9397-08002B2CF9AE}" pid="4" name="KSOTemplateDocerSaveRecord">
    <vt:lpwstr>eyJoZGlkIjoiYTE4ZWY4OTFiYWNkOGM2MjZmNWJmNTYzZjI4ZGRjYzUiLCJ1c2VySWQiOiIyNzI1Nzk2MDgifQ==</vt:lpwstr>
  </property>
  <property fmtid="{D5CDD505-2E9C-101B-9397-08002B2CF9AE}" pid="5" name="KSOProductBuildVer">
    <vt:lpwstr>2052-12.1.0.24034</vt:lpwstr>
  </property>
  <property fmtid="{D5CDD505-2E9C-101B-9397-08002B2CF9AE}" pid="6" name="ICV">
    <vt:lpwstr>407734C3A42E4A16A5C519C92FA652CC_13</vt:lpwstr>
  </property>
</Properties>
</file>