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E907">
      <w:pPr>
        <w:bidi w:val="0"/>
        <w:rPr>
          <w:rFonts w:hint="eastAsia"/>
          <w:color w:val="auto"/>
          <w:lang w:val="en-US" w:eastAsia="zh-CN"/>
        </w:rPr>
      </w:pPr>
    </w:p>
    <w:p w14:paraId="12D4E5EE">
      <w:pPr>
        <w:pStyle w:val="9"/>
        <w:rPr>
          <w:rFonts w:hint="eastAsia"/>
          <w:color w:val="auto"/>
          <w:lang w:val="en-US" w:eastAsia="zh-CN"/>
        </w:rPr>
      </w:pPr>
    </w:p>
    <w:p w14:paraId="05BF975D">
      <w:pPr>
        <w:keepNext w:val="0"/>
        <w:keepLines w:val="0"/>
        <w:pageBreakBefore w:val="0"/>
        <w:widowControl w:val="0"/>
        <w:kinsoku/>
        <w:wordWrap/>
        <w:overflowPunct/>
        <w:topLinePunct w:val="0"/>
        <w:autoSpaceDE/>
        <w:autoSpaceDN/>
        <w:bidi w:val="0"/>
        <w:adjustRightInd/>
        <w:snapToGrid/>
        <w:spacing w:line="1200" w:lineRule="auto"/>
        <w:jc w:val="center"/>
        <w:textAlignment w:val="auto"/>
        <w:outlineLvl w:val="0"/>
        <w:rPr>
          <w:rFonts w:hint="eastAsia" w:ascii="宋体" w:hAnsi="宋体" w:eastAsia="宋体" w:cs="宋体"/>
          <w:b/>
          <w:bCs/>
          <w:color w:val="auto"/>
          <w:sz w:val="72"/>
          <w:szCs w:val="72"/>
          <w:lang w:val="en-US" w:eastAsia="zh-CN"/>
        </w:rPr>
      </w:pPr>
    </w:p>
    <w:p w14:paraId="26ED77C9">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auto"/>
          <w:sz w:val="60"/>
          <w:szCs w:val="60"/>
          <w:lang w:val="en-US" w:eastAsia="zh-CN"/>
        </w:rPr>
      </w:pPr>
      <w:bookmarkStart w:id="0" w:name="_Toc17275"/>
      <w:bookmarkStart w:id="1" w:name="_Toc20650"/>
      <w:r>
        <w:rPr>
          <w:rFonts w:hint="eastAsia" w:ascii="方正小标宋简体" w:hAnsi="方正小标宋简体" w:eastAsia="方正小标宋简体" w:cs="方正小标宋简体"/>
          <w:b w:val="0"/>
          <w:bCs w:val="0"/>
          <w:color w:val="auto"/>
          <w:sz w:val="60"/>
          <w:szCs w:val="60"/>
          <w:lang w:val="en-US" w:eastAsia="zh-CN"/>
        </w:rPr>
        <w:t>河北省职业院校技能大赛</w:t>
      </w:r>
      <w:bookmarkEnd w:id="0"/>
      <w:bookmarkEnd w:id="1"/>
    </w:p>
    <w:p w14:paraId="11139DE3">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rPr>
          <w:rFonts w:hint="eastAsia" w:ascii="宋体" w:hAnsi="宋体" w:eastAsia="宋体" w:cs="宋体"/>
          <w:b/>
          <w:bCs/>
          <w:color w:val="auto"/>
          <w:sz w:val="72"/>
          <w:szCs w:val="72"/>
          <w:lang w:val="en-US" w:eastAsia="zh-CN"/>
        </w:rPr>
      </w:pPr>
      <w:r>
        <w:rPr>
          <w:rFonts w:hint="eastAsia" w:ascii="方正小标宋简体" w:hAnsi="方正小标宋简体" w:eastAsia="方正小标宋简体" w:cs="方正小标宋简体"/>
          <w:b w:val="0"/>
          <w:bCs w:val="0"/>
          <w:color w:val="auto"/>
          <w:sz w:val="60"/>
          <w:szCs w:val="60"/>
          <w:lang w:val="en-US" w:eastAsia="zh-CN"/>
        </w:rPr>
        <w:t>赛项规程</w:t>
      </w:r>
    </w:p>
    <w:p w14:paraId="47C34118">
      <w:pPr>
        <w:rPr>
          <w:color w:val="auto"/>
        </w:rPr>
      </w:pPr>
    </w:p>
    <w:p w14:paraId="3237811B">
      <w:pPr>
        <w:rPr>
          <w:color w:val="auto"/>
        </w:rPr>
      </w:pPr>
    </w:p>
    <w:p w14:paraId="6B56B164">
      <w:pPr>
        <w:rPr>
          <w:color w:val="auto"/>
        </w:rPr>
      </w:pPr>
    </w:p>
    <w:p w14:paraId="111F8DFA">
      <w:pPr>
        <w:rPr>
          <w:color w:val="auto"/>
        </w:rPr>
      </w:pPr>
    </w:p>
    <w:p w14:paraId="2AA511EC">
      <w:pPr>
        <w:rPr>
          <w:color w:val="auto"/>
        </w:rPr>
      </w:pPr>
    </w:p>
    <w:p w14:paraId="2425BCA7">
      <w:pPr>
        <w:rPr>
          <w:color w:val="auto"/>
        </w:rPr>
      </w:pPr>
    </w:p>
    <w:p w14:paraId="779536AE">
      <w:pPr>
        <w:rPr>
          <w:color w:val="auto"/>
        </w:rPr>
      </w:pPr>
    </w:p>
    <w:p w14:paraId="43B1B231">
      <w:pPr>
        <w:rPr>
          <w:color w:val="auto"/>
        </w:rPr>
      </w:pPr>
    </w:p>
    <w:p w14:paraId="5A61FE39">
      <w:pPr>
        <w:pStyle w:val="8"/>
        <w:keepNext w:val="0"/>
        <w:keepLines w:val="0"/>
        <w:pageBreakBefore w:val="0"/>
        <w:widowControl w:val="0"/>
        <w:tabs>
          <w:tab w:val="left" w:pos="3520"/>
          <w:tab w:val="left" w:pos="7113"/>
        </w:tabs>
        <w:kinsoku/>
        <w:wordWrap/>
        <w:overflowPunct/>
        <w:topLinePunct w:val="0"/>
        <w:autoSpaceDE/>
        <w:autoSpaceDN/>
        <w:bidi w:val="0"/>
        <w:adjustRightInd/>
        <w:snapToGrid/>
        <w:spacing w:before="0" w:line="240" w:lineRule="auto"/>
        <w:ind w:left="0" w:right="0" w:firstLine="1272" w:firstLineChars="400"/>
        <w:jc w:val="left"/>
        <w:textAlignment w:val="auto"/>
        <w:rPr>
          <w:rFonts w:ascii="Times New Roman" w:hAnsi="Times New Roman" w:eastAsia="Times New Roman" w:cs="Times New Roman"/>
          <w:color w:val="auto"/>
          <w:sz w:val="32"/>
          <w:szCs w:val="32"/>
        </w:rPr>
      </w:pPr>
      <w:r>
        <w:rPr>
          <w:rFonts w:ascii="黑体" w:hAnsi="黑体" w:eastAsia="黑体" w:cs="黑体"/>
          <w:color w:val="auto"/>
          <w:spacing w:val="-1"/>
          <w:sz w:val="32"/>
          <w:szCs w:val="32"/>
        </w:rPr>
        <w:t>赛项名称：</w:t>
      </w:r>
      <w:r>
        <w:rPr>
          <w:rFonts w:hint="eastAsia" w:ascii="黑体" w:hAnsi="黑体" w:eastAsia="黑体" w:cs="黑体"/>
          <w:color w:val="auto"/>
          <w:spacing w:val="-1"/>
          <w:sz w:val="32"/>
          <w:szCs w:val="32"/>
          <w:u w:val="single" w:color="000000"/>
          <w:lang w:val="en-US" w:eastAsia="zh-CN"/>
        </w:rPr>
        <w:t xml:space="preserve">     </w:t>
      </w:r>
      <w:r>
        <w:rPr>
          <w:rFonts w:hint="eastAsia" w:ascii="黑体" w:hAnsi="黑体" w:eastAsia="黑体" w:cs="黑体"/>
          <w:color w:val="auto"/>
          <w:spacing w:val="-1"/>
          <w:sz w:val="32"/>
          <w:szCs w:val="32"/>
          <w:u w:val="single" w:color="000000"/>
        </w:rPr>
        <w:t>无人机操控与维护</w:t>
      </w:r>
      <w:r>
        <w:rPr>
          <w:rFonts w:hint="eastAsia" w:ascii="黑体" w:hAnsi="黑体" w:eastAsia="黑体" w:cs="黑体"/>
          <w:color w:val="auto"/>
          <w:spacing w:val="-1"/>
          <w:sz w:val="32"/>
          <w:szCs w:val="32"/>
          <w:u w:val="single" w:color="000000"/>
          <w:lang w:val="en-US" w:eastAsia="zh-CN"/>
        </w:rPr>
        <w:t xml:space="preserve">       </w:t>
      </w:r>
    </w:p>
    <w:p w14:paraId="71CEC90E">
      <w:pPr>
        <w:pStyle w:val="8"/>
        <w:keepNext w:val="0"/>
        <w:keepLines w:val="0"/>
        <w:pageBreakBefore w:val="0"/>
        <w:widowControl w:val="0"/>
        <w:tabs>
          <w:tab w:val="left" w:pos="3359"/>
          <w:tab w:val="left" w:pos="7114"/>
        </w:tabs>
        <w:kinsoku/>
        <w:wordWrap/>
        <w:overflowPunct/>
        <w:topLinePunct w:val="0"/>
        <w:autoSpaceDE/>
        <w:autoSpaceDN/>
        <w:bidi w:val="0"/>
        <w:adjustRightInd/>
        <w:snapToGrid/>
        <w:spacing w:before="0" w:line="240" w:lineRule="auto"/>
        <w:ind w:left="0" w:right="0" w:firstLine="1272" w:firstLineChars="400"/>
        <w:jc w:val="left"/>
        <w:textAlignment w:val="auto"/>
        <w:rPr>
          <w:rFonts w:ascii="Times New Roman" w:hAnsi="Times New Roman" w:eastAsia="Times New Roman" w:cs="Times New Roman"/>
          <w:color w:val="auto"/>
          <w:sz w:val="32"/>
          <w:szCs w:val="32"/>
        </w:rPr>
      </w:pPr>
      <w:r>
        <w:rPr>
          <w:rFonts w:ascii="黑体" w:hAnsi="黑体" w:eastAsia="黑体" w:cs="黑体"/>
          <w:color w:val="auto"/>
          <w:spacing w:val="-1"/>
          <w:sz w:val="32"/>
          <w:szCs w:val="32"/>
        </w:rPr>
        <w:t>赛项组别：</w:t>
      </w:r>
      <w:r>
        <w:rPr>
          <w:rFonts w:hint="eastAsia" w:ascii="Times New Roman" w:hAnsi="Times New Roman" w:cs="Times New Roman"/>
          <w:color w:val="auto"/>
          <w:spacing w:val="-1"/>
          <w:sz w:val="32"/>
          <w:szCs w:val="32"/>
          <w:u w:val="single" w:color="000000"/>
          <w:lang w:val="en-US" w:eastAsia="zh-CN"/>
        </w:rPr>
        <w:t xml:space="preserve">      </w:t>
      </w:r>
      <w:r>
        <w:rPr>
          <w:rFonts w:hint="eastAsia" w:cs="Times New Roman"/>
          <w:color w:val="auto"/>
          <w:spacing w:val="-1"/>
          <w:sz w:val="32"/>
          <w:szCs w:val="32"/>
          <w:u w:val="single" w:color="000000"/>
          <w:lang w:val="en-US" w:eastAsia="zh-CN"/>
        </w:rPr>
        <w:t xml:space="preserve">   </w:t>
      </w:r>
      <w:r>
        <w:rPr>
          <w:rFonts w:hint="eastAsia" w:ascii="黑体" w:hAnsi="黑体" w:eastAsia="黑体" w:cs="黑体"/>
          <w:color w:val="auto"/>
          <w:spacing w:val="-1"/>
          <w:sz w:val="32"/>
          <w:szCs w:val="32"/>
          <w:u w:val="single" w:color="000000"/>
          <w:lang w:val="en-US" w:eastAsia="zh-CN"/>
        </w:rPr>
        <w:t xml:space="preserve">中职学生组 </w:t>
      </w:r>
      <w:r>
        <w:rPr>
          <w:rFonts w:hint="eastAsia" w:ascii="Times New Roman" w:hAnsi="Times New Roman" w:cs="Times New Roman"/>
          <w:color w:val="auto"/>
          <w:spacing w:val="-1"/>
          <w:sz w:val="32"/>
          <w:szCs w:val="32"/>
          <w:u w:val="single" w:color="000000"/>
          <w:lang w:val="en-US" w:eastAsia="zh-CN"/>
        </w:rPr>
        <w:t xml:space="preserve">        </w:t>
      </w:r>
    </w:p>
    <w:p w14:paraId="6D0967BE">
      <w:pPr>
        <w:rPr>
          <w:color w:val="auto"/>
        </w:rPr>
      </w:pPr>
    </w:p>
    <w:p w14:paraId="019273CE">
      <w:pPr>
        <w:rPr>
          <w:color w:val="auto"/>
        </w:rPr>
      </w:pPr>
    </w:p>
    <w:p w14:paraId="517EB490">
      <w:pPr>
        <w:rPr>
          <w:color w:val="auto"/>
        </w:rPr>
      </w:pPr>
    </w:p>
    <w:p w14:paraId="5860E6AF">
      <w:pPr>
        <w:rPr>
          <w:color w:val="auto"/>
        </w:rPr>
      </w:pPr>
    </w:p>
    <w:p w14:paraId="33DD52D5">
      <w:pPr>
        <w:rPr>
          <w:color w:val="auto"/>
        </w:rPr>
      </w:pPr>
    </w:p>
    <w:p w14:paraId="1AF0AC5E">
      <w:pPr>
        <w:rPr>
          <w:color w:val="auto"/>
        </w:rPr>
      </w:pPr>
    </w:p>
    <w:p w14:paraId="5B43BA26">
      <w:pPr>
        <w:rPr>
          <w:color w:val="auto"/>
        </w:rPr>
      </w:pPr>
    </w:p>
    <w:sdt>
      <w:sdtPr>
        <w:rPr>
          <w:rFonts w:ascii="宋体" w:hAnsi="宋体" w:eastAsia="宋体" w:cs="宋体"/>
          <w:kern w:val="2"/>
          <w:sz w:val="36"/>
          <w:szCs w:val="40"/>
          <w:lang w:val="en-US" w:eastAsia="zh-CN" w:bidi="ar-SA"/>
        </w:rPr>
        <w:id w:val="147457325"/>
        <w15:color w:val="DBDBDB"/>
        <w:docPartObj>
          <w:docPartGallery w:val="Table of Contents"/>
          <w:docPartUnique/>
        </w:docPartObj>
      </w:sdtPr>
      <w:sdtEndPr>
        <w:rPr>
          <w:rFonts w:ascii="Times New Roman" w:hAnsi="Times New Roman" w:eastAsia="仿宋" w:cs="宋体"/>
          <w:color w:val="auto"/>
          <w:kern w:val="2"/>
          <w:sz w:val="24"/>
          <w:szCs w:val="22"/>
          <w:lang w:val="en-US" w:eastAsia="zh-CN" w:bidi="ar-SA"/>
        </w:rPr>
      </w:sdtEndPr>
      <w:sdtContent>
        <w:p w14:paraId="259274E6">
          <w:pPr>
            <w:spacing w:before="0" w:beforeLines="0" w:after="0" w:afterLines="0" w:line="240" w:lineRule="auto"/>
            <w:ind w:left="0" w:leftChars="0" w:right="0" w:rightChars="0" w:firstLine="0" w:firstLineChars="0"/>
            <w:jc w:val="center"/>
            <w:rPr>
              <w:rFonts w:ascii="宋体" w:hAnsi="宋体" w:eastAsia="宋体" w:cs="宋体"/>
              <w:kern w:val="2"/>
              <w:sz w:val="36"/>
              <w:szCs w:val="40"/>
              <w:lang w:val="en-US" w:eastAsia="zh-CN" w:bidi="ar-SA"/>
            </w:rPr>
          </w:pPr>
        </w:p>
        <w:p w14:paraId="7215B618">
          <w:pPr>
            <w:spacing w:before="0" w:beforeLines="0" w:after="0" w:afterLines="0" w:line="240" w:lineRule="auto"/>
            <w:ind w:left="0" w:leftChars="0" w:right="0" w:rightChars="0" w:firstLine="0" w:firstLineChars="0"/>
            <w:jc w:val="center"/>
            <w:rPr>
              <w:sz w:val="44"/>
              <w:szCs w:val="40"/>
            </w:rPr>
          </w:pPr>
          <w:r>
            <w:rPr>
              <w:rFonts w:ascii="宋体" w:hAnsi="宋体" w:eastAsia="宋体"/>
              <w:sz w:val="36"/>
              <w:szCs w:val="40"/>
            </w:rPr>
            <w:t>目</w:t>
          </w:r>
          <w:r>
            <w:rPr>
              <w:rFonts w:hint="eastAsia" w:ascii="宋体" w:hAnsi="宋体" w:eastAsia="宋体"/>
              <w:sz w:val="36"/>
              <w:szCs w:val="40"/>
              <w:lang w:val="en-US" w:eastAsia="zh-CN"/>
            </w:rPr>
            <w:t xml:space="preserve">  </w:t>
          </w:r>
          <w:r>
            <w:rPr>
              <w:rFonts w:ascii="宋体" w:hAnsi="宋体" w:eastAsia="宋体"/>
              <w:sz w:val="36"/>
              <w:szCs w:val="40"/>
            </w:rPr>
            <w:t>录</w:t>
          </w:r>
        </w:p>
        <w:p w14:paraId="2A14E259">
          <w:pPr>
            <w:pStyle w:val="13"/>
            <w:tabs>
              <w:tab w:val="right" w:leader="dot" w:pos="9072"/>
            </w:tabs>
          </w:pPr>
          <w:r>
            <w:rPr>
              <w:rFonts w:ascii="Times New Roman" w:hAnsi="Times New Roman" w:eastAsia="仿宋" w:cs="宋体"/>
              <w:color w:val="auto"/>
              <w:kern w:val="2"/>
              <w:sz w:val="24"/>
              <w:szCs w:val="22"/>
              <w:lang w:val="en-US" w:eastAsia="zh-CN" w:bidi="ar-SA"/>
            </w:rPr>
            <w:fldChar w:fldCharType="begin"/>
          </w:r>
          <w:r>
            <w:rPr>
              <w:rFonts w:ascii="Times New Roman" w:hAnsi="Times New Roman" w:eastAsia="仿宋" w:cs="宋体"/>
              <w:color w:val="auto"/>
              <w:kern w:val="2"/>
              <w:sz w:val="24"/>
              <w:szCs w:val="22"/>
              <w:lang w:val="en-US" w:eastAsia="zh-CN" w:bidi="ar-SA"/>
            </w:rPr>
            <w:instrText xml:space="preserve">TOC \o "1-2" \h \u </w:instrText>
          </w:r>
          <w:r>
            <w:rPr>
              <w:rFonts w:ascii="Times New Roman" w:hAnsi="Times New Roman" w:eastAsia="仿宋" w:cs="宋体"/>
              <w:color w:val="auto"/>
              <w:kern w:val="2"/>
              <w:sz w:val="24"/>
              <w:szCs w:val="22"/>
              <w:lang w:val="en-US" w:eastAsia="zh-CN" w:bidi="ar-SA"/>
            </w:rPr>
            <w:fldChar w:fldCharType="separate"/>
          </w:r>
        </w:p>
        <w:p w14:paraId="0DE2CB8E">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_Toc10746 </w:instrText>
          </w:r>
          <w:r>
            <w:rPr>
              <w:rFonts w:ascii="Times New Roman" w:hAnsi="Times New Roman" w:eastAsia="仿宋" w:cs="宋体"/>
              <w:kern w:val="2"/>
              <w:sz w:val="28"/>
              <w:szCs w:val="24"/>
              <w:lang w:val="en-US" w:eastAsia="zh-CN" w:bidi="ar-SA"/>
            </w:rPr>
            <w:fldChar w:fldCharType="separate"/>
          </w:r>
          <w:r>
            <w:rPr>
              <w:rFonts w:hint="eastAsia"/>
              <w:sz w:val="28"/>
              <w:szCs w:val="24"/>
            </w:rPr>
            <w:t>一、赛项名称</w:t>
          </w:r>
          <w:r>
            <w:rPr>
              <w:sz w:val="28"/>
              <w:szCs w:val="24"/>
            </w:rPr>
            <w:tab/>
          </w:r>
          <w:r>
            <w:rPr>
              <w:sz w:val="28"/>
              <w:szCs w:val="24"/>
            </w:rPr>
            <w:fldChar w:fldCharType="begin"/>
          </w:r>
          <w:r>
            <w:rPr>
              <w:sz w:val="28"/>
              <w:szCs w:val="24"/>
            </w:rPr>
            <w:instrText xml:space="preserve"> PAGEREF _Toc10746 \h </w:instrText>
          </w:r>
          <w:r>
            <w:rPr>
              <w:sz w:val="28"/>
              <w:szCs w:val="24"/>
            </w:rPr>
            <w:fldChar w:fldCharType="separate"/>
          </w:r>
          <w:r>
            <w:rPr>
              <w:sz w:val="28"/>
              <w:szCs w:val="24"/>
            </w:rPr>
            <w:t>1</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23286AFE">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_Toc10140 </w:instrText>
          </w:r>
          <w:r>
            <w:rPr>
              <w:rFonts w:ascii="Times New Roman" w:hAnsi="Times New Roman" w:eastAsia="仿宋" w:cs="宋体"/>
              <w:kern w:val="2"/>
              <w:sz w:val="28"/>
              <w:szCs w:val="24"/>
              <w:lang w:val="en-US" w:eastAsia="zh-CN" w:bidi="ar-SA"/>
            </w:rPr>
            <w:fldChar w:fldCharType="separate"/>
          </w:r>
          <w:r>
            <w:rPr>
              <w:rFonts w:hint="eastAsia"/>
              <w:sz w:val="28"/>
              <w:szCs w:val="24"/>
            </w:rPr>
            <w:t>二、竞赛目的</w:t>
          </w:r>
          <w:r>
            <w:rPr>
              <w:sz w:val="28"/>
              <w:szCs w:val="24"/>
            </w:rPr>
            <w:tab/>
          </w:r>
          <w:r>
            <w:rPr>
              <w:sz w:val="28"/>
              <w:szCs w:val="24"/>
            </w:rPr>
            <w:fldChar w:fldCharType="begin"/>
          </w:r>
          <w:r>
            <w:rPr>
              <w:sz w:val="28"/>
              <w:szCs w:val="24"/>
            </w:rPr>
            <w:instrText xml:space="preserve"> PAGEREF _Toc10140 \h </w:instrText>
          </w:r>
          <w:r>
            <w:rPr>
              <w:sz w:val="28"/>
              <w:szCs w:val="24"/>
            </w:rPr>
            <w:fldChar w:fldCharType="separate"/>
          </w:r>
          <w:r>
            <w:rPr>
              <w:sz w:val="28"/>
              <w:szCs w:val="24"/>
            </w:rPr>
            <w:t>1</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50347033">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_Toc11655 </w:instrText>
          </w:r>
          <w:r>
            <w:rPr>
              <w:rFonts w:ascii="Times New Roman" w:hAnsi="Times New Roman" w:eastAsia="仿宋" w:cs="宋体"/>
              <w:kern w:val="2"/>
              <w:sz w:val="28"/>
              <w:szCs w:val="24"/>
              <w:lang w:val="en-US" w:eastAsia="zh-CN" w:bidi="ar-SA"/>
            </w:rPr>
            <w:fldChar w:fldCharType="separate"/>
          </w:r>
          <w:r>
            <w:rPr>
              <w:rFonts w:hint="eastAsia"/>
              <w:sz w:val="28"/>
              <w:szCs w:val="24"/>
            </w:rPr>
            <w:t>三、竞赛内容</w:t>
          </w:r>
          <w:r>
            <w:rPr>
              <w:sz w:val="28"/>
              <w:szCs w:val="24"/>
            </w:rPr>
            <w:tab/>
          </w:r>
          <w:r>
            <w:rPr>
              <w:sz w:val="28"/>
              <w:szCs w:val="24"/>
            </w:rPr>
            <w:fldChar w:fldCharType="begin"/>
          </w:r>
          <w:r>
            <w:rPr>
              <w:sz w:val="28"/>
              <w:szCs w:val="24"/>
            </w:rPr>
            <w:instrText xml:space="preserve"> PAGEREF _Toc11655 \h </w:instrText>
          </w:r>
          <w:r>
            <w:rPr>
              <w:sz w:val="28"/>
              <w:szCs w:val="24"/>
            </w:rPr>
            <w:fldChar w:fldCharType="separate"/>
          </w:r>
          <w:r>
            <w:rPr>
              <w:sz w:val="28"/>
              <w:szCs w:val="24"/>
            </w:rPr>
            <w:t>1</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21F0CA9E">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_Toc29122 </w:instrText>
          </w:r>
          <w:r>
            <w:rPr>
              <w:rFonts w:ascii="Times New Roman" w:hAnsi="Times New Roman" w:eastAsia="仿宋" w:cs="宋体"/>
              <w:kern w:val="2"/>
              <w:sz w:val="28"/>
              <w:szCs w:val="24"/>
              <w:lang w:val="en-US" w:eastAsia="zh-CN" w:bidi="ar-SA"/>
            </w:rPr>
            <w:fldChar w:fldCharType="separate"/>
          </w:r>
          <w:r>
            <w:rPr>
              <w:rFonts w:hint="eastAsia"/>
              <w:sz w:val="28"/>
              <w:szCs w:val="24"/>
              <w:lang w:val="en-US" w:eastAsia="zh-CN"/>
            </w:rPr>
            <w:t>四</w:t>
          </w:r>
          <w:r>
            <w:rPr>
              <w:rFonts w:hint="eastAsia"/>
              <w:sz w:val="28"/>
              <w:szCs w:val="24"/>
            </w:rPr>
            <w:t>、竞赛方式</w:t>
          </w:r>
          <w:r>
            <w:rPr>
              <w:sz w:val="28"/>
              <w:szCs w:val="24"/>
            </w:rPr>
            <w:tab/>
          </w:r>
          <w:r>
            <w:rPr>
              <w:sz w:val="28"/>
              <w:szCs w:val="24"/>
            </w:rPr>
            <w:fldChar w:fldCharType="begin"/>
          </w:r>
          <w:r>
            <w:rPr>
              <w:sz w:val="28"/>
              <w:szCs w:val="24"/>
            </w:rPr>
            <w:instrText xml:space="preserve"> PAGEREF _Toc29122 \h </w:instrText>
          </w:r>
          <w:r>
            <w:rPr>
              <w:sz w:val="28"/>
              <w:szCs w:val="24"/>
            </w:rPr>
            <w:fldChar w:fldCharType="separate"/>
          </w:r>
          <w:r>
            <w:rPr>
              <w:sz w:val="28"/>
              <w:szCs w:val="24"/>
            </w:rPr>
            <w:t>2</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10B1F36A">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_Toc27602 </w:instrText>
          </w:r>
          <w:r>
            <w:rPr>
              <w:rFonts w:ascii="Times New Roman" w:hAnsi="Times New Roman" w:eastAsia="仿宋" w:cs="宋体"/>
              <w:kern w:val="2"/>
              <w:sz w:val="28"/>
              <w:szCs w:val="24"/>
              <w:lang w:val="en-US" w:eastAsia="zh-CN" w:bidi="ar-SA"/>
            </w:rPr>
            <w:fldChar w:fldCharType="separate"/>
          </w:r>
          <w:r>
            <w:rPr>
              <w:rFonts w:hint="eastAsia"/>
              <w:sz w:val="28"/>
              <w:szCs w:val="24"/>
              <w:lang w:val="en-US" w:eastAsia="zh-CN"/>
            </w:rPr>
            <w:t>五</w:t>
          </w:r>
          <w:r>
            <w:rPr>
              <w:rFonts w:hint="eastAsia"/>
              <w:sz w:val="28"/>
              <w:szCs w:val="24"/>
            </w:rPr>
            <w:t>、竞赛流程</w:t>
          </w:r>
          <w:r>
            <w:rPr>
              <w:sz w:val="28"/>
              <w:szCs w:val="24"/>
            </w:rPr>
            <w:tab/>
          </w:r>
          <w:r>
            <w:rPr>
              <w:sz w:val="28"/>
              <w:szCs w:val="24"/>
            </w:rPr>
            <w:fldChar w:fldCharType="begin"/>
          </w:r>
          <w:r>
            <w:rPr>
              <w:sz w:val="28"/>
              <w:szCs w:val="24"/>
            </w:rPr>
            <w:instrText xml:space="preserve"> PAGEREF _Toc27602 \h </w:instrText>
          </w:r>
          <w:r>
            <w:rPr>
              <w:sz w:val="28"/>
              <w:szCs w:val="24"/>
            </w:rPr>
            <w:fldChar w:fldCharType="separate"/>
          </w:r>
          <w:r>
            <w:rPr>
              <w:sz w:val="28"/>
              <w:szCs w:val="24"/>
            </w:rPr>
            <w:t>2</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34EEFE5F">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_Toc3919 </w:instrText>
          </w:r>
          <w:r>
            <w:rPr>
              <w:rFonts w:ascii="Times New Roman" w:hAnsi="Times New Roman" w:eastAsia="仿宋" w:cs="宋体"/>
              <w:kern w:val="2"/>
              <w:sz w:val="28"/>
              <w:szCs w:val="24"/>
              <w:lang w:val="en-US" w:eastAsia="zh-CN" w:bidi="ar-SA"/>
            </w:rPr>
            <w:fldChar w:fldCharType="separate"/>
          </w:r>
          <w:r>
            <w:rPr>
              <w:rFonts w:hint="eastAsia"/>
              <w:sz w:val="28"/>
              <w:szCs w:val="24"/>
            </w:rPr>
            <w:t>六、竞赛规则</w:t>
          </w:r>
          <w:r>
            <w:rPr>
              <w:sz w:val="28"/>
              <w:szCs w:val="24"/>
            </w:rPr>
            <w:tab/>
          </w:r>
          <w:r>
            <w:rPr>
              <w:sz w:val="28"/>
              <w:szCs w:val="24"/>
            </w:rPr>
            <w:fldChar w:fldCharType="begin"/>
          </w:r>
          <w:r>
            <w:rPr>
              <w:sz w:val="28"/>
              <w:szCs w:val="24"/>
            </w:rPr>
            <w:instrText xml:space="preserve"> PAGEREF _Toc3919 \h </w:instrText>
          </w:r>
          <w:r>
            <w:rPr>
              <w:sz w:val="28"/>
              <w:szCs w:val="24"/>
            </w:rPr>
            <w:fldChar w:fldCharType="separate"/>
          </w:r>
          <w:r>
            <w:rPr>
              <w:sz w:val="28"/>
              <w:szCs w:val="24"/>
            </w:rPr>
            <w:t>4</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72EAC72D">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_Toc32253 </w:instrText>
          </w:r>
          <w:r>
            <w:rPr>
              <w:rFonts w:ascii="Times New Roman" w:hAnsi="Times New Roman" w:eastAsia="仿宋" w:cs="宋体"/>
              <w:kern w:val="2"/>
              <w:sz w:val="28"/>
              <w:szCs w:val="24"/>
              <w:lang w:val="en-US" w:eastAsia="zh-CN" w:bidi="ar-SA"/>
            </w:rPr>
            <w:fldChar w:fldCharType="separate"/>
          </w:r>
          <w:r>
            <w:rPr>
              <w:rFonts w:hint="eastAsia"/>
              <w:sz w:val="28"/>
              <w:szCs w:val="24"/>
            </w:rPr>
            <w:t>七、竞赛环境</w:t>
          </w:r>
          <w:r>
            <w:rPr>
              <w:sz w:val="28"/>
              <w:szCs w:val="24"/>
            </w:rPr>
            <w:tab/>
          </w:r>
          <w:r>
            <w:rPr>
              <w:sz w:val="28"/>
              <w:szCs w:val="24"/>
            </w:rPr>
            <w:fldChar w:fldCharType="begin"/>
          </w:r>
          <w:r>
            <w:rPr>
              <w:sz w:val="28"/>
              <w:szCs w:val="24"/>
            </w:rPr>
            <w:instrText xml:space="preserve"> PAGEREF _Toc32253 \h </w:instrText>
          </w:r>
          <w:r>
            <w:rPr>
              <w:sz w:val="28"/>
              <w:szCs w:val="24"/>
            </w:rPr>
            <w:fldChar w:fldCharType="separate"/>
          </w:r>
          <w:r>
            <w:rPr>
              <w:sz w:val="28"/>
              <w:szCs w:val="24"/>
            </w:rPr>
            <w:t>9</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7B3819C4">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_Toc15343 </w:instrText>
          </w:r>
          <w:r>
            <w:rPr>
              <w:rFonts w:ascii="Times New Roman" w:hAnsi="Times New Roman" w:eastAsia="仿宋" w:cs="宋体"/>
              <w:kern w:val="2"/>
              <w:sz w:val="28"/>
              <w:szCs w:val="24"/>
              <w:lang w:val="en-US" w:eastAsia="zh-CN" w:bidi="ar-SA"/>
            </w:rPr>
            <w:fldChar w:fldCharType="separate"/>
          </w:r>
          <w:r>
            <w:rPr>
              <w:rFonts w:hint="eastAsia"/>
              <w:sz w:val="28"/>
              <w:szCs w:val="24"/>
            </w:rPr>
            <w:t>八、技术规范</w:t>
          </w:r>
          <w:r>
            <w:rPr>
              <w:sz w:val="28"/>
              <w:szCs w:val="24"/>
            </w:rPr>
            <w:tab/>
          </w:r>
          <w:r>
            <w:rPr>
              <w:sz w:val="28"/>
              <w:szCs w:val="24"/>
            </w:rPr>
            <w:fldChar w:fldCharType="begin"/>
          </w:r>
          <w:r>
            <w:rPr>
              <w:sz w:val="28"/>
              <w:szCs w:val="24"/>
            </w:rPr>
            <w:instrText xml:space="preserve"> PAGEREF _Toc15343 \h </w:instrText>
          </w:r>
          <w:r>
            <w:rPr>
              <w:sz w:val="28"/>
              <w:szCs w:val="24"/>
            </w:rPr>
            <w:fldChar w:fldCharType="separate"/>
          </w:r>
          <w:r>
            <w:rPr>
              <w:sz w:val="28"/>
              <w:szCs w:val="24"/>
            </w:rPr>
            <w:t>9</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2B32209C">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_Toc25557 </w:instrText>
          </w:r>
          <w:r>
            <w:rPr>
              <w:rFonts w:ascii="Times New Roman" w:hAnsi="Times New Roman" w:eastAsia="仿宋" w:cs="宋体"/>
              <w:kern w:val="2"/>
              <w:sz w:val="28"/>
              <w:szCs w:val="24"/>
              <w:lang w:val="en-US" w:eastAsia="zh-CN" w:bidi="ar-SA"/>
            </w:rPr>
            <w:fldChar w:fldCharType="separate"/>
          </w:r>
          <w:r>
            <w:rPr>
              <w:rFonts w:hint="eastAsia"/>
              <w:sz w:val="28"/>
              <w:szCs w:val="24"/>
            </w:rPr>
            <w:t>九、技术平台</w:t>
          </w:r>
          <w:r>
            <w:rPr>
              <w:sz w:val="28"/>
              <w:szCs w:val="24"/>
            </w:rPr>
            <w:tab/>
          </w:r>
          <w:r>
            <w:rPr>
              <w:sz w:val="28"/>
              <w:szCs w:val="24"/>
            </w:rPr>
            <w:fldChar w:fldCharType="begin"/>
          </w:r>
          <w:r>
            <w:rPr>
              <w:sz w:val="28"/>
              <w:szCs w:val="24"/>
            </w:rPr>
            <w:instrText xml:space="preserve"> PAGEREF _Toc25557 \h </w:instrText>
          </w:r>
          <w:r>
            <w:rPr>
              <w:sz w:val="28"/>
              <w:szCs w:val="24"/>
            </w:rPr>
            <w:fldChar w:fldCharType="separate"/>
          </w:r>
          <w:r>
            <w:rPr>
              <w:sz w:val="28"/>
              <w:szCs w:val="24"/>
            </w:rPr>
            <w:t>11</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435DA416">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_Toc2017 </w:instrText>
          </w:r>
          <w:r>
            <w:rPr>
              <w:rFonts w:ascii="Times New Roman" w:hAnsi="Times New Roman" w:eastAsia="仿宋" w:cs="宋体"/>
              <w:kern w:val="2"/>
              <w:sz w:val="28"/>
              <w:szCs w:val="24"/>
              <w:lang w:val="en-US" w:eastAsia="zh-CN" w:bidi="ar-SA"/>
            </w:rPr>
            <w:fldChar w:fldCharType="separate"/>
          </w:r>
          <w:r>
            <w:rPr>
              <w:rFonts w:hint="eastAsia"/>
              <w:sz w:val="28"/>
              <w:szCs w:val="24"/>
            </w:rPr>
            <w:t>十、成绩评定</w:t>
          </w:r>
          <w:r>
            <w:rPr>
              <w:sz w:val="28"/>
              <w:szCs w:val="24"/>
            </w:rPr>
            <w:tab/>
          </w:r>
          <w:r>
            <w:rPr>
              <w:sz w:val="28"/>
              <w:szCs w:val="24"/>
            </w:rPr>
            <w:fldChar w:fldCharType="begin"/>
          </w:r>
          <w:r>
            <w:rPr>
              <w:sz w:val="28"/>
              <w:szCs w:val="24"/>
            </w:rPr>
            <w:instrText xml:space="preserve"> PAGEREF _Toc2017 \h </w:instrText>
          </w:r>
          <w:r>
            <w:rPr>
              <w:sz w:val="28"/>
              <w:szCs w:val="24"/>
            </w:rPr>
            <w:fldChar w:fldCharType="separate"/>
          </w:r>
          <w:r>
            <w:rPr>
              <w:sz w:val="28"/>
              <w:szCs w:val="24"/>
            </w:rPr>
            <w:t>16</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032399E4">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_Toc17844 </w:instrText>
          </w:r>
          <w:r>
            <w:rPr>
              <w:rFonts w:ascii="Times New Roman" w:hAnsi="Times New Roman" w:eastAsia="仿宋" w:cs="宋体"/>
              <w:kern w:val="2"/>
              <w:sz w:val="28"/>
              <w:szCs w:val="24"/>
              <w:lang w:val="en-US" w:eastAsia="zh-CN" w:bidi="ar-SA"/>
            </w:rPr>
            <w:fldChar w:fldCharType="separate"/>
          </w:r>
          <w:r>
            <w:rPr>
              <w:rFonts w:hint="eastAsia"/>
              <w:sz w:val="28"/>
              <w:szCs w:val="24"/>
            </w:rPr>
            <w:t>十一、奖项设定</w:t>
          </w:r>
          <w:r>
            <w:rPr>
              <w:sz w:val="28"/>
              <w:szCs w:val="24"/>
            </w:rPr>
            <w:tab/>
          </w:r>
          <w:r>
            <w:rPr>
              <w:sz w:val="28"/>
              <w:szCs w:val="24"/>
            </w:rPr>
            <w:fldChar w:fldCharType="begin"/>
          </w:r>
          <w:r>
            <w:rPr>
              <w:sz w:val="28"/>
              <w:szCs w:val="24"/>
            </w:rPr>
            <w:instrText xml:space="preserve"> PAGEREF _Toc17844 \h </w:instrText>
          </w:r>
          <w:r>
            <w:rPr>
              <w:sz w:val="28"/>
              <w:szCs w:val="24"/>
            </w:rPr>
            <w:fldChar w:fldCharType="separate"/>
          </w:r>
          <w:r>
            <w:rPr>
              <w:sz w:val="28"/>
              <w:szCs w:val="24"/>
            </w:rPr>
            <w:t>17</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3F0CD077">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_Toc22212 </w:instrText>
          </w:r>
          <w:r>
            <w:rPr>
              <w:rFonts w:ascii="Times New Roman" w:hAnsi="Times New Roman" w:eastAsia="仿宋" w:cs="宋体"/>
              <w:kern w:val="2"/>
              <w:sz w:val="28"/>
              <w:szCs w:val="24"/>
              <w:lang w:val="en-US" w:eastAsia="zh-CN" w:bidi="ar-SA"/>
            </w:rPr>
            <w:fldChar w:fldCharType="separate"/>
          </w:r>
          <w:r>
            <w:rPr>
              <w:rFonts w:hint="eastAsia"/>
              <w:sz w:val="28"/>
              <w:szCs w:val="24"/>
            </w:rPr>
            <w:t>十二、赛场预案</w:t>
          </w:r>
          <w:r>
            <w:rPr>
              <w:sz w:val="28"/>
              <w:szCs w:val="24"/>
            </w:rPr>
            <w:tab/>
          </w:r>
          <w:r>
            <w:rPr>
              <w:sz w:val="28"/>
              <w:szCs w:val="24"/>
            </w:rPr>
            <w:fldChar w:fldCharType="begin"/>
          </w:r>
          <w:r>
            <w:rPr>
              <w:sz w:val="28"/>
              <w:szCs w:val="24"/>
            </w:rPr>
            <w:instrText xml:space="preserve"> PAGEREF _Toc22212 \h </w:instrText>
          </w:r>
          <w:r>
            <w:rPr>
              <w:sz w:val="28"/>
              <w:szCs w:val="24"/>
            </w:rPr>
            <w:fldChar w:fldCharType="separate"/>
          </w:r>
          <w:r>
            <w:rPr>
              <w:sz w:val="28"/>
              <w:szCs w:val="24"/>
            </w:rPr>
            <w:t>17</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2DB0A060">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_Toc10919 </w:instrText>
          </w:r>
          <w:r>
            <w:rPr>
              <w:rFonts w:ascii="Times New Roman" w:hAnsi="Times New Roman" w:eastAsia="仿宋" w:cs="宋体"/>
              <w:kern w:val="2"/>
              <w:sz w:val="28"/>
              <w:szCs w:val="24"/>
              <w:lang w:val="en-US" w:eastAsia="zh-CN" w:bidi="ar-SA"/>
            </w:rPr>
            <w:fldChar w:fldCharType="separate"/>
          </w:r>
          <w:r>
            <w:rPr>
              <w:rFonts w:hint="eastAsia"/>
              <w:sz w:val="28"/>
              <w:szCs w:val="24"/>
            </w:rPr>
            <w:t>十三、赛项安全</w:t>
          </w:r>
          <w:r>
            <w:rPr>
              <w:sz w:val="28"/>
              <w:szCs w:val="24"/>
            </w:rPr>
            <w:tab/>
          </w:r>
          <w:r>
            <w:rPr>
              <w:sz w:val="28"/>
              <w:szCs w:val="24"/>
            </w:rPr>
            <w:fldChar w:fldCharType="begin"/>
          </w:r>
          <w:r>
            <w:rPr>
              <w:sz w:val="28"/>
              <w:szCs w:val="24"/>
            </w:rPr>
            <w:instrText xml:space="preserve"> PAGEREF _Toc10919 \h </w:instrText>
          </w:r>
          <w:r>
            <w:rPr>
              <w:sz w:val="28"/>
              <w:szCs w:val="24"/>
            </w:rPr>
            <w:fldChar w:fldCharType="separate"/>
          </w:r>
          <w:r>
            <w:rPr>
              <w:sz w:val="28"/>
              <w:szCs w:val="24"/>
            </w:rPr>
            <w:t>17</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2A2E74A0">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_Toc9656 </w:instrText>
          </w:r>
          <w:r>
            <w:rPr>
              <w:rFonts w:ascii="Times New Roman" w:hAnsi="Times New Roman" w:eastAsia="仿宋" w:cs="宋体"/>
              <w:kern w:val="2"/>
              <w:sz w:val="28"/>
              <w:szCs w:val="24"/>
              <w:lang w:val="en-US" w:eastAsia="zh-CN" w:bidi="ar-SA"/>
            </w:rPr>
            <w:fldChar w:fldCharType="separate"/>
          </w:r>
          <w:r>
            <w:rPr>
              <w:rFonts w:hint="eastAsia"/>
              <w:sz w:val="28"/>
              <w:szCs w:val="24"/>
            </w:rPr>
            <w:t>十四、竞赛须知</w:t>
          </w:r>
          <w:r>
            <w:rPr>
              <w:sz w:val="28"/>
              <w:szCs w:val="24"/>
            </w:rPr>
            <w:tab/>
          </w:r>
          <w:r>
            <w:rPr>
              <w:sz w:val="28"/>
              <w:szCs w:val="24"/>
            </w:rPr>
            <w:fldChar w:fldCharType="begin"/>
          </w:r>
          <w:r>
            <w:rPr>
              <w:sz w:val="28"/>
              <w:szCs w:val="24"/>
            </w:rPr>
            <w:instrText xml:space="preserve"> PAGEREF _Toc9656 \h </w:instrText>
          </w:r>
          <w:r>
            <w:rPr>
              <w:sz w:val="28"/>
              <w:szCs w:val="24"/>
            </w:rPr>
            <w:fldChar w:fldCharType="separate"/>
          </w:r>
          <w:r>
            <w:rPr>
              <w:sz w:val="28"/>
              <w:szCs w:val="24"/>
            </w:rPr>
            <w:t>19</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74993577">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_Toc27786 </w:instrText>
          </w:r>
          <w:r>
            <w:rPr>
              <w:rFonts w:ascii="Times New Roman" w:hAnsi="Times New Roman" w:eastAsia="仿宋" w:cs="宋体"/>
              <w:kern w:val="2"/>
              <w:sz w:val="28"/>
              <w:szCs w:val="24"/>
              <w:lang w:val="en-US" w:eastAsia="zh-CN" w:bidi="ar-SA"/>
            </w:rPr>
            <w:fldChar w:fldCharType="separate"/>
          </w:r>
          <w:r>
            <w:rPr>
              <w:rFonts w:hint="eastAsia"/>
              <w:sz w:val="28"/>
              <w:szCs w:val="24"/>
            </w:rPr>
            <w:t>十五</w:t>
          </w:r>
          <w:r>
            <w:rPr>
              <w:sz w:val="28"/>
              <w:szCs w:val="24"/>
            </w:rPr>
            <w:t>、</w:t>
          </w:r>
          <w:r>
            <w:rPr>
              <w:rFonts w:hint="eastAsia"/>
              <w:sz w:val="28"/>
              <w:szCs w:val="24"/>
            </w:rPr>
            <w:t>申诉与仲裁</w:t>
          </w:r>
          <w:r>
            <w:rPr>
              <w:sz w:val="28"/>
              <w:szCs w:val="24"/>
            </w:rPr>
            <w:tab/>
          </w:r>
          <w:r>
            <w:rPr>
              <w:sz w:val="28"/>
              <w:szCs w:val="24"/>
            </w:rPr>
            <w:fldChar w:fldCharType="begin"/>
          </w:r>
          <w:r>
            <w:rPr>
              <w:sz w:val="28"/>
              <w:szCs w:val="24"/>
            </w:rPr>
            <w:instrText xml:space="preserve"> PAGEREF _Toc27786 \h </w:instrText>
          </w:r>
          <w:r>
            <w:rPr>
              <w:sz w:val="28"/>
              <w:szCs w:val="24"/>
            </w:rPr>
            <w:fldChar w:fldCharType="separate"/>
          </w:r>
          <w:r>
            <w:rPr>
              <w:sz w:val="28"/>
              <w:szCs w:val="24"/>
            </w:rPr>
            <w:t>23</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525F2C05">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sz w:val="28"/>
              <w:szCs w:val="24"/>
            </w:rPr>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_Toc23415 </w:instrText>
          </w:r>
          <w:r>
            <w:rPr>
              <w:rFonts w:ascii="Times New Roman" w:hAnsi="Times New Roman" w:eastAsia="仿宋" w:cs="宋体"/>
              <w:kern w:val="2"/>
              <w:sz w:val="28"/>
              <w:szCs w:val="24"/>
              <w:lang w:val="en-US" w:eastAsia="zh-CN" w:bidi="ar-SA"/>
            </w:rPr>
            <w:fldChar w:fldCharType="separate"/>
          </w:r>
          <w:r>
            <w:rPr>
              <w:rFonts w:hint="eastAsia"/>
              <w:sz w:val="28"/>
              <w:szCs w:val="24"/>
            </w:rPr>
            <w:t>十六、竞赛观摩</w:t>
          </w:r>
          <w:r>
            <w:rPr>
              <w:sz w:val="28"/>
              <w:szCs w:val="24"/>
            </w:rPr>
            <w:tab/>
          </w:r>
          <w:r>
            <w:rPr>
              <w:sz w:val="28"/>
              <w:szCs w:val="24"/>
            </w:rPr>
            <w:fldChar w:fldCharType="begin"/>
          </w:r>
          <w:r>
            <w:rPr>
              <w:sz w:val="28"/>
              <w:szCs w:val="24"/>
            </w:rPr>
            <w:instrText xml:space="preserve"> PAGEREF _Toc23415 \h </w:instrText>
          </w:r>
          <w:r>
            <w:rPr>
              <w:sz w:val="28"/>
              <w:szCs w:val="24"/>
            </w:rPr>
            <w:fldChar w:fldCharType="separate"/>
          </w:r>
          <w:r>
            <w:rPr>
              <w:sz w:val="28"/>
              <w:szCs w:val="24"/>
            </w:rPr>
            <w:t>23</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554B2A7C">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pP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_Toc16949 </w:instrText>
          </w:r>
          <w:r>
            <w:rPr>
              <w:rFonts w:ascii="Times New Roman" w:hAnsi="Times New Roman" w:eastAsia="仿宋" w:cs="宋体"/>
              <w:kern w:val="2"/>
              <w:sz w:val="28"/>
              <w:szCs w:val="24"/>
              <w:lang w:val="en-US" w:eastAsia="zh-CN" w:bidi="ar-SA"/>
            </w:rPr>
            <w:fldChar w:fldCharType="separate"/>
          </w:r>
          <w:r>
            <w:rPr>
              <w:rFonts w:hint="eastAsia"/>
              <w:sz w:val="28"/>
              <w:szCs w:val="24"/>
            </w:rPr>
            <w:t>十七、</w:t>
          </w:r>
          <w:r>
            <w:rPr>
              <w:rFonts w:ascii="Times New Roman" w:hAnsi="Times New Roman" w:eastAsia="仿宋" w:cs="宋体"/>
              <w:color w:val="auto"/>
              <w:kern w:val="2"/>
              <w:sz w:val="28"/>
              <w:szCs w:val="24"/>
              <w:lang w:val="en-US" w:eastAsia="zh-CN" w:bidi="ar-SA"/>
            </w:rPr>
            <w:fldChar w:fldCharType="end"/>
          </w:r>
          <w:r>
            <w:rPr>
              <w:rFonts w:ascii="Times New Roman" w:hAnsi="Times New Roman" w:eastAsia="仿宋" w:cs="宋体"/>
              <w:color w:val="auto"/>
              <w:kern w:val="2"/>
              <w:sz w:val="28"/>
              <w:szCs w:val="24"/>
              <w:lang w:val="en-US" w:eastAsia="zh-CN" w:bidi="ar-SA"/>
            </w:rPr>
            <w:fldChar w:fldCharType="begin"/>
          </w:r>
          <w:r>
            <w:rPr>
              <w:rFonts w:ascii="Times New Roman" w:hAnsi="Times New Roman" w:eastAsia="仿宋" w:cs="宋体"/>
              <w:kern w:val="2"/>
              <w:sz w:val="28"/>
              <w:szCs w:val="24"/>
              <w:lang w:val="en-US" w:eastAsia="zh-CN" w:bidi="ar-SA"/>
            </w:rPr>
            <w:instrText xml:space="preserve"> HYPERLINK \l _Toc14938 </w:instrText>
          </w:r>
          <w:r>
            <w:rPr>
              <w:rFonts w:ascii="Times New Roman" w:hAnsi="Times New Roman" w:eastAsia="仿宋" w:cs="宋体"/>
              <w:kern w:val="2"/>
              <w:sz w:val="28"/>
              <w:szCs w:val="24"/>
              <w:lang w:val="en-US" w:eastAsia="zh-CN" w:bidi="ar-SA"/>
            </w:rPr>
            <w:fldChar w:fldCharType="separate"/>
          </w:r>
          <w:r>
            <w:rPr>
              <w:rFonts w:hint="eastAsia"/>
              <w:sz w:val="28"/>
              <w:szCs w:val="24"/>
            </w:rPr>
            <w:t>其他</w:t>
          </w:r>
          <w:r>
            <w:rPr>
              <w:sz w:val="28"/>
              <w:szCs w:val="24"/>
            </w:rPr>
            <w:tab/>
          </w:r>
          <w:r>
            <w:rPr>
              <w:sz w:val="28"/>
              <w:szCs w:val="24"/>
            </w:rPr>
            <w:fldChar w:fldCharType="begin"/>
          </w:r>
          <w:r>
            <w:rPr>
              <w:sz w:val="28"/>
              <w:szCs w:val="24"/>
            </w:rPr>
            <w:instrText xml:space="preserve"> PAGEREF _Toc14938 \h </w:instrText>
          </w:r>
          <w:r>
            <w:rPr>
              <w:sz w:val="28"/>
              <w:szCs w:val="24"/>
            </w:rPr>
            <w:fldChar w:fldCharType="separate"/>
          </w:r>
          <w:r>
            <w:rPr>
              <w:sz w:val="28"/>
              <w:szCs w:val="24"/>
            </w:rPr>
            <w:t>23</w:t>
          </w:r>
          <w:r>
            <w:rPr>
              <w:sz w:val="28"/>
              <w:szCs w:val="24"/>
            </w:rPr>
            <w:fldChar w:fldCharType="end"/>
          </w:r>
          <w:r>
            <w:rPr>
              <w:rFonts w:ascii="Times New Roman" w:hAnsi="Times New Roman" w:eastAsia="仿宋" w:cs="宋体"/>
              <w:color w:val="auto"/>
              <w:kern w:val="2"/>
              <w:sz w:val="28"/>
              <w:szCs w:val="24"/>
              <w:lang w:val="en-US" w:eastAsia="zh-CN" w:bidi="ar-SA"/>
            </w:rPr>
            <w:fldChar w:fldCharType="end"/>
          </w:r>
        </w:p>
        <w:p w14:paraId="7930C0C5">
          <w:pPr>
            <w:rPr>
              <w:rFonts w:ascii="Times New Roman" w:hAnsi="Times New Roman" w:eastAsia="仿宋" w:cs="宋体"/>
              <w:color w:val="auto"/>
              <w:kern w:val="2"/>
              <w:sz w:val="24"/>
              <w:szCs w:val="22"/>
              <w:lang w:val="en-US" w:eastAsia="zh-CN" w:bidi="ar-SA"/>
            </w:rPr>
          </w:pPr>
          <w:r>
            <w:rPr>
              <w:rFonts w:ascii="Times New Roman" w:hAnsi="Times New Roman" w:eastAsia="仿宋" w:cs="宋体"/>
              <w:color w:val="auto"/>
              <w:kern w:val="2"/>
              <w:szCs w:val="22"/>
              <w:lang w:val="en-US" w:eastAsia="zh-CN" w:bidi="ar-SA"/>
            </w:rPr>
            <w:fldChar w:fldCharType="end"/>
          </w:r>
        </w:p>
      </w:sdtContent>
    </w:sdt>
    <w:p w14:paraId="40FC3258">
      <w:pPr>
        <w:rPr>
          <w:rFonts w:ascii="Times New Roman" w:hAnsi="Times New Roman" w:eastAsia="仿宋" w:cs="宋体"/>
          <w:color w:val="auto"/>
          <w:kern w:val="2"/>
          <w:sz w:val="24"/>
          <w:szCs w:val="22"/>
          <w:lang w:val="en-US" w:eastAsia="zh-CN" w:bidi="ar-SA"/>
        </w:rPr>
      </w:pPr>
    </w:p>
    <w:p w14:paraId="0586E6AF">
      <w:pPr>
        <w:rPr>
          <w:color w:val="auto"/>
        </w:rPr>
      </w:pPr>
    </w:p>
    <w:p w14:paraId="37D8EEDC">
      <w:pPr>
        <w:pStyle w:val="8"/>
        <w:keepNext w:val="0"/>
        <w:keepLines w:val="0"/>
        <w:pageBreakBefore w:val="0"/>
        <w:widowControl w:val="0"/>
        <w:kinsoku/>
        <w:wordWrap/>
        <w:overflowPunct/>
        <w:topLinePunct w:val="0"/>
        <w:autoSpaceDE/>
        <w:autoSpaceDN/>
        <w:bidi w:val="0"/>
        <w:adjustRightInd/>
        <w:snapToGrid/>
        <w:spacing w:before="0" w:line="480" w:lineRule="auto"/>
        <w:ind w:left="0" w:right="0" w:firstLine="480" w:firstLineChars="200"/>
        <w:jc w:val="left"/>
        <w:textAlignment w:val="auto"/>
        <w:rPr>
          <w:rFonts w:hint="eastAsia" w:ascii="黑体" w:hAnsi="黑体" w:eastAsia="黑体" w:cs="黑体"/>
          <w:color w:val="auto"/>
        </w:rPr>
        <w:sectPr>
          <w:pgSz w:w="11906" w:h="16838"/>
          <w:pgMar w:top="1191" w:right="1417" w:bottom="1191" w:left="1417" w:header="851" w:footer="992" w:gutter="0"/>
          <w:pgBorders>
            <w:top w:val="none" w:sz="0" w:space="0"/>
            <w:left w:val="none" w:sz="0" w:space="0"/>
            <w:bottom w:val="none" w:sz="0" w:space="0"/>
            <w:right w:val="none" w:sz="0" w:space="0"/>
          </w:pgBorders>
          <w:cols w:space="425" w:num="1"/>
          <w:docGrid w:type="lines" w:linePitch="312" w:charSpace="0"/>
        </w:sectPr>
      </w:pPr>
    </w:p>
    <w:p w14:paraId="435251AF">
      <w:pPr>
        <w:pStyle w:val="2"/>
        <w:rPr>
          <w:rFonts w:hint="eastAsia" w:ascii="方正小标宋简体" w:hAnsi="方正小标宋简体" w:eastAsia="方正小标宋简体" w:cs="方正小标宋简体"/>
          <w:b/>
          <w:bCs/>
          <w:sz w:val="36"/>
          <w:szCs w:val="48"/>
        </w:rPr>
      </w:pPr>
      <w:bookmarkStart w:id="2" w:name="_Toc16976"/>
      <w:bookmarkStart w:id="3" w:name="_Toc19181"/>
      <w:r>
        <w:rPr>
          <w:rFonts w:hint="eastAsia" w:ascii="方正小标宋简体" w:hAnsi="方正小标宋简体" w:eastAsia="方正小标宋简体" w:cs="方正小标宋简体"/>
          <w:b/>
          <w:bCs/>
          <w:sz w:val="36"/>
          <w:szCs w:val="48"/>
        </w:rPr>
        <w:t>202</w:t>
      </w:r>
      <w:r>
        <w:rPr>
          <w:rFonts w:hint="eastAsia" w:ascii="方正小标宋简体" w:hAnsi="方正小标宋简体" w:eastAsia="方正小标宋简体" w:cs="方正小标宋简体"/>
          <w:b/>
          <w:bCs/>
          <w:sz w:val="36"/>
          <w:szCs w:val="48"/>
          <w:lang w:val="en-US" w:eastAsia="zh-CN"/>
        </w:rPr>
        <w:t>6</w:t>
      </w:r>
      <w:r>
        <w:rPr>
          <w:rFonts w:hint="eastAsia" w:ascii="方正小标宋简体" w:hAnsi="方正小标宋简体" w:eastAsia="方正小标宋简体" w:cs="方正小标宋简体"/>
          <w:b/>
          <w:bCs/>
          <w:sz w:val="36"/>
          <w:szCs w:val="48"/>
        </w:rPr>
        <w:t>年</w:t>
      </w:r>
      <w:r>
        <w:rPr>
          <w:rFonts w:hint="eastAsia" w:ascii="方正小标宋简体" w:hAnsi="方正小标宋简体" w:eastAsia="方正小标宋简体" w:cs="方正小标宋简体"/>
          <w:b/>
          <w:bCs/>
          <w:sz w:val="36"/>
          <w:szCs w:val="48"/>
          <w:lang w:val="en-US" w:eastAsia="zh-CN"/>
        </w:rPr>
        <w:t>河北</w:t>
      </w:r>
      <w:r>
        <w:rPr>
          <w:rFonts w:hint="eastAsia" w:ascii="方正小标宋简体" w:hAnsi="方正小标宋简体" w:eastAsia="方正小标宋简体" w:cs="方正小标宋简体"/>
          <w:b/>
          <w:bCs/>
          <w:sz w:val="36"/>
          <w:szCs w:val="48"/>
        </w:rPr>
        <w:t>省职业院校技能大赛赛项规程</w:t>
      </w:r>
      <w:bookmarkEnd w:id="2"/>
      <w:bookmarkEnd w:id="3"/>
    </w:p>
    <w:p w14:paraId="476D7566">
      <w:pPr>
        <w:pStyle w:val="3"/>
        <w:ind w:firstLine="562"/>
        <w:rPr>
          <w:rFonts w:hint="eastAsia" w:ascii="仿宋" w:hAnsi="仿宋" w:eastAsia="仿宋" w:cs="仿宋"/>
        </w:rPr>
      </w:pPr>
      <w:bookmarkStart w:id="4" w:name="_Toc10746"/>
      <w:r>
        <w:rPr>
          <w:rFonts w:hint="eastAsia" w:ascii="仿宋" w:hAnsi="仿宋" w:eastAsia="仿宋" w:cs="仿宋"/>
        </w:rPr>
        <w:t>一、赛项名称</w:t>
      </w:r>
      <w:bookmarkEnd w:id="4"/>
    </w:p>
    <w:p w14:paraId="091137FF">
      <w:pPr>
        <w:ind w:firstLine="480"/>
        <w:rPr>
          <w:rFonts w:hint="eastAsia" w:ascii="仿宋" w:hAnsi="仿宋" w:eastAsia="仿宋" w:cs="仿宋"/>
          <w:lang w:val="en-US" w:eastAsia="zh-CN"/>
        </w:rPr>
      </w:pPr>
      <w:r>
        <w:rPr>
          <w:rFonts w:hint="eastAsia" w:ascii="仿宋" w:hAnsi="仿宋" w:eastAsia="仿宋" w:cs="仿宋"/>
        </w:rPr>
        <w:t>赛项名称：</w:t>
      </w:r>
      <w:r>
        <w:rPr>
          <w:rFonts w:hint="eastAsia" w:ascii="仿宋" w:hAnsi="仿宋" w:eastAsia="仿宋" w:cs="仿宋"/>
          <w:lang w:val="en-US" w:eastAsia="zh-CN"/>
        </w:rPr>
        <w:t>无人机操控与维护</w:t>
      </w:r>
      <w:bookmarkStart w:id="32" w:name="_GoBack"/>
      <w:bookmarkEnd w:id="32"/>
    </w:p>
    <w:p w14:paraId="51BB7576">
      <w:pPr>
        <w:ind w:firstLine="480"/>
        <w:rPr>
          <w:rFonts w:hint="eastAsia" w:ascii="仿宋" w:hAnsi="仿宋" w:eastAsia="仿宋" w:cs="仿宋"/>
        </w:rPr>
      </w:pPr>
      <w:r>
        <w:rPr>
          <w:rFonts w:hint="eastAsia" w:ascii="仿宋" w:hAnsi="仿宋" w:eastAsia="仿宋" w:cs="仿宋"/>
        </w:rPr>
        <w:t>赛项组别：</w:t>
      </w:r>
      <w:r>
        <w:rPr>
          <w:rFonts w:hint="eastAsia" w:ascii="仿宋" w:hAnsi="仿宋" w:eastAsia="仿宋" w:cs="仿宋"/>
          <w:lang w:val="en-US" w:eastAsia="zh-CN"/>
        </w:rPr>
        <w:t>中职</w:t>
      </w:r>
      <w:r>
        <w:rPr>
          <w:rFonts w:hint="eastAsia" w:ascii="仿宋" w:hAnsi="仿宋" w:eastAsia="仿宋" w:cs="仿宋"/>
        </w:rPr>
        <w:t>学生组</w:t>
      </w:r>
    </w:p>
    <w:p w14:paraId="19E98247">
      <w:pPr>
        <w:pStyle w:val="3"/>
        <w:ind w:firstLine="562"/>
        <w:rPr>
          <w:rFonts w:hint="eastAsia" w:ascii="仿宋" w:hAnsi="仿宋" w:eastAsia="仿宋" w:cs="仿宋"/>
        </w:rPr>
      </w:pPr>
      <w:bookmarkStart w:id="5" w:name="_Toc10140"/>
      <w:r>
        <w:rPr>
          <w:rFonts w:hint="eastAsia" w:ascii="仿宋" w:hAnsi="仿宋" w:eastAsia="仿宋" w:cs="仿宋"/>
        </w:rPr>
        <w:t>二、</w:t>
      </w:r>
      <w:bookmarkStart w:id="6" w:name="_Hlk3382872"/>
      <w:r>
        <w:rPr>
          <w:rFonts w:hint="eastAsia" w:ascii="仿宋" w:hAnsi="仿宋" w:eastAsia="仿宋" w:cs="仿宋"/>
        </w:rPr>
        <w:t>竞赛目的</w:t>
      </w:r>
      <w:bookmarkEnd w:id="5"/>
      <w:bookmarkEnd w:id="6"/>
    </w:p>
    <w:p w14:paraId="2F2FF98F">
      <w:pPr>
        <w:ind w:firstLine="480"/>
        <w:rPr>
          <w:rFonts w:hint="eastAsia" w:ascii="仿宋" w:hAnsi="仿宋" w:eastAsia="仿宋" w:cs="仿宋"/>
        </w:rPr>
      </w:pPr>
      <w:r>
        <w:rPr>
          <w:rFonts w:hint="eastAsia" w:ascii="仿宋" w:hAnsi="仿宋" w:eastAsia="仿宋" w:cs="仿宋"/>
        </w:rPr>
        <w:t>本赛项旨在落实国家制造业高端化、智能化、绿色化的发展战略，精准对接新一代信息技术等战略性新兴产业的技能人才需求，引领专业建设和教学改革，全面提升</w:t>
      </w:r>
      <w:r>
        <w:rPr>
          <w:rFonts w:hint="eastAsia" w:ascii="仿宋" w:hAnsi="仿宋" w:cs="仿宋"/>
          <w:lang w:val="en-US" w:eastAsia="zh-CN"/>
        </w:rPr>
        <w:t>中</w:t>
      </w:r>
      <w:r>
        <w:rPr>
          <w:rFonts w:hint="eastAsia" w:ascii="仿宋" w:hAnsi="仿宋" w:eastAsia="仿宋" w:cs="仿宋"/>
        </w:rPr>
        <w:t>等职业教育教学质量，坚定不移地建设制造强国，推进产业发展。</w:t>
      </w:r>
    </w:p>
    <w:p w14:paraId="7BA738D6">
      <w:pPr>
        <w:ind w:firstLine="480"/>
        <w:rPr>
          <w:rFonts w:hint="eastAsia" w:ascii="仿宋" w:hAnsi="仿宋" w:eastAsia="仿宋" w:cs="仿宋"/>
        </w:rPr>
      </w:pPr>
      <w:r>
        <w:rPr>
          <w:rFonts w:hint="eastAsia" w:ascii="仿宋" w:hAnsi="仿宋" w:eastAsia="仿宋" w:cs="仿宋"/>
        </w:rPr>
        <w:t>随着科技发展，</w:t>
      </w:r>
      <w:r>
        <w:rPr>
          <w:rFonts w:hint="eastAsia" w:ascii="仿宋" w:hAnsi="仿宋" w:eastAsia="仿宋" w:cs="仿宋"/>
          <w:lang w:val="en-US" w:eastAsia="zh-CN"/>
        </w:rPr>
        <w:t>无人机操控维护</w:t>
      </w:r>
      <w:r>
        <w:rPr>
          <w:rFonts w:hint="eastAsia" w:ascii="仿宋" w:hAnsi="仿宋" w:eastAsia="仿宋" w:cs="仿宋"/>
        </w:rPr>
        <w:t>范畴不断拓宽，在监测、植保、巡检等行业日渐成熟，</w:t>
      </w:r>
      <w:r>
        <w:rPr>
          <w:rFonts w:hint="eastAsia" w:ascii="仿宋" w:hAnsi="仿宋" w:eastAsia="仿宋" w:cs="仿宋"/>
          <w:lang w:val="en-US" w:eastAsia="zh-CN"/>
        </w:rPr>
        <w:t>无人机</w:t>
      </w:r>
      <w:r>
        <w:rPr>
          <w:rFonts w:hint="eastAsia" w:ascii="仿宋" w:hAnsi="仿宋" w:eastAsia="仿宋" w:cs="仿宋"/>
        </w:rPr>
        <w:t>装配调试、检测维修、飞行操控等岗位的人才需求长期保持亟需趋势。</w:t>
      </w:r>
      <w:r>
        <w:rPr>
          <w:rFonts w:hint="eastAsia" w:ascii="仿宋" w:hAnsi="仿宋" w:eastAsia="仿宋" w:cs="仿宋"/>
          <w:lang w:val="en-US" w:eastAsia="zh-CN"/>
        </w:rPr>
        <w:t>通过竞赛，考察选手对无人机组装调试、飞行操控、基于无人机平台的行业应用能力及无人机维修的职业技能水平，检验选手的团队协作、组织协调及安全质量意识水平。</w:t>
      </w:r>
    </w:p>
    <w:p w14:paraId="0611360B">
      <w:pPr>
        <w:ind w:firstLine="480"/>
        <w:rPr>
          <w:rFonts w:hint="eastAsia" w:ascii="仿宋" w:hAnsi="仿宋" w:eastAsia="仿宋" w:cs="仿宋"/>
        </w:rPr>
      </w:pPr>
      <w:r>
        <w:rPr>
          <w:rFonts w:hint="eastAsia" w:ascii="仿宋" w:hAnsi="仿宋" w:eastAsia="仿宋" w:cs="仿宋"/>
        </w:rPr>
        <w:t>本赛项的举办将推进</w:t>
      </w:r>
      <w:r>
        <w:rPr>
          <w:rFonts w:hint="eastAsia" w:ascii="仿宋" w:hAnsi="仿宋" w:eastAsia="仿宋" w:cs="仿宋"/>
          <w:lang w:val="en-US" w:eastAsia="zh-CN"/>
        </w:rPr>
        <w:t>中等</w:t>
      </w:r>
      <w:r>
        <w:rPr>
          <w:rFonts w:hint="eastAsia" w:ascii="仿宋" w:hAnsi="仿宋" w:eastAsia="仿宋" w:cs="仿宋"/>
        </w:rPr>
        <w:t>职业</w:t>
      </w:r>
      <w:r>
        <w:rPr>
          <w:rFonts w:hint="eastAsia" w:ascii="仿宋" w:hAnsi="仿宋" w:eastAsia="仿宋" w:cs="仿宋"/>
          <w:lang w:val="en-US" w:eastAsia="zh-CN"/>
        </w:rPr>
        <w:t>学校</w:t>
      </w:r>
      <w:r>
        <w:rPr>
          <w:rFonts w:hint="eastAsia" w:ascii="仿宋" w:hAnsi="仿宋" w:eastAsia="仿宋" w:cs="仿宋"/>
        </w:rPr>
        <w:t>无人机应用技术等相关专业的建设与教学改革，推动无人机</w:t>
      </w:r>
      <w:r>
        <w:rPr>
          <w:rFonts w:hint="eastAsia" w:ascii="仿宋" w:hAnsi="仿宋" w:eastAsia="仿宋" w:cs="仿宋"/>
          <w:lang w:val="en-US" w:eastAsia="zh-CN"/>
        </w:rPr>
        <w:t>装配调试</w:t>
      </w:r>
      <w:r>
        <w:rPr>
          <w:rFonts w:hint="eastAsia" w:ascii="仿宋" w:hAnsi="仿宋" w:eastAsia="仿宋" w:cs="仿宋"/>
        </w:rPr>
        <w:t>、</w:t>
      </w:r>
      <w:r>
        <w:rPr>
          <w:rFonts w:hint="eastAsia" w:ascii="仿宋" w:hAnsi="仿宋" w:eastAsia="仿宋" w:cs="仿宋"/>
          <w:lang w:val="en-US" w:eastAsia="zh-CN"/>
        </w:rPr>
        <w:t>检测维修</w:t>
      </w:r>
      <w:r>
        <w:rPr>
          <w:rFonts w:hint="eastAsia" w:ascii="仿宋" w:hAnsi="仿宋" w:eastAsia="仿宋" w:cs="仿宋"/>
        </w:rPr>
        <w:t>、</w:t>
      </w:r>
      <w:r>
        <w:rPr>
          <w:rFonts w:hint="eastAsia" w:ascii="仿宋" w:hAnsi="仿宋" w:eastAsia="仿宋" w:cs="仿宋"/>
          <w:lang w:val="en-US" w:eastAsia="zh-CN"/>
        </w:rPr>
        <w:t>操控飞行</w:t>
      </w:r>
      <w:r>
        <w:rPr>
          <w:rFonts w:hint="eastAsia" w:ascii="仿宋" w:hAnsi="仿宋" w:eastAsia="仿宋" w:cs="仿宋"/>
        </w:rPr>
        <w:t>等高素质技术技能人才的培养，促进相关专业的教学资源、教材及教学平台建设，为人才培养储备师资力量，为全面提升相关专业的人才培养质量和内涵建设搭建平台，形成“以赛促学、以赛促教、以赛促改”的新格局。</w:t>
      </w:r>
    </w:p>
    <w:p w14:paraId="3C048E34">
      <w:pPr>
        <w:pStyle w:val="3"/>
        <w:ind w:firstLine="562"/>
        <w:rPr>
          <w:rFonts w:hint="eastAsia" w:ascii="仿宋" w:hAnsi="仿宋" w:eastAsia="仿宋" w:cs="仿宋"/>
        </w:rPr>
      </w:pPr>
      <w:bookmarkStart w:id="7" w:name="_Toc11655"/>
      <w:r>
        <w:rPr>
          <w:rFonts w:hint="eastAsia" w:ascii="仿宋" w:hAnsi="仿宋" w:eastAsia="仿宋" w:cs="仿宋"/>
        </w:rPr>
        <w:t>三、竞赛内容</w:t>
      </w:r>
      <w:bookmarkEnd w:id="7"/>
    </w:p>
    <w:p w14:paraId="3DA8CB8E">
      <w:pPr>
        <w:ind w:firstLine="480"/>
        <w:rPr>
          <w:rFonts w:hint="eastAsia" w:ascii="仿宋" w:hAnsi="仿宋" w:eastAsia="仿宋" w:cs="仿宋"/>
          <w:lang w:val="en-US" w:eastAsia="zh-CN"/>
        </w:rPr>
      </w:pPr>
      <w:r>
        <w:rPr>
          <w:rFonts w:hint="eastAsia" w:ascii="仿宋" w:hAnsi="仿宋" w:eastAsia="仿宋" w:cs="仿宋"/>
          <w:highlight w:val="none"/>
          <w:lang w:val="en-US" w:eastAsia="zh-CN"/>
        </w:rPr>
        <w:t>本赛项围绕无人机操控与维护，分为无人机组装与调试、无人机检测维修、无人机操控飞行及展示讲解四个模块，如表1 所示。竞赛内容重点考查学生无人机的组装调试、故障排查、飞行操控以及项目展示等方面的综合能力及职业素养。</w:t>
      </w:r>
    </w:p>
    <w:p w14:paraId="47266BC7">
      <w:pPr>
        <w:ind w:firstLine="2880" w:firstLineChars="1200"/>
        <w:rPr>
          <w:rFonts w:hint="eastAsia" w:ascii="仿宋" w:hAnsi="仿宋" w:eastAsia="仿宋" w:cs="仿宋"/>
          <w:lang w:val="en-US" w:eastAsia="zh-CN"/>
        </w:rPr>
      </w:pPr>
      <w:r>
        <w:rPr>
          <w:rFonts w:hint="eastAsia" w:ascii="仿宋" w:hAnsi="仿宋" w:eastAsia="仿宋" w:cs="仿宋"/>
          <w:lang w:val="en-US" w:eastAsia="zh-CN"/>
        </w:rPr>
        <w:t>表1 赛项模块说明</w:t>
      </w:r>
    </w:p>
    <w:tbl>
      <w:tblPr>
        <w:tblStyle w:val="1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079"/>
        <w:gridCol w:w="1350"/>
        <w:gridCol w:w="1380"/>
      </w:tblGrid>
      <w:tr w14:paraId="0A6E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923" w:type="dxa"/>
            <w:gridSpan w:val="2"/>
            <w:vAlign w:val="center"/>
          </w:tcPr>
          <w:p w14:paraId="449D099B">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模块</w:t>
            </w:r>
          </w:p>
        </w:tc>
        <w:tc>
          <w:tcPr>
            <w:tcW w:w="1350" w:type="dxa"/>
            <w:vAlign w:val="center"/>
          </w:tcPr>
          <w:p w14:paraId="17FF355F">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比赛时长</w:t>
            </w:r>
          </w:p>
        </w:tc>
        <w:tc>
          <w:tcPr>
            <w:tcW w:w="1380" w:type="dxa"/>
            <w:vAlign w:val="center"/>
          </w:tcPr>
          <w:p w14:paraId="3CCCBA19">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分值</w:t>
            </w:r>
          </w:p>
        </w:tc>
      </w:tr>
      <w:tr w14:paraId="6238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844" w:type="dxa"/>
            <w:vAlign w:val="center"/>
          </w:tcPr>
          <w:p w14:paraId="300FB7BD">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模块一</w:t>
            </w:r>
          </w:p>
        </w:tc>
        <w:tc>
          <w:tcPr>
            <w:tcW w:w="2079" w:type="dxa"/>
            <w:vAlign w:val="center"/>
          </w:tcPr>
          <w:p w14:paraId="5E2FF5E7">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无人机组装与调试</w:t>
            </w:r>
          </w:p>
        </w:tc>
        <w:tc>
          <w:tcPr>
            <w:tcW w:w="1350" w:type="dxa"/>
            <w:vAlign w:val="center"/>
          </w:tcPr>
          <w:p w14:paraId="13B00ED6">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80</w:t>
            </w:r>
          </w:p>
        </w:tc>
        <w:tc>
          <w:tcPr>
            <w:tcW w:w="1380" w:type="dxa"/>
            <w:vAlign w:val="center"/>
          </w:tcPr>
          <w:p w14:paraId="64D76433">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35</w:t>
            </w:r>
          </w:p>
        </w:tc>
      </w:tr>
      <w:tr w14:paraId="3A53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844" w:type="dxa"/>
            <w:vAlign w:val="center"/>
          </w:tcPr>
          <w:p w14:paraId="557F5F26">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模块二</w:t>
            </w:r>
          </w:p>
        </w:tc>
        <w:tc>
          <w:tcPr>
            <w:tcW w:w="2079" w:type="dxa"/>
            <w:vAlign w:val="center"/>
          </w:tcPr>
          <w:p w14:paraId="14E267E5">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无人机检测</w:t>
            </w:r>
            <w:r>
              <w:rPr>
                <w:rFonts w:hint="eastAsia" w:ascii="仿宋" w:hAnsi="仿宋" w:cs="仿宋"/>
                <w:lang w:val="en-US" w:eastAsia="zh-CN"/>
              </w:rPr>
              <w:t>与</w:t>
            </w:r>
            <w:r>
              <w:rPr>
                <w:rFonts w:hint="eastAsia" w:ascii="仿宋" w:hAnsi="仿宋" w:eastAsia="仿宋" w:cs="仿宋"/>
                <w:lang w:val="en-US" w:eastAsia="zh-CN"/>
              </w:rPr>
              <w:t>维修</w:t>
            </w:r>
          </w:p>
        </w:tc>
        <w:tc>
          <w:tcPr>
            <w:tcW w:w="1350" w:type="dxa"/>
            <w:vAlign w:val="center"/>
          </w:tcPr>
          <w:p w14:paraId="18ECE92D">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30</w:t>
            </w:r>
          </w:p>
        </w:tc>
        <w:tc>
          <w:tcPr>
            <w:tcW w:w="1380" w:type="dxa"/>
            <w:vAlign w:val="center"/>
          </w:tcPr>
          <w:p w14:paraId="5C3FE898">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25</w:t>
            </w:r>
          </w:p>
        </w:tc>
      </w:tr>
      <w:tr w14:paraId="62CA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844" w:type="dxa"/>
            <w:vAlign w:val="center"/>
          </w:tcPr>
          <w:p w14:paraId="47B41188">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模块三</w:t>
            </w:r>
          </w:p>
        </w:tc>
        <w:tc>
          <w:tcPr>
            <w:tcW w:w="2079" w:type="dxa"/>
            <w:vAlign w:val="center"/>
          </w:tcPr>
          <w:p w14:paraId="12227EA2">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无人机操控飞行</w:t>
            </w:r>
          </w:p>
        </w:tc>
        <w:tc>
          <w:tcPr>
            <w:tcW w:w="1350" w:type="dxa"/>
            <w:vAlign w:val="center"/>
          </w:tcPr>
          <w:p w14:paraId="0CA0162A">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1380" w:type="dxa"/>
            <w:vAlign w:val="center"/>
          </w:tcPr>
          <w:p w14:paraId="0EFF7A62">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r>
      <w:tr w14:paraId="42126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jc w:val="center"/>
        </w:trPr>
        <w:tc>
          <w:tcPr>
            <w:tcW w:w="844" w:type="dxa"/>
            <w:vAlign w:val="center"/>
          </w:tcPr>
          <w:p w14:paraId="63BC5F79">
            <w:pPr>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模块四</w:t>
            </w:r>
          </w:p>
        </w:tc>
        <w:tc>
          <w:tcPr>
            <w:tcW w:w="2079" w:type="dxa"/>
            <w:shd w:val="clear" w:color="auto" w:fill="auto"/>
            <w:vAlign w:val="center"/>
          </w:tcPr>
          <w:p w14:paraId="27C9DFB8">
            <w:pPr>
              <w:ind w:left="0" w:leftChars="0" w:firstLine="0" w:firstLineChars="0"/>
              <w:jc w:val="center"/>
              <w:rPr>
                <w:rFonts w:hint="eastAsia" w:ascii="仿宋" w:hAnsi="仿宋" w:eastAsia="仿宋" w:cs="仿宋"/>
                <w:kern w:val="2"/>
                <w:sz w:val="24"/>
                <w:szCs w:val="22"/>
                <w:lang w:val="en-US" w:eastAsia="zh-CN" w:bidi="ar-SA"/>
              </w:rPr>
            </w:pPr>
            <w:r>
              <w:rPr>
                <w:rFonts w:hint="eastAsia" w:ascii="仿宋" w:hAnsi="仿宋" w:eastAsia="仿宋" w:cs="仿宋"/>
                <w:lang w:val="en-US" w:eastAsia="zh-CN"/>
              </w:rPr>
              <w:t>展示讲解</w:t>
            </w:r>
          </w:p>
        </w:tc>
        <w:tc>
          <w:tcPr>
            <w:tcW w:w="1350" w:type="dxa"/>
            <w:shd w:val="clear" w:color="auto" w:fill="auto"/>
            <w:vAlign w:val="center"/>
          </w:tcPr>
          <w:p w14:paraId="4933A202">
            <w:pPr>
              <w:ind w:left="0" w:leftChars="0" w:firstLine="0" w:firstLineChars="0"/>
              <w:jc w:val="center"/>
              <w:rPr>
                <w:rFonts w:hint="eastAsia" w:ascii="仿宋" w:hAnsi="仿宋" w:eastAsia="仿宋" w:cs="仿宋"/>
                <w:kern w:val="2"/>
                <w:sz w:val="24"/>
                <w:szCs w:val="22"/>
                <w:lang w:val="en-US" w:eastAsia="zh-CN" w:bidi="ar-SA"/>
              </w:rPr>
            </w:pPr>
            <w:r>
              <w:rPr>
                <w:rFonts w:hint="eastAsia" w:ascii="仿宋" w:hAnsi="仿宋" w:eastAsia="仿宋" w:cs="仿宋"/>
                <w:lang w:val="en-US" w:eastAsia="zh-CN"/>
              </w:rPr>
              <w:t>10</w:t>
            </w:r>
          </w:p>
        </w:tc>
        <w:tc>
          <w:tcPr>
            <w:tcW w:w="1380" w:type="dxa"/>
            <w:shd w:val="clear" w:color="auto" w:fill="auto"/>
            <w:vAlign w:val="center"/>
          </w:tcPr>
          <w:p w14:paraId="0ECCBA8B">
            <w:pPr>
              <w:ind w:left="0" w:leftChars="0" w:firstLine="0" w:firstLineChars="0"/>
              <w:jc w:val="center"/>
              <w:rPr>
                <w:rFonts w:hint="eastAsia" w:ascii="仿宋" w:hAnsi="仿宋" w:eastAsia="仿宋" w:cs="仿宋"/>
                <w:kern w:val="2"/>
                <w:sz w:val="24"/>
                <w:szCs w:val="22"/>
                <w:lang w:val="en-US" w:eastAsia="zh-CN" w:bidi="ar-SA"/>
              </w:rPr>
            </w:pPr>
            <w:r>
              <w:rPr>
                <w:rFonts w:hint="eastAsia" w:ascii="仿宋" w:hAnsi="仿宋" w:eastAsia="仿宋" w:cs="仿宋"/>
                <w:lang w:val="en-US" w:eastAsia="zh-CN"/>
              </w:rPr>
              <w:t>20</w:t>
            </w:r>
          </w:p>
        </w:tc>
      </w:tr>
    </w:tbl>
    <w:p w14:paraId="605E7B07">
      <w:pPr>
        <w:rPr>
          <w:rFonts w:hint="eastAsia" w:ascii="仿宋" w:hAnsi="仿宋" w:eastAsia="仿宋" w:cs="仿宋"/>
          <w:lang w:val="en-US" w:eastAsia="zh-CN"/>
        </w:rPr>
      </w:pP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第一模块无人机组装与调试环节，分为无人机组装调试和测试飞行两个任务。主要考核参赛选手对于无人机组装调试的综合能力。要求选手在组装调试工位和规定时间内，利用无人机零部件、配套工具及耗材，遵循机械和电气装配工艺，快速、正确地完成无人机的整机组装及负载安装。通过调参软件进行调试，并在指定的飞行场地按照既定的飞行姿态及飞行路线进行飞行。</w:t>
      </w:r>
    </w:p>
    <w:p w14:paraId="573533BC">
      <w:pPr>
        <w:rPr>
          <w:rFonts w:hint="eastAsia" w:ascii="仿宋" w:hAnsi="仿宋" w:eastAsia="仿宋" w:cs="仿宋"/>
          <w:lang w:val="en-US" w:eastAsia="zh-CN"/>
        </w:rPr>
      </w:pPr>
      <w:r>
        <w:rPr>
          <w:rFonts w:hint="eastAsia" w:ascii="仿宋" w:hAnsi="仿宋" w:eastAsia="仿宋" w:cs="仿宋"/>
          <w:lang w:val="en-US" w:eastAsia="zh-CN"/>
        </w:rPr>
        <w:t>2.第二模块无人机检测维修环节，主要考核参赛选手对于无人机故障检测、故障分析以及故障排除测试的能力。要求选手在规定时间内，利用无人机装调检修平台及其配套工具，针对故障现象进行分析诊断，判断故障记录故障，填写故障检修单。</w:t>
      </w:r>
    </w:p>
    <w:p w14:paraId="604EB0D1">
      <w:pPr>
        <w:rPr>
          <w:rFonts w:hint="eastAsia" w:ascii="仿宋" w:hAnsi="仿宋" w:eastAsia="仿宋" w:cs="仿宋"/>
          <w:lang w:val="en-US" w:eastAsia="zh-CN"/>
        </w:rPr>
      </w:pPr>
      <w:r>
        <w:rPr>
          <w:rFonts w:hint="eastAsia" w:ascii="仿宋" w:hAnsi="仿宋" w:eastAsia="仿宋" w:cs="仿宋"/>
          <w:lang w:val="en-US" w:eastAsia="zh-CN"/>
        </w:rPr>
        <w:t>3.第三模块无人机操控飞行环节，主要考核参赛选手对无人机操控飞行的能力。要求选手在规定时间内，利用提供的飞行平台完成无人机操控轨迹飞行、抓取目标物或对指定目标物拍照取证。</w:t>
      </w:r>
    </w:p>
    <w:p w14:paraId="4B7F03FE">
      <w:pPr>
        <w:rPr>
          <w:rFonts w:hint="eastAsia" w:ascii="仿宋" w:hAnsi="仿宋" w:eastAsia="仿宋" w:cs="仿宋"/>
          <w:lang w:val="en-US" w:eastAsia="zh-CN"/>
        </w:rPr>
      </w:pPr>
      <w:r>
        <w:rPr>
          <w:rFonts w:hint="eastAsia" w:ascii="仿宋" w:hAnsi="仿宋" w:eastAsia="仿宋" w:cs="仿宋"/>
          <w:lang w:val="en-US" w:eastAsia="zh-CN"/>
        </w:rPr>
        <w:t>4.第四模块为展示讲解环节，参赛队伍</w:t>
      </w:r>
      <w:r>
        <w:rPr>
          <w:rFonts w:hint="eastAsia" w:ascii="仿宋" w:hAnsi="仿宋" w:eastAsia="仿宋" w:cs="仿宋"/>
          <w:color w:val="auto"/>
          <w:lang w:val="en-US" w:eastAsia="zh-CN"/>
        </w:rPr>
        <w:t>根据自选项目任务，按团队成员分工，同步进行技能操作和现场讲解，展示时选手需借助PPT，以“无实物演示”的形式，</w:t>
      </w:r>
      <w:r>
        <w:rPr>
          <w:rFonts w:hint="eastAsia" w:ascii="仿宋" w:hAnsi="仿宋" w:cs="仿宋"/>
          <w:color w:val="auto"/>
          <w:lang w:val="en-US" w:eastAsia="zh-CN"/>
        </w:rPr>
        <w:t>完成</w:t>
      </w:r>
      <w:r>
        <w:rPr>
          <w:rFonts w:hint="eastAsia" w:ascii="仿宋" w:hAnsi="仿宋" w:eastAsia="仿宋" w:cs="仿宋"/>
          <w:color w:val="auto"/>
          <w:lang w:val="en-US" w:eastAsia="zh-CN"/>
        </w:rPr>
        <w:t>现场技能展示和解说。</w:t>
      </w:r>
      <w:r>
        <w:rPr>
          <w:rFonts w:hint="eastAsia" w:ascii="仿宋" w:hAnsi="仿宋" w:eastAsia="仿宋" w:cs="仿宋"/>
          <w:lang w:val="en-US" w:eastAsia="zh-CN"/>
        </w:rPr>
        <w:t>现场讲解需清晰阐述</w:t>
      </w:r>
      <w:r>
        <w:rPr>
          <w:rFonts w:hint="eastAsia" w:ascii="仿宋" w:hAnsi="仿宋" w:eastAsia="仿宋" w:cs="仿宋"/>
          <w:highlight w:val="none"/>
          <w:lang w:val="en-US" w:eastAsia="zh-CN"/>
        </w:rPr>
        <w:t>总体思路、技能要点、主要成果与项目创新之处</w:t>
      </w:r>
      <w:r>
        <w:rPr>
          <w:rFonts w:hint="eastAsia" w:ascii="仿宋" w:hAnsi="仿宋" w:eastAsia="仿宋" w:cs="仿宋"/>
          <w:lang w:val="en-US" w:eastAsia="zh-CN"/>
        </w:rPr>
        <w:t>。全面考查团队在技能展示与讲解方面的协同能力与专业素养。</w:t>
      </w:r>
    </w:p>
    <w:p w14:paraId="01280629">
      <w:pPr>
        <w:pStyle w:val="3"/>
        <w:keepNext/>
        <w:keepLines/>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rPr>
      </w:pPr>
      <w:bookmarkStart w:id="8" w:name="_Toc29122"/>
      <w:r>
        <w:rPr>
          <w:rFonts w:hint="eastAsia" w:ascii="仿宋" w:hAnsi="仿宋" w:eastAsia="仿宋" w:cs="仿宋"/>
          <w:lang w:val="en-US" w:eastAsia="zh-CN"/>
        </w:rPr>
        <w:t>四</w:t>
      </w:r>
      <w:r>
        <w:rPr>
          <w:rFonts w:hint="eastAsia" w:ascii="仿宋" w:hAnsi="仿宋" w:eastAsia="仿宋" w:cs="仿宋"/>
        </w:rPr>
        <w:t>、竞赛方式</w:t>
      </w:r>
      <w:bookmarkEnd w:id="8"/>
    </w:p>
    <w:p w14:paraId="3BBF6631">
      <w:pPr>
        <w:ind w:firstLine="481" w:firstLineChars="0"/>
        <w:rPr>
          <w:rFonts w:hint="eastAsia" w:ascii="仿宋" w:hAnsi="仿宋" w:eastAsia="仿宋" w:cs="仿宋"/>
          <w:bCs/>
          <w:color w:val="auto"/>
          <w:szCs w:val="24"/>
          <w:highlight w:val="none"/>
        </w:rPr>
      </w:pPr>
      <w:r>
        <w:rPr>
          <w:rFonts w:hint="eastAsia" w:ascii="仿宋" w:hAnsi="仿宋" w:eastAsia="仿宋" w:cs="仿宋"/>
          <w:b w:val="0"/>
          <w:bCs/>
          <w:color w:val="auto"/>
          <w:szCs w:val="24"/>
          <w:highlight w:val="none"/>
        </w:rPr>
        <w:t>参赛选手为中等职业学校</w:t>
      </w:r>
      <w:r>
        <w:rPr>
          <w:rFonts w:hint="eastAsia" w:ascii="仿宋" w:hAnsi="仿宋" w:eastAsia="仿宋" w:cs="仿宋"/>
          <w:b w:val="0"/>
          <w:bCs/>
          <w:color w:val="auto"/>
          <w:szCs w:val="24"/>
          <w:highlight w:val="none"/>
          <w:lang w:val="en-US" w:eastAsia="zh-CN"/>
        </w:rPr>
        <w:t>（含技工院校）</w:t>
      </w:r>
      <w:r>
        <w:rPr>
          <w:rFonts w:hint="eastAsia" w:ascii="仿宋" w:hAnsi="仿宋" w:eastAsia="仿宋" w:cs="仿宋"/>
          <w:b w:val="0"/>
          <w:bCs/>
          <w:color w:val="auto"/>
          <w:szCs w:val="24"/>
          <w:highlight w:val="none"/>
        </w:rPr>
        <w:t>全日制在籍学生；五年一贯制一至三年级（含三年级）的学生可参加比赛。每支参赛队由</w:t>
      </w: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名同校在籍学生组成，其中队长1名，不得跨校组队，每个学校</w:t>
      </w:r>
      <w:r>
        <w:rPr>
          <w:rFonts w:hint="eastAsia" w:ascii="仿宋" w:hAnsi="仿宋" w:eastAsia="仿宋" w:cs="仿宋"/>
          <w:b w:val="0"/>
          <w:bCs/>
          <w:color w:val="auto"/>
          <w:szCs w:val="24"/>
          <w:highlight w:val="none"/>
          <w:lang w:val="en-US" w:eastAsia="zh-CN"/>
        </w:rPr>
        <w:t>可</w:t>
      </w:r>
      <w:r>
        <w:rPr>
          <w:rFonts w:hint="eastAsia" w:ascii="仿宋" w:hAnsi="仿宋" w:eastAsia="仿宋" w:cs="仿宋"/>
          <w:lang w:val="en-US" w:eastAsia="zh-CN"/>
        </w:rPr>
        <w:t>推荐</w:t>
      </w:r>
      <w:r>
        <w:rPr>
          <w:rFonts w:hint="eastAsia" w:ascii="仿宋" w:hAnsi="仿宋" w:eastAsia="仿宋" w:cs="仿宋"/>
          <w:b w:val="0"/>
          <w:bCs/>
          <w:color w:val="auto"/>
          <w:szCs w:val="24"/>
          <w:highlight w:val="none"/>
        </w:rPr>
        <w:t>1-2个参赛队，每队可配有1-2名指导老师，指导教师须为本校在职教师。以学校为单位报名组队，参赛队伍及选手提供的信息必须真实、准确有效，一经发现参赛队伍或选手信息匹配不一致，组委会有权取消参赛队及选手参赛资格。</w:t>
      </w:r>
    </w:p>
    <w:p w14:paraId="5BDAB192">
      <w:pPr>
        <w:pStyle w:val="3"/>
        <w:keepNext/>
        <w:keepLines/>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rPr>
      </w:pPr>
      <w:bookmarkStart w:id="9" w:name="_Toc27602"/>
      <w:r>
        <w:rPr>
          <w:rFonts w:hint="eastAsia" w:ascii="仿宋" w:hAnsi="仿宋" w:eastAsia="仿宋" w:cs="仿宋"/>
          <w:lang w:val="en-US" w:eastAsia="zh-CN"/>
        </w:rPr>
        <w:t>五</w:t>
      </w:r>
      <w:r>
        <w:rPr>
          <w:rFonts w:hint="eastAsia" w:ascii="仿宋" w:hAnsi="仿宋" w:eastAsia="仿宋" w:cs="仿宋"/>
        </w:rPr>
        <w:t>、竞赛流程</w:t>
      </w:r>
      <w:bookmarkEnd w:id="9"/>
    </w:p>
    <w:p w14:paraId="73459E92">
      <w:pPr>
        <w:ind w:firstLine="480"/>
        <w:rPr>
          <w:rFonts w:hint="eastAsia" w:ascii="仿宋" w:hAnsi="仿宋" w:eastAsia="仿宋" w:cs="仿宋"/>
          <w:lang w:val="en-US" w:eastAsia="zh-CN"/>
        </w:rPr>
      </w:pPr>
      <w:r>
        <w:rPr>
          <w:rFonts w:hint="eastAsia" w:ascii="仿宋" w:hAnsi="仿宋" w:eastAsia="仿宋" w:cs="仿宋"/>
          <w:lang w:val="en-US" w:eastAsia="zh-CN"/>
        </w:rPr>
        <w:t>1.竞赛流程</w:t>
      </w:r>
    </w:p>
    <w:p w14:paraId="6D76CC83">
      <w:pPr>
        <w:pStyle w:val="6"/>
        <w:rPr>
          <w:rFonts w:hint="eastAsia" w:ascii="仿宋" w:hAnsi="仿宋" w:eastAsia="仿宋" w:cs="仿宋"/>
          <w:lang w:eastAsia="zh-CN"/>
        </w:rPr>
      </w:pPr>
      <w:r>
        <w:rPr>
          <w:rFonts w:hint="eastAsia" w:ascii="仿宋" w:hAnsi="仿宋" w:eastAsia="仿宋" w:cs="仿宋"/>
          <w:lang w:eastAsia="zh-CN"/>
        </w:rPr>
        <w:drawing>
          <wp:inline distT="0" distB="0" distL="114300" distR="114300">
            <wp:extent cx="4815840" cy="7421880"/>
            <wp:effectExtent l="0" t="0" r="0" b="0"/>
            <wp:docPr id="64" name="图片 64" descr="微信图片_20251203102802_261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微信图片_20251203102802_261_70"/>
                    <pic:cNvPicPr>
                      <a:picLocks noChangeAspect="1"/>
                    </pic:cNvPicPr>
                  </pic:nvPicPr>
                  <pic:blipFill>
                    <a:blip r:embed="rId8"/>
                    <a:stretch>
                      <a:fillRect/>
                    </a:stretch>
                  </pic:blipFill>
                  <pic:spPr>
                    <a:xfrm>
                      <a:off x="0" y="0"/>
                      <a:ext cx="4815840" cy="7421880"/>
                    </a:xfrm>
                    <a:prstGeom prst="rect">
                      <a:avLst/>
                    </a:prstGeom>
                  </pic:spPr>
                </pic:pic>
              </a:graphicData>
            </a:graphic>
          </wp:inline>
        </w:drawing>
      </w:r>
    </w:p>
    <w:p w14:paraId="2A2DE64E">
      <w:pPr>
        <w:ind w:firstLine="480"/>
        <w:rPr>
          <w:rFonts w:hint="eastAsia" w:ascii="仿宋" w:hAnsi="仿宋" w:eastAsia="仿宋" w:cs="仿宋"/>
          <w:lang w:val="en-US" w:eastAsia="zh-CN"/>
        </w:rPr>
      </w:pPr>
      <w:r>
        <w:rPr>
          <w:rFonts w:hint="eastAsia" w:ascii="仿宋" w:hAnsi="仿宋" w:eastAsia="仿宋" w:cs="仿宋"/>
          <w:lang w:val="en-US" w:eastAsia="zh-CN"/>
        </w:rPr>
        <w:t xml:space="preserve">   </w:t>
      </w:r>
    </w:p>
    <w:p w14:paraId="22014112">
      <w:pPr>
        <w:rPr>
          <w:rFonts w:hint="eastAsia" w:ascii="仿宋" w:hAnsi="仿宋" w:eastAsia="仿宋" w:cs="仿宋"/>
          <w:lang w:val="en-US" w:eastAsia="zh-CN"/>
        </w:rPr>
      </w:pPr>
      <w:r>
        <w:rPr>
          <w:rFonts w:hint="eastAsia" w:ascii="仿宋" w:hAnsi="仿宋" w:eastAsia="仿宋" w:cs="仿宋"/>
          <w:lang w:val="en-US" w:eastAsia="zh-CN"/>
        </w:rPr>
        <w:br w:type="page"/>
      </w:r>
    </w:p>
    <w:p w14:paraId="79E8EBBE">
      <w:pPr>
        <w:ind w:firstLine="480"/>
        <w:rPr>
          <w:rFonts w:hint="eastAsia" w:ascii="仿宋" w:hAnsi="仿宋" w:eastAsia="仿宋" w:cs="仿宋"/>
          <w:vertAlign w:val="baseline"/>
          <w:lang w:val="en-US" w:eastAsia="zh-CN"/>
        </w:rPr>
      </w:pPr>
      <w:r>
        <w:rPr>
          <w:rFonts w:hint="eastAsia" w:ascii="仿宋" w:hAnsi="仿宋" w:eastAsia="仿宋" w:cs="仿宋"/>
          <w:lang w:val="en-US" w:eastAsia="zh-CN"/>
        </w:rPr>
        <w:t xml:space="preserve"> 2.</w:t>
      </w:r>
      <w:r>
        <w:rPr>
          <w:rFonts w:hint="eastAsia" w:ascii="仿宋" w:hAnsi="仿宋" w:eastAsia="仿宋" w:cs="仿宋"/>
          <w:color w:val="auto"/>
          <w:lang w:val="en-US" w:eastAsia="zh-CN"/>
        </w:rPr>
        <w:t>竞赛日程</w:t>
      </w:r>
      <w:r>
        <w:rPr>
          <w:rFonts w:hint="eastAsia" w:ascii="仿宋" w:hAnsi="仿宋" w:eastAsia="仿宋" w:cs="仿宋"/>
          <w:lang w:val="en-US" w:eastAsia="zh-CN"/>
        </w:rPr>
        <w:t>（具体以实际时间安排为准）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805"/>
        <w:gridCol w:w="2204"/>
        <w:gridCol w:w="3652"/>
      </w:tblGrid>
      <w:tr w14:paraId="3E44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B5CB6DF">
            <w:pPr>
              <w:adjustRightInd w:val="0"/>
              <w:snapToGrid w:val="0"/>
              <w:spacing w:line="500" w:lineRule="exact"/>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sz w:val="28"/>
              </w:rPr>
              <w:t>日期</w:t>
            </w:r>
          </w:p>
        </w:tc>
        <w:tc>
          <w:tcPr>
            <w:tcW w:w="1805" w:type="dxa"/>
            <w:vAlign w:val="center"/>
          </w:tcPr>
          <w:p w14:paraId="6B7AF60B">
            <w:pPr>
              <w:adjustRightInd w:val="0"/>
              <w:snapToGrid w:val="0"/>
              <w:spacing w:line="500" w:lineRule="exact"/>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sz w:val="28"/>
              </w:rPr>
              <w:t>时间</w:t>
            </w:r>
          </w:p>
        </w:tc>
        <w:tc>
          <w:tcPr>
            <w:tcW w:w="2204" w:type="dxa"/>
            <w:vAlign w:val="center"/>
          </w:tcPr>
          <w:p w14:paraId="5E334A30">
            <w:pPr>
              <w:adjustRightInd w:val="0"/>
              <w:snapToGrid w:val="0"/>
              <w:spacing w:line="500" w:lineRule="exact"/>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sz w:val="28"/>
              </w:rPr>
              <w:t>内容</w:t>
            </w:r>
          </w:p>
        </w:tc>
        <w:tc>
          <w:tcPr>
            <w:tcW w:w="3652" w:type="dxa"/>
            <w:vAlign w:val="center"/>
          </w:tcPr>
          <w:p w14:paraId="1FA40C45">
            <w:pPr>
              <w:adjustRightInd w:val="0"/>
              <w:snapToGrid w:val="0"/>
              <w:spacing w:line="500" w:lineRule="exact"/>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sz w:val="28"/>
              </w:rPr>
              <w:t>人员</w:t>
            </w:r>
          </w:p>
        </w:tc>
      </w:tr>
      <w:tr w14:paraId="5B2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1" w:type="dxa"/>
            <w:vMerge w:val="restart"/>
            <w:vAlign w:val="center"/>
          </w:tcPr>
          <w:p w14:paraId="429F3A39">
            <w:pPr>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比赛前一天</w:t>
            </w:r>
          </w:p>
        </w:tc>
        <w:tc>
          <w:tcPr>
            <w:tcW w:w="1805" w:type="dxa"/>
            <w:vAlign w:val="center"/>
          </w:tcPr>
          <w:p w14:paraId="372280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9:00-15:00</w:t>
            </w:r>
          </w:p>
        </w:tc>
        <w:tc>
          <w:tcPr>
            <w:tcW w:w="2204" w:type="dxa"/>
            <w:vAlign w:val="center"/>
          </w:tcPr>
          <w:p w14:paraId="75C44AB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裁判培训</w:t>
            </w:r>
          </w:p>
        </w:tc>
        <w:tc>
          <w:tcPr>
            <w:tcW w:w="3652" w:type="dxa"/>
            <w:vAlign w:val="center"/>
          </w:tcPr>
          <w:p w14:paraId="6E04E6F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专家组、裁判长、全体裁判员、监督、仲裁</w:t>
            </w:r>
          </w:p>
        </w:tc>
      </w:tr>
      <w:tr w14:paraId="08E0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0E70FEAB">
            <w:pPr>
              <w:rPr>
                <w:rFonts w:hint="eastAsia" w:ascii="仿宋" w:hAnsi="仿宋" w:eastAsia="仿宋" w:cs="仿宋"/>
                <w:vertAlign w:val="baseline"/>
                <w:lang w:val="en-US" w:eastAsia="zh-CN"/>
              </w:rPr>
            </w:pPr>
          </w:p>
        </w:tc>
        <w:tc>
          <w:tcPr>
            <w:tcW w:w="1805" w:type="dxa"/>
            <w:vAlign w:val="center"/>
          </w:tcPr>
          <w:p w14:paraId="3D5443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9:00-1</w:t>
            </w:r>
            <w:r>
              <w:rPr>
                <w:rFonts w:hint="eastAsia" w:ascii="仿宋" w:hAnsi="仿宋" w:cs="仿宋"/>
                <w:kern w:val="2"/>
                <w:sz w:val="20"/>
                <w:szCs w:val="18"/>
                <w:highlight w:val="none"/>
                <w:lang w:val="en-US" w:eastAsia="zh-CN" w:bidi="ar-SA"/>
              </w:rPr>
              <w:t>2</w:t>
            </w:r>
            <w:r>
              <w:rPr>
                <w:rFonts w:hint="eastAsia" w:ascii="仿宋" w:hAnsi="仿宋" w:eastAsia="仿宋" w:cs="仿宋"/>
                <w:kern w:val="2"/>
                <w:sz w:val="20"/>
                <w:szCs w:val="18"/>
                <w:highlight w:val="none"/>
                <w:lang w:val="en-US" w:eastAsia="zh-CN" w:bidi="ar-SA"/>
              </w:rPr>
              <w:t>:00</w:t>
            </w:r>
          </w:p>
        </w:tc>
        <w:tc>
          <w:tcPr>
            <w:tcW w:w="2204" w:type="dxa"/>
            <w:vAlign w:val="center"/>
          </w:tcPr>
          <w:p w14:paraId="5E339B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参赛队报到</w:t>
            </w:r>
          </w:p>
        </w:tc>
        <w:tc>
          <w:tcPr>
            <w:tcW w:w="3652" w:type="dxa"/>
            <w:vAlign w:val="center"/>
          </w:tcPr>
          <w:p w14:paraId="1BD841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w:t>
            </w:r>
          </w:p>
        </w:tc>
      </w:tr>
      <w:tr w14:paraId="378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61" w:type="dxa"/>
            <w:vMerge w:val="continue"/>
          </w:tcPr>
          <w:p w14:paraId="24DD3535">
            <w:pPr>
              <w:rPr>
                <w:rFonts w:hint="eastAsia" w:ascii="仿宋" w:hAnsi="仿宋" w:eastAsia="仿宋" w:cs="仿宋"/>
                <w:vertAlign w:val="baseline"/>
                <w:lang w:val="en-US" w:eastAsia="zh-CN"/>
              </w:rPr>
            </w:pPr>
          </w:p>
        </w:tc>
        <w:tc>
          <w:tcPr>
            <w:tcW w:w="1805" w:type="dxa"/>
            <w:vAlign w:val="center"/>
          </w:tcPr>
          <w:p w14:paraId="1878F9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w:t>
            </w:r>
            <w:r>
              <w:rPr>
                <w:rFonts w:hint="eastAsia" w:ascii="仿宋" w:hAnsi="仿宋" w:cs="仿宋"/>
                <w:kern w:val="2"/>
                <w:sz w:val="20"/>
                <w:szCs w:val="18"/>
                <w:highlight w:val="none"/>
                <w:lang w:val="en-US" w:eastAsia="zh-CN" w:bidi="ar-SA"/>
              </w:rPr>
              <w:t>4</w:t>
            </w:r>
            <w:r>
              <w:rPr>
                <w:rFonts w:hint="eastAsia" w:ascii="仿宋" w:hAnsi="仿宋" w:eastAsia="仿宋" w:cs="仿宋"/>
                <w:kern w:val="2"/>
                <w:sz w:val="20"/>
                <w:szCs w:val="18"/>
                <w:highlight w:val="none"/>
                <w:lang w:val="en-US" w:eastAsia="zh-CN" w:bidi="ar-SA"/>
              </w:rPr>
              <w:t>:</w:t>
            </w:r>
            <w:r>
              <w:rPr>
                <w:rFonts w:hint="eastAsia" w:ascii="仿宋" w:hAnsi="仿宋" w:cs="仿宋"/>
                <w:kern w:val="2"/>
                <w:sz w:val="20"/>
                <w:szCs w:val="18"/>
                <w:highlight w:val="none"/>
                <w:lang w:val="en-US" w:eastAsia="zh-CN" w:bidi="ar-SA"/>
              </w:rPr>
              <w:t>3</w:t>
            </w:r>
            <w:r>
              <w:rPr>
                <w:rFonts w:hint="eastAsia" w:ascii="仿宋" w:hAnsi="仿宋" w:eastAsia="仿宋" w:cs="仿宋"/>
                <w:kern w:val="2"/>
                <w:sz w:val="20"/>
                <w:szCs w:val="18"/>
                <w:highlight w:val="none"/>
                <w:lang w:val="en-US" w:eastAsia="zh-CN" w:bidi="ar-SA"/>
              </w:rPr>
              <w:t>0-1</w:t>
            </w:r>
            <w:r>
              <w:rPr>
                <w:rFonts w:hint="eastAsia" w:ascii="仿宋" w:hAnsi="仿宋" w:cs="仿宋"/>
                <w:kern w:val="2"/>
                <w:sz w:val="20"/>
                <w:szCs w:val="18"/>
                <w:highlight w:val="none"/>
                <w:lang w:val="en-US" w:eastAsia="zh-CN" w:bidi="ar-SA"/>
              </w:rPr>
              <w:t>5</w:t>
            </w:r>
            <w:r>
              <w:rPr>
                <w:rFonts w:hint="eastAsia" w:ascii="仿宋" w:hAnsi="仿宋" w:eastAsia="仿宋" w:cs="仿宋"/>
                <w:kern w:val="2"/>
                <w:sz w:val="20"/>
                <w:szCs w:val="18"/>
                <w:highlight w:val="none"/>
                <w:lang w:val="en-US" w:eastAsia="zh-CN" w:bidi="ar-SA"/>
              </w:rPr>
              <w:t>:00</w:t>
            </w:r>
          </w:p>
        </w:tc>
        <w:tc>
          <w:tcPr>
            <w:tcW w:w="2204" w:type="dxa"/>
            <w:vAlign w:val="center"/>
          </w:tcPr>
          <w:p w14:paraId="7C6FD55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kern w:val="2"/>
                <w:sz w:val="20"/>
                <w:szCs w:val="18"/>
                <w:highlight w:val="none"/>
                <w:lang w:val="en-US" w:eastAsia="zh-CN" w:bidi="ar-SA"/>
              </w:rPr>
            </w:pPr>
            <w:r>
              <w:rPr>
                <w:rFonts w:hint="eastAsia" w:ascii="仿宋" w:hAnsi="仿宋" w:cs="仿宋"/>
                <w:kern w:val="2"/>
                <w:sz w:val="20"/>
                <w:szCs w:val="18"/>
                <w:highlight w:val="none"/>
                <w:lang w:val="en-US" w:eastAsia="zh-CN" w:bidi="ar-SA"/>
              </w:rPr>
              <w:t>开幕式</w:t>
            </w:r>
          </w:p>
        </w:tc>
        <w:tc>
          <w:tcPr>
            <w:tcW w:w="3652" w:type="dxa"/>
            <w:vAlign w:val="center"/>
          </w:tcPr>
          <w:p w14:paraId="72DF9BD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kern w:val="2"/>
                <w:sz w:val="20"/>
                <w:szCs w:val="18"/>
                <w:highlight w:val="none"/>
                <w:lang w:val="en-US" w:eastAsia="zh-CN" w:bidi="ar-SA"/>
              </w:rPr>
            </w:pPr>
            <w:r>
              <w:rPr>
                <w:rFonts w:hint="eastAsia" w:ascii="仿宋" w:hAnsi="仿宋" w:cs="仿宋"/>
                <w:kern w:val="2"/>
                <w:sz w:val="20"/>
                <w:szCs w:val="18"/>
                <w:highlight w:val="none"/>
                <w:lang w:val="en-US" w:eastAsia="zh-CN" w:bidi="ar-SA"/>
              </w:rPr>
              <w:t>各级领导、</w:t>
            </w:r>
            <w:r>
              <w:rPr>
                <w:rFonts w:hint="eastAsia" w:ascii="仿宋" w:hAnsi="仿宋" w:eastAsia="仿宋" w:cs="仿宋"/>
                <w:kern w:val="2"/>
                <w:sz w:val="20"/>
                <w:szCs w:val="18"/>
                <w:highlight w:val="none"/>
                <w:lang w:val="en-US" w:eastAsia="zh-CN" w:bidi="ar-SA"/>
              </w:rPr>
              <w:t>专家组</w:t>
            </w:r>
            <w:r>
              <w:rPr>
                <w:rFonts w:hint="eastAsia" w:ascii="仿宋" w:hAnsi="仿宋" w:cs="仿宋"/>
                <w:kern w:val="2"/>
                <w:sz w:val="20"/>
                <w:szCs w:val="18"/>
                <w:highlight w:val="none"/>
                <w:lang w:val="en-US" w:eastAsia="zh-CN" w:bidi="ar-SA"/>
              </w:rPr>
              <w:t>、</w:t>
            </w:r>
            <w:r>
              <w:rPr>
                <w:rFonts w:hint="eastAsia" w:ascii="仿宋" w:hAnsi="仿宋" w:eastAsia="仿宋" w:cs="仿宋"/>
                <w:kern w:val="2"/>
                <w:sz w:val="20"/>
                <w:szCs w:val="18"/>
                <w:highlight w:val="none"/>
                <w:lang w:val="en-US" w:eastAsia="zh-CN" w:bidi="ar-SA"/>
              </w:rPr>
              <w:t>参赛队</w:t>
            </w:r>
          </w:p>
        </w:tc>
      </w:tr>
      <w:tr w14:paraId="4D93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61" w:type="dxa"/>
            <w:vMerge w:val="continue"/>
          </w:tcPr>
          <w:p w14:paraId="5DACAC4B">
            <w:pPr>
              <w:rPr>
                <w:rFonts w:hint="eastAsia" w:ascii="仿宋" w:hAnsi="仿宋" w:eastAsia="仿宋" w:cs="仿宋"/>
                <w:vertAlign w:val="baseline"/>
                <w:lang w:val="en-US" w:eastAsia="zh-CN"/>
              </w:rPr>
            </w:pPr>
          </w:p>
        </w:tc>
        <w:tc>
          <w:tcPr>
            <w:tcW w:w="1805" w:type="dxa"/>
            <w:vAlign w:val="center"/>
          </w:tcPr>
          <w:p w14:paraId="76FC428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15:00-16:00</w:t>
            </w:r>
          </w:p>
        </w:tc>
        <w:tc>
          <w:tcPr>
            <w:tcW w:w="2204" w:type="dxa"/>
            <w:vAlign w:val="center"/>
          </w:tcPr>
          <w:p w14:paraId="293FC6D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领队会抽分组顺序号</w:t>
            </w:r>
          </w:p>
        </w:tc>
        <w:tc>
          <w:tcPr>
            <w:tcW w:w="3652" w:type="dxa"/>
            <w:vAlign w:val="center"/>
          </w:tcPr>
          <w:p w14:paraId="2CC0FD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专家组组长、裁判长、监督长、仲裁长、加密裁判、各参赛队领队</w:t>
            </w:r>
          </w:p>
        </w:tc>
      </w:tr>
      <w:tr w14:paraId="363C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0C575818">
            <w:pPr>
              <w:rPr>
                <w:rFonts w:hint="eastAsia" w:ascii="仿宋" w:hAnsi="仿宋" w:eastAsia="仿宋" w:cs="仿宋"/>
                <w:vertAlign w:val="baseline"/>
                <w:lang w:val="en-US" w:eastAsia="zh-CN"/>
              </w:rPr>
            </w:pPr>
          </w:p>
        </w:tc>
        <w:tc>
          <w:tcPr>
            <w:tcW w:w="1805" w:type="dxa"/>
            <w:vAlign w:val="center"/>
          </w:tcPr>
          <w:p w14:paraId="2212ADB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16:00-17:00</w:t>
            </w:r>
          </w:p>
        </w:tc>
        <w:tc>
          <w:tcPr>
            <w:tcW w:w="2204" w:type="dxa"/>
            <w:vAlign w:val="center"/>
          </w:tcPr>
          <w:p w14:paraId="4E24DFA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熟悉赛场</w:t>
            </w:r>
          </w:p>
        </w:tc>
        <w:tc>
          <w:tcPr>
            <w:tcW w:w="3652" w:type="dxa"/>
            <w:vAlign w:val="center"/>
          </w:tcPr>
          <w:p w14:paraId="3950587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w:t>
            </w:r>
          </w:p>
        </w:tc>
      </w:tr>
      <w:tr w14:paraId="70AB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1E1BBA5E">
            <w:pPr>
              <w:rPr>
                <w:rFonts w:hint="eastAsia" w:ascii="仿宋" w:hAnsi="仿宋" w:eastAsia="仿宋" w:cs="仿宋"/>
                <w:vertAlign w:val="baseline"/>
                <w:lang w:val="en-US" w:eastAsia="zh-CN"/>
              </w:rPr>
            </w:pPr>
          </w:p>
        </w:tc>
        <w:tc>
          <w:tcPr>
            <w:tcW w:w="1805" w:type="dxa"/>
            <w:vAlign w:val="center"/>
          </w:tcPr>
          <w:p w14:paraId="35FA46C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17:00-18:00</w:t>
            </w:r>
          </w:p>
        </w:tc>
        <w:tc>
          <w:tcPr>
            <w:tcW w:w="2204" w:type="dxa"/>
            <w:vAlign w:val="center"/>
          </w:tcPr>
          <w:p w14:paraId="3045B6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封闭赛场</w:t>
            </w:r>
          </w:p>
        </w:tc>
        <w:tc>
          <w:tcPr>
            <w:tcW w:w="3652" w:type="dxa"/>
            <w:vAlign w:val="center"/>
          </w:tcPr>
          <w:p w14:paraId="192C60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专家组组长、裁判长、监督长、仲裁长</w:t>
            </w:r>
          </w:p>
        </w:tc>
      </w:tr>
      <w:tr w14:paraId="47EB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4E659075">
            <w:pPr>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比赛第一天</w:t>
            </w:r>
          </w:p>
        </w:tc>
        <w:tc>
          <w:tcPr>
            <w:tcW w:w="1805" w:type="dxa"/>
            <w:vAlign w:val="center"/>
          </w:tcPr>
          <w:p w14:paraId="6073B10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6:30-7:00</w:t>
            </w:r>
          </w:p>
        </w:tc>
        <w:tc>
          <w:tcPr>
            <w:tcW w:w="2204" w:type="dxa"/>
            <w:vAlign w:val="center"/>
          </w:tcPr>
          <w:p w14:paraId="5F0501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检录/抽取工位号</w:t>
            </w:r>
          </w:p>
        </w:tc>
        <w:tc>
          <w:tcPr>
            <w:tcW w:w="3652" w:type="dxa"/>
            <w:vAlign w:val="center"/>
          </w:tcPr>
          <w:p w14:paraId="7382056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加密裁判、工作人员</w:t>
            </w:r>
          </w:p>
        </w:tc>
      </w:tr>
      <w:tr w14:paraId="70C2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6E7CF61">
            <w:pPr>
              <w:rPr>
                <w:rFonts w:hint="eastAsia" w:ascii="仿宋" w:hAnsi="仿宋" w:eastAsia="仿宋" w:cs="仿宋"/>
                <w:vertAlign w:val="baseline"/>
                <w:lang w:val="en-US" w:eastAsia="zh-CN"/>
              </w:rPr>
            </w:pPr>
          </w:p>
        </w:tc>
        <w:tc>
          <w:tcPr>
            <w:tcW w:w="1805" w:type="dxa"/>
            <w:vAlign w:val="center"/>
          </w:tcPr>
          <w:p w14:paraId="57F57E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7:00-8:20</w:t>
            </w:r>
          </w:p>
        </w:tc>
        <w:tc>
          <w:tcPr>
            <w:tcW w:w="2204" w:type="dxa"/>
            <w:vAlign w:val="center"/>
          </w:tcPr>
          <w:p w14:paraId="375367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A组模块一、二竞赛</w:t>
            </w:r>
          </w:p>
          <w:p w14:paraId="3030997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C组模块三赛/评分</w:t>
            </w:r>
          </w:p>
        </w:tc>
        <w:tc>
          <w:tcPr>
            <w:tcW w:w="3652" w:type="dxa"/>
            <w:vAlign w:val="center"/>
          </w:tcPr>
          <w:p w14:paraId="4B72441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29FC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28520BFA">
            <w:pPr>
              <w:rPr>
                <w:rFonts w:hint="eastAsia" w:ascii="仿宋" w:hAnsi="仿宋" w:eastAsia="仿宋" w:cs="仿宋"/>
                <w:vertAlign w:val="baseline"/>
                <w:lang w:val="en-US" w:eastAsia="zh-CN"/>
              </w:rPr>
            </w:pPr>
          </w:p>
        </w:tc>
        <w:tc>
          <w:tcPr>
            <w:tcW w:w="1805" w:type="dxa"/>
            <w:vAlign w:val="center"/>
          </w:tcPr>
          <w:p w14:paraId="1E064E8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8:20-10:00</w:t>
            </w:r>
          </w:p>
        </w:tc>
        <w:tc>
          <w:tcPr>
            <w:tcW w:w="2204" w:type="dxa"/>
            <w:vAlign w:val="center"/>
          </w:tcPr>
          <w:p w14:paraId="18A97BA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A组模块一、二评分/设备恢复</w:t>
            </w:r>
          </w:p>
        </w:tc>
        <w:tc>
          <w:tcPr>
            <w:tcW w:w="3652" w:type="dxa"/>
            <w:vAlign w:val="center"/>
          </w:tcPr>
          <w:p w14:paraId="76584F1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21DF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3B050A6B">
            <w:pPr>
              <w:rPr>
                <w:rFonts w:hint="eastAsia" w:ascii="仿宋" w:hAnsi="仿宋" w:eastAsia="仿宋" w:cs="仿宋"/>
                <w:vertAlign w:val="baseline"/>
                <w:lang w:val="en-US" w:eastAsia="zh-CN"/>
              </w:rPr>
            </w:pPr>
          </w:p>
        </w:tc>
        <w:tc>
          <w:tcPr>
            <w:tcW w:w="1805" w:type="dxa"/>
            <w:vAlign w:val="center"/>
          </w:tcPr>
          <w:p w14:paraId="7D225E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10:00-11:20</w:t>
            </w:r>
          </w:p>
        </w:tc>
        <w:tc>
          <w:tcPr>
            <w:tcW w:w="2204" w:type="dxa"/>
            <w:vAlign w:val="center"/>
          </w:tcPr>
          <w:p w14:paraId="70F86F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B组模块一、二竞赛</w:t>
            </w:r>
          </w:p>
          <w:p w14:paraId="536FC0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D组模块三赛/评分</w:t>
            </w:r>
          </w:p>
        </w:tc>
        <w:tc>
          <w:tcPr>
            <w:tcW w:w="3652" w:type="dxa"/>
            <w:vAlign w:val="center"/>
          </w:tcPr>
          <w:p w14:paraId="08D0238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2684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290F54E0">
            <w:pPr>
              <w:rPr>
                <w:rFonts w:hint="eastAsia" w:ascii="仿宋" w:hAnsi="仿宋" w:eastAsia="仿宋" w:cs="仿宋"/>
                <w:vertAlign w:val="baseline"/>
                <w:lang w:val="en-US" w:eastAsia="zh-CN"/>
              </w:rPr>
            </w:pPr>
          </w:p>
        </w:tc>
        <w:tc>
          <w:tcPr>
            <w:tcW w:w="1805" w:type="dxa"/>
            <w:vAlign w:val="center"/>
          </w:tcPr>
          <w:p w14:paraId="75C667B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11:20-12:00</w:t>
            </w:r>
          </w:p>
        </w:tc>
        <w:tc>
          <w:tcPr>
            <w:tcW w:w="2204" w:type="dxa"/>
            <w:vAlign w:val="center"/>
          </w:tcPr>
          <w:p w14:paraId="77E7296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B组模块一、二评分/设备恢复</w:t>
            </w:r>
          </w:p>
        </w:tc>
        <w:tc>
          <w:tcPr>
            <w:tcW w:w="3652" w:type="dxa"/>
            <w:vAlign w:val="center"/>
          </w:tcPr>
          <w:p w14:paraId="2CA6BC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5851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2C20F804">
            <w:pPr>
              <w:rPr>
                <w:rFonts w:hint="eastAsia" w:ascii="仿宋" w:hAnsi="仿宋" w:eastAsia="仿宋" w:cs="仿宋"/>
                <w:vertAlign w:val="baseline"/>
                <w:lang w:val="en-US" w:eastAsia="zh-CN"/>
              </w:rPr>
            </w:pPr>
          </w:p>
        </w:tc>
        <w:tc>
          <w:tcPr>
            <w:tcW w:w="1805" w:type="dxa"/>
            <w:shd w:val="clear" w:color="auto" w:fill="auto"/>
            <w:vAlign w:val="center"/>
          </w:tcPr>
          <w:p w14:paraId="627BE21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12:00-13:00</w:t>
            </w:r>
          </w:p>
        </w:tc>
        <w:tc>
          <w:tcPr>
            <w:tcW w:w="2204" w:type="dxa"/>
            <w:shd w:val="clear" w:color="auto" w:fill="auto"/>
            <w:vAlign w:val="center"/>
          </w:tcPr>
          <w:p w14:paraId="5D3D8D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午饭</w:t>
            </w:r>
          </w:p>
        </w:tc>
        <w:tc>
          <w:tcPr>
            <w:tcW w:w="3652" w:type="dxa"/>
            <w:shd w:val="clear" w:color="auto" w:fill="auto"/>
            <w:vAlign w:val="center"/>
          </w:tcPr>
          <w:p w14:paraId="1B560C8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全体</w:t>
            </w:r>
          </w:p>
        </w:tc>
      </w:tr>
      <w:tr w14:paraId="5CB2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99F0C16">
            <w:pPr>
              <w:rPr>
                <w:rFonts w:hint="eastAsia" w:ascii="仿宋" w:hAnsi="仿宋" w:eastAsia="仿宋" w:cs="仿宋"/>
                <w:vertAlign w:val="baseline"/>
                <w:lang w:val="en-US" w:eastAsia="zh-CN"/>
              </w:rPr>
            </w:pPr>
          </w:p>
        </w:tc>
        <w:tc>
          <w:tcPr>
            <w:tcW w:w="1805" w:type="dxa"/>
            <w:shd w:val="clear" w:color="auto" w:fill="auto"/>
            <w:vAlign w:val="center"/>
          </w:tcPr>
          <w:p w14:paraId="112A4C2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13:00-14:20</w:t>
            </w:r>
          </w:p>
        </w:tc>
        <w:tc>
          <w:tcPr>
            <w:tcW w:w="2204" w:type="dxa"/>
            <w:shd w:val="clear" w:color="auto" w:fill="auto"/>
            <w:vAlign w:val="center"/>
          </w:tcPr>
          <w:p w14:paraId="75E60D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C组模块一、二竞赛</w:t>
            </w:r>
          </w:p>
          <w:p w14:paraId="0D76B60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A组模块三赛/评分</w:t>
            </w:r>
          </w:p>
        </w:tc>
        <w:tc>
          <w:tcPr>
            <w:tcW w:w="3652" w:type="dxa"/>
            <w:shd w:val="clear" w:color="auto" w:fill="auto"/>
            <w:vAlign w:val="center"/>
          </w:tcPr>
          <w:p w14:paraId="6378FE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04DE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486D45C7">
            <w:pPr>
              <w:rPr>
                <w:rFonts w:hint="eastAsia" w:ascii="仿宋" w:hAnsi="仿宋" w:eastAsia="仿宋" w:cs="仿宋"/>
                <w:vertAlign w:val="baseline"/>
                <w:lang w:val="en-US" w:eastAsia="zh-CN"/>
              </w:rPr>
            </w:pPr>
          </w:p>
        </w:tc>
        <w:tc>
          <w:tcPr>
            <w:tcW w:w="1805" w:type="dxa"/>
            <w:vAlign w:val="center"/>
          </w:tcPr>
          <w:p w14:paraId="53B1BFD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14:20-16:00</w:t>
            </w:r>
          </w:p>
        </w:tc>
        <w:tc>
          <w:tcPr>
            <w:tcW w:w="2204" w:type="dxa"/>
            <w:vAlign w:val="center"/>
          </w:tcPr>
          <w:p w14:paraId="25DFED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C组模块一、二评分/设备恢复</w:t>
            </w:r>
          </w:p>
        </w:tc>
        <w:tc>
          <w:tcPr>
            <w:tcW w:w="3652" w:type="dxa"/>
            <w:shd w:val="clear" w:color="auto" w:fill="auto"/>
            <w:vAlign w:val="center"/>
          </w:tcPr>
          <w:p w14:paraId="58489CC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550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42B416F9">
            <w:pPr>
              <w:rPr>
                <w:rFonts w:hint="eastAsia" w:ascii="仿宋" w:hAnsi="仿宋" w:eastAsia="仿宋" w:cs="仿宋"/>
                <w:vertAlign w:val="baseline"/>
                <w:lang w:val="en-US" w:eastAsia="zh-CN"/>
              </w:rPr>
            </w:pPr>
          </w:p>
        </w:tc>
        <w:tc>
          <w:tcPr>
            <w:tcW w:w="1805" w:type="dxa"/>
            <w:vAlign w:val="center"/>
          </w:tcPr>
          <w:p w14:paraId="13435C3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16:00-17:20</w:t>
            </w:r>
          </w:p>
        </w:tc>
        <w:tc>
          <w:tcPr>
            <w:tcW w:w="2204" w:type="dxa"/>
            <w:shd w:val="clear" w:color="auto" w:fill="auto"/>
            <w:vAlign w:val="center"/>
          </w:tcPr>
          <w:p w14:paraId="5CC352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D组模块一、二竞赛</w:t>
            </w:r>
          </w:p>
          <w:p w14:paraId="4D9F7E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B组模块三赛/评分</w:t>
            </w:r>
          </w:p>
        </w:tc>
        <w:tc>
          <w:tcPr>
            <w:tcW w:w="3652" w:type="dxa"/>
            <w:shd w:val="clear" w:color="auto" w:fill="auto"/>
            <w:vAlign w:val="center"/>
          </w:tcPr>
          <w:p w14:paraId="646AC0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22F8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5C826727">
            <w:pPr>
              <w:rPr>
                <w:rFonts w:hint="eastAsia" w:ascii="仿宋" w:hAnsi="仿宋" w:eastAsia="仿宋" w:cs="仿宋"/>
                <w:vertAlign w:val="baseline"/>
                <w:lang w:val="en-US" w:eastAsia="zh-CN"/>
              </w:rPr>
            </w:pPr>
          </w:p>
        </w:tc>
        <w:tc>
          <w:tcPr>
            <w:tcW w:w="1805" w:type="dxa"/>
            <w:vAlign w:val="center"/>
          </w:tcPr>
          <w:p w14:paraId="3DD9EB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17:20-18:00</w:t>
            </w:r>
          </w:p>
        </w:tc>
        <w:tc>
          <w:tcPr>
            <w:tcW w:w="2204" w:type="dxa"/>
            <w:shd w:val="clear" w:color="auto" w:fill="auto"/>
            <w:vAlign w:val="center"/>
          </w:tcPr>
          <w:p w14:paraId="0A37D1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D组模块一、二评分/设备恢复</w:t>
            </w:r>
          </w:p>
        </w:tc>
        <w:tc>
          <w:tcPr>
            <w:tcW w:w="3652" w:type="dxa"/>
            <w:shd w:val="clear" w:color="auto" w:fill="auto"/>
            <w:vAlign w:val="center"/>
          </w:tcPr>
          <w:p w14:paraId="12C905F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参赛队、裁判长、全体裁判员、技术人员</w:t>
            </w:r>
          </w:p>
        </w:tc>
      </w:tr>
      <w:tr w14:paraId="056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3F727B84">
            <w:pPr>
              <w:rPr>
                <w:rFonts w:hint="eastAsia" w:ascii="仿宋" w:hAnsi="仿宋" w:eastAsia="仿宋" w:cs="仿宋"/>
                <w:vertAlign w:val="baseline"/>
                <w:lang w:val="en-US" w:eastAsia="zh-CN"/>
              </w:rPr>
            </w:pPr>
          </w:p>
        </w:tc>
        <w:tc>
          <w:tcPr>
            <w:tcW w:w="1805" w:type="dxa"/>
            <w:shd w:val="clear" w:color="auto" w:fill="auto"/>
            <w:vAlign w:val="center"/>
          </w:tcPr>
          <w:p w14:paraId="689ACF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18:00-19:00</w:t>
            </w:r>
          </w:p>
        </w:tc>
        <w:tc>
          <w:tcPr>
            <w:tcW w:w="2204" w:type="dxa"/>
            <w:shd w:val="clear" w:color="auto" w:fill="auto"/>
            <w:vAlign w:val="center"/>
          </w:tcPr>
          <w:p w14:paraId="10A8F1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成绩统计汇总</w:t>
            </w:r>
          </w:p>
        </w:tc>
        <w:tc>
          <w:tcPr>
            <w:tcW w:w="3652" w:type="dxa"/>
            <w:shd w:val="clear" w:color="auto" w:fill="auto"/>
            <w:vAlign w:val="center"/>
          </w:tcPr>
          <w:p w14:paraId="77F525F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专家组组长、裁判长、监督长、仲裁长</w:t>
            </w:r>
          </w:p>
        </w:tc>
      </w:tr>
      <w:tr w14:paraId="60C0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247D59DE">
            <w:pPr>
              <w:rPr>
                <w:rFonts w:hint="eastAsia" w:ascii="仿宋" w:hAnsi="仿宋" w:eastAsia="仿宋" w:cs="仿宋"/>
                <w:vertAlign w:val="baseline"/>
                <w:lang w:val="en-US" w:eastAsia="zh-CN"/>
              </w:rPr>
            </w:pPr>
          </w:p>
        </w:tc>
        <w:tc>
          <w:tcPr>
            <w:tcW w:w="1805" w:type="dxa"/>
            <w:shd w:val="clear" w:color="auto" w:fill="auto"/>
            <w:vAlign w:val="center"/>
          </w:tcPr>
          <w:p w14:paraId="5A8540C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19:00-20:00</w:t>
            </w:r>
          </w:p>
        </w:tc>
        <w:tc>
          <w:tcPr>
            <w:tcW w:w="2204" w:type="dxa"/>
            <w:shd w:val="clear" w:color="auto" w:fill="auto"/>
            <w:vAlign w:val="center"/>
          </w:tcPr>
          <w:p w14:paraId="7AFB7C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晚饭</w:t>
            </w:r>
          </w:p>
        </w:tc>
        <w:tc>
          <w:tcPr>
            <w:tcW w:w="3652" w:type="dxa"/>
            <w:shd w:val="clear" w:color="auto" w:fill="auto"/>
            <w:vAlign w:val="center"/>
          </w:tcPr>
          <w:p w14:paraId="14575F7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全体</w:t>
            </w:r>
          </w:p>
        </w:tc>
      </w:tr>
      <w:tr w14:paraId="05AC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restart"/>
            <w:vAlign w:val="center"/>
          </w:tcPr>
          <w:p w14:paraId="28C11C76">
            <w:pPr>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比赛第二天</w:t>
            </w:r>
          </w:p>
        </w:tc>
        <w:tc>
          <w:tcPr>
            <w:tcW w:w="1805" w:type="dxa"/>
            <w:vAlign w:val="center"/>
          </w:tcPr>
          <w:p w14:paraId="00B5CFD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6:30-7:00</w:t>
            </w:r>
          </w:p>
        </w:tc>
        <w:tc>
          <w:tcPr>
            <w:tcW w:w="2204" w:type="dxa"/>
            <w:vAlign w:val="center"/>
          </w:tcPr>
          <w:p w14:paraId="4DF66D3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检录抽取</w:t>
            </w:r>
          </w:p>
        </w:tc>
        <w:tc>
          <w:tcPr>
            <w:tcW w:w="3652" w:type="dxa"/>
            <w:vAlign w:val="center"/>
          </w:tcPr>
          <w:p w14:paraId="67E7AC4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加密裁判、工作人员</w:t>
            </w:r>
          </w:p>
        </w:tc>
      </w:tr>
      <w:tr w14:paraId="5175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BF43A2A">
            <w:pPr>
              <w:rPr>
                <w:rFonts w:hint="eastAsia" w:ascii="仿宋" w:hAnsi="仿宋" w:eastAsia="仿宋" w:cs="仿宋"/>
                <w:vertAlign w:val="baseline"/>
                <w:lang w:val="en-US" w:eastAsia="zh-CN"/>
              </w:rPr>
            </w:pPr>
          </w:p>
        </w:tc>
        <w:tc>
          <w:tcPr>
            <w:tcW w:w="1805" w:type="dxa"/>
            <w:vAlign w:val="center"/>
          </w:tcPr>
          <w:p w14:paraId="656AF9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7:00-12:00</w:t>
            </w:r>
          </w:p>
        </w:tc>
        <w:tc>
          <w:tcPr>
            <w:tcW w:w="2204" w:type="dxa"/>
            <w:vAlign w:val="center"/>
          </w:tcPr>
          <w:p w14:paraId="4660B18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A/B/C/D组模块四竞赛</w:t>
            </w:r>
          </w:p>
        </w:tc>
        <w:tc>
          <w:tcPr>
            <w:tcW w:w="3652" w:type="dxa"/>
            <w:vAlign w:val="center"/>
          </w:tcPr>
          <w:p w14:paraId="3D14CF0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w:t>
            </w:r>
          </w:p>
        </w:tc>
      </w:tr>
      <w:tr w14:paraId="428A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6283F0D8">
            <w:pPr>
              <w:rPr>
                <w:rFonts w:hint="eastAsia" w:ascii="仿宋" w:hAnsi="仿宋" w:eastAsia="仿宋" w:cs="仿宋"/>
                <w:vertAlign w:val="baseline"/>
                <w:lang w:val="en-US" w:eastAsia="zh-CN"/>
              </w:rPr>
            </w:pPr>
          </w:p>
        </w:tc>
        <w:tc>
          <w:tcPr>
            <w:tcW w:w="1805" w:type="dxa"/>
            <w:vAlign w:val="center"/>
          </w:tcPr>
          <w:p w14:paraId="2ABE026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12:00-13:00</w:t>
            </w:r>
          </w:p>
        </w:tc>
        <w:tc>
          <w:tcPr>
            <w:tcW w:w="2204" w:type="dxa"/>
            <w:shd w:val="clear" w:color="auto" w:fill="auto"/>
            <w:vAlign w:val="center"/>
          </w:tcPr>
          <w:p w14:paraId="21EFE5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午饭</w:t>
            </w:r>
          </w:p>
        </w:tc>
        <w:tc>
          <w:tcPr>
            <w:tcW w:w="3652" w:type="dxa"/>
            <w:shd w:val="clear" w:color="auto" w:fill="auto"/>
            <w:vAlign w:val="center"/>
          </w:tcPr>
          <w:p w14:paraId="64B273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全体</w:t>
            </w:r>
          </w:p>
        </w:tc>
      </w:tr>
      <w:tr w14:paraId="060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2C584782">
            <w:pPr>
              <w:rPr>
                <w:rFonts w:hint="eastAsia" w:ascii="仿宋" w:hAnsi="仿宋" w:eastAsia="仿宋" w:cs="仿宋"/>
                <w:vertAlign w:val="baseline"/>
                <w:lang w:val="en-US" w:eastAsia="zh-CN"/>
              </w:rPr>
            </w:pPr>
          </w:p>
        </w:tc>
        <w:tc>
          <w:tcPr>
            <w:tcW w:w="1805" w:type="dxa"/>
            <w:shd w:val="clear" w:color="auto" w:fill="auto"/>
            <w:vAlign w:val="center"/>
          </w:tcPr>
          <w:p w14:paraId="500A72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13:00-18:00</w:t>
            </w:r>
          </w:p>
        </w:tc>
        <w:tc>
          <w:tcPr>
            <w:tcW w:w="2204" w:type="dxa"/>
            <w:shd w:val="clear" w:color="auto" w:fill="auto"/>
            <w:vAlign w:val="center"/>
          </w:tcPr>
          <w:p w14:paraId="79BBD2C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A/B/C/D组模块四竞赛</w:t>
            </w:r>
          </w:p>
        </w:tc>
        <w:tc>
          <w:tcPr>
            <w:tcW w:w="3652" w:type="dxa"/>
            <w:shd w:val="clear" w:color="auto" w:fill="auto"/>
            <w:vAlign w:val="center"/>
          </w:tcPr>
          <w:p w14:paraId="771B7A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参赛队、裁判长、全体裁判员</w:t>
            </w:r>
          </w:p>
        </w:tc>
      </w:tr>
      <w:tr w14:paraId="5D0F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1" w:type="dxa"/>
            <w:vMerge w:val="continue"/>
          </w:tcPr>
          <w:p w14:paraId="3180AEA3">
            <w:pPr>
              <w:rPr>
                <w:rFonts w:hint="eastAsia" w:ascii="仿宋" w:hAnsi="仿宋" w:eastAsia="仿宋" w:cs="仿宋"/>
                <w:vertAlign w:val="baseline"/>
                <w:lang w:val="en-US" w:eastAsia="zh-CN"/>
              </w:rPr>
            </w:pPr>
          </w:p>
        </w:tc>
        <w:tc>
          <w:tcPr>
            <w:tcW w:w="1805" w:type="dxa"/>
            <w:shd w:val="clear" w:color="auto" w:fill="auto"/>
            <w:vAlign w:val="center"/>
          </w:tcPr>
          <w:p w14:paraId="4025EED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18:00-20:00</w:t>
            </w:r>
          </w:p>
        </w:tc>
        <w:tc>
          <w:tcPr>
            <w:tcW w:w="2204" w:type="dxa"/>
            <w:shd w:val="clear" w:color="auto" w:fill="auto"/>
            <w:vAlign w:val="center"/>
          </w:tcPr>
          <w:p w14:paraId="132B8B7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成绩汇总</w:t>
            </w:r>
          </w:p>
        </w:tc>
        <w:tc>
          <w:tcPr>
            <w:tcW w:w="3652" w:type="dxa"/>
            <w:shd w:val="clear" w:color="auto" w:fill="auto"/>
            <w:vAlign w:val="center"/>
          </w:tcPr>
          <w:p w14:paraId="3D2BF33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专家组组长、裁判长、监督长、仲裁长</w:t>
            </w:r>
          </w:p>
        </w:tc>
      </w:tr>
      <w:tr w14:paraId="7A2D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tcPr>
          <w:p w14:paraId="7A6A463F">
            <w:pPr>
              <w:rPr>
                <w:rFonts w:hint="eastAsia" w:ascii="仿宋" w:hAnsi="仿宋" w:eastAsia="仿宋" w:cs="仿宋"/>
                <w:vertAlign w:val="baseline"/>
                <w:lang w:val="en-US" w:eastAsia="zh-CN"/>
              </w:rPr>
            </w:pPr>
          </w:p>
        </w:tc>
        <w:tc>
          <w:tcPr>
            <w:tcW w:w="1805" w:type="dxa"/>
            <w:shd w:val="clear" w:color="auto" w:fill="auto"/>
            <w:vAlign w:val="center"/>
          </w:tcPr>
          <w:p w14:paraId="3DF350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21:00</w:t>
            </w:r>
          </w:p>
        </w:tc>
        <w:tc>
          <w:tcPr>
            <w:tcW w:w="2204" w:type="dxa"/>
            <w:shd w:val="clear" w:color="auto" w:fill="auto"/>
            <w:vAlign w:val="center"/>
          </w:tcPr>
          <w:p w14:paraId="13DE84F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成绩公示</w:t>
            </w:r>
          </w:p>
        </w:tc>
        <w:tc>
          <w:tcPr>
            <w:tcW w:w="3652" w:type="dxa"/>
            <w:shd w:val="clear" w:color="auto" w:fill="auto"/>
            <w:vAlign w:val="center"/>
          </w:tcPr>
          <w:p w14:paraId="0AFB1E5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0"/>
                <w:szCs w:val="18"/>
                <w:highlight w:val="none"/>
                <w:lang w:val="en-US" w:eastAsia="zh-CN" w:bidi="ar-SA"/>
              </w:rPr>
            </w:pPr>
            <w:r>
              <w:rPr>
                <w:rFonts w:hint="eastAsia" w:ascii="仿宋" w:hAnsi="仿宋" w:eastAsia="仿宋" w:cs="仿宋"/>
                <w:kern w:val="2"/>
                <w:sz w:val="20"/>
                <w:szCs w:val="18"/>
                <w:highlight w:val="none"/>
                <w:lang w:val="en-US" w:eastAsia="zh-CN" w:bidi="ar-SA"/>
              </w:rPr>
              <w:t>/</w:t>
            </w:r>
          </w:p>
        </w:tc>
      </w:tr>
    </w:tbl>
    <w:p w14:paraId="63DDACD2">
      <w:pPr>
        <w:ind w:left="0" w:leftChars="0" w:firstLine="0" w:firstLineChars="0"/>
        <w:rPr>
          <w:rFonts w:hint="eastAsia" w:ascii="仿宋" w:hAnsi="仿宋" w:eastAsia="仿宋" w:cs="仿宋"/>
          <w:lang w:val="en-US" w:eastAsia="zh-CN"/>
        </w:rPr>
      </w:pPr>
    </w:p>
    <w:p w14:paraId="0E696073">
      <w:pPr>
        <w:pStyle w:val="3"/>
        <w:ind w:left="0" w:leftChars="0" w:firstLine="0" w:firstLineChars="0"/>
        <w:rPr>
          <w:rFonts w:hint="eastAsia" w:ascii="仿宋" w:hAnsi="仿宋" w:eastAsia="仿宋" w:cs="仿宋"/>
        </w:rPr>
      </w:pPr>
      <w:bookmarkStart w:id="10" w:name="_Toc3919"/>
      <w:r>
        <w:rPr>
          <w:rFonts w:hint="eastAsia" w:ascii="仿宋" w:hAnsi="仿宋" w:eastAsia="仿宋" w:cs="仿宋"/>
        </w:rPr>
        <w:t>六、竞赛规则</w:t>
      </w:r>
      <w:bookmarkEnd w:id="10"/>
    </w:p>
    <w:p w14:paraId="5E19D4C3">
      <w:pPr>
        <w:ind w:firstLine="482"/>
        <w:rPr>
          <w:rFonts w:hint="eastAsia" w:ascii="仿宋" w:hAnsi="仿宋" w:eastAsia="仿宋" w:cs="仿宋"/>
          <w:b/>
          <w:bCs/>
        </w:rPr>
      </w:pPr>
      <w:r>
        <w:rPr>
          <w:rFonts w:hint="eastAsia" w:ascii="仿宋" w:hAnsi="仿宋" w:eastAsia="仿宋" w:cs="仿宋"/>
          <w:b/>
          <w:bCs/>
        </w:rPr>
        <w:t>（一）竞赛报名</w:t>
      </w:r>
    </w:p>
    <w:p w14:paraId="08B4ADE3">
      <w:pPr>
        <w:ind w:firstLine="480"/>
        <w:rPr>
          <w:rFonts w:hint="eastAsia" w:ascii="仿宋" w:hAnsi="仿宋" w:eastAsia="仿宋" w:cs="仿宋"/>
        </w:rPr>
      </w:pPr>
      <w:r>
        <w:rPr>
          <w:rFonts w:hint="eastAsia" w:ascii="仿宋" w:hAnsi="仿宋" w:eastAsia="仿宋" w:cs="仿宋"/>
        </w:rPr>
        <w:t>1.各</w:t>
      </w:r>
      <w:r>
        <w:rPr>
          <w:rFonts w:hint="eastAsia" w:ascii="仿宋" w:hAnsi="仿宋" w:eastAsia="仿宋" w:cs="仿宋"/>
          <w:lang w:val="en-US" w:eastAsia="zh-CN"/>
        </w:rPr>
        <w:t>中</w:t>
      </w:r>
      <w:r>
        <w:rPr>
          <w:rFonts w:hint="eastAsia" w:ascii="仿宋" w:hAnsi="仿宋" w:eastAsia="仿宋" w:cs="仿宋"/>
        </w:rPr>
        <w:t>职院校按照大赛组委会规定的报名要求，通过“</w:t>
      </w:r>
      <w:r>
        <w:rPr>
          <w:rFonts w:hint="eastAsia" w:ascii="仿宋" w:hAnsi="仿宋" w:eastAsia="仿宋" w:cs="仿宋"/>
          <w:lang w:val="en-US" w:eastAsia="zh-CN"/>
        </w:rPr>
        <w:t>河北</w:t>
      </w:r>
      <w:r>
        <w:rPr>
          <w:rFonts w:hint="eastAsia" w:ascii="仿宋" w:hAnsi="仿宋" w:eastAsia="仿宋" w:cs="仿宋"/>
        </w:rPr>
        <w:t>省职业院校技能大赛网络报名系统”报名参赛。</w:t>
      </w:r>
    </w:p>
    <w:p w14:paraId="67E7845B">
      <w:pPr>
        <w:pStyle w:val="47"/>
        <w:spacing w:line="559" w:lineRule="exact"/>
        <w:ind w:firstLine="480"/>
        <w:rPr>
          <w:rFonts w:hint="eastAsia" w:ascii="仿宋" w:hAnsi="仿宋" w:eastAsia="仿宋" w:cs="仿宋"/>
          <w:sz w:val="24"/>
          <w:szCs w:val="22"/>
          <w:highlight w:val="none"/>
          <w:lang w:val="en-US" w:eastAsia="zh-CN" w:bidi="ar-SA"/>
        </w:rPr>
      </w:pPr>
      <w:r>
        <w:rPr>
          <w:rFonts w:hint="eastAsia" w:ascii="仿宋" w:hAnsi="仿宋" w:eastAsia="仿宋" w:cs="仿宋"/>
          <w:sz w:val="24"/>
          <w:szCs w:val="22"/>
          <w:highlight w:val="none"/>
        </w:rPr>
        <w:t>2.</w:t>
      </w:r>
      <w:r>
        <w:rPr>
          <w:rFonts w:hint="eastAsia" w:ascii="仿宋" w:hAnsi="仿宋" w:eastAsia="仿宋" w:cs="仿宋"/>
          <w:sz w:val="24"/>
          <w:szCs w:val="22"/>
          <w:highlight w:val="none"/>
          <w:lang w:val="en-US" w:eastAsia="zh-CN" w:bidi="ar-SA"/>
        </w:rPr>
        <w:t>中职组学生参赛对象为全省中等职业学校（含技工院校）全日制在籍在校生；已在国赛中获得过一等奖或在世赛争夺赛获得过金奖的学生不得参加同一组别、同一专业大类的比赛。</w:t>
      </w:r>
    </w:p>
    <w:p w14:paraId="4C3FAD93">
      <w:pPr>
        <w:ind w:firstLine="480"/>
        <w:rPr>
          <w:rFonts w:hint="eastAsia" w:ascii="仿宋" w:hAnsi="仿宋" w:eastAsia="仿宋" w:cs="仿宋"/>
        </w:rPr>
      </w:pPr>
      <w:r>
        <w:rPr>
          <w:rFonts w:hint="eastAsia" w:ascii="仿宋" w:hAnsi="仿宋" w:eastAsia="仿宋" w:cs="仿宋"/>
        </w:rPr>
        <w:t>3.参赛选手和指导教师报名，获得确认后不得随意更换。比赛前参赛选手和指导教师因故无法参赛，须由学校在相应赛项开赛前</w:t>
      </w:r>
      <w:r>
        <w:rPr>
          <w:rFonts w:hint="eastAsia" w:ascii="仿宋" w:hAnsi="仿宋" w:eastAsia="仿宋" w:cs="仿宋"/>
          <w:lang w:val="en-US" w:eastAsia="zh-CN"/>
        </w:rPr>
        <w:t>7</w:t>
      </w:r>
      <w:r>
        <w:rPr>
          <w:rFonts w:hint="eastAsia" w:ascii="仿宋" w:hAnsi="仿宋" w:eastAsia="仿宋" w:cs="仿宋"/>
        </w:rPr>
        <w:t>个工作日出具书面说明，并按参赛选手资格补充人员并接受审核，经省大赛组委会办公室同意后予以更换。</w:t>
      </w:r>
    </w:p>
    <w:p w14:paraId="1CA85C72">
      <w:pPr>
        <w:pStyle w:val="5"/>
        <w:ind w:firstLine="482"/>
        <w:rPr>
          <w:rFonts w:hint="eastAsia" w:ascii="仿宋" w:hAnsi="仿宋" w:eastAsia="仿宋" w:cs="仿宋"/>
        </w:rPr>
      </w:pPr>
      <w:r>
        <w:rPr>
          <w:rFonts w:hint="eastAsia" w:ascii="仿宋" w:hAnsi="仿宋" w:eastAsia="仿宋" w:cs="仿宋"/>
        </w:rPr>
        <w:t>（二）熟悉场地规则</w:t>
      </w:r>
    </w:p>
    <w:p w14:paraId="6F426456">
      <w:pPr>
        <w:ind w:firstLine="480"/>
        <w:rPr>
          <w:rFonts w:hint="eastAsia" w:ascii="仿宋" w:hAnsi="仿宋" w:eastAsia="仿宋" w:cs="仿宋"/>
        </w:rPr>
      </w:pPr>
      <w:r>
        <w:rPr>
          <w:rFonts w:hint="eastAsia" w:ascii="仿宋" w:hAnsi="仿宋" w:eastAsia="仿宋" w:cs="仿宋"/>
        </w:rPr>
        <w:t>1.各参赛队统一有序的熟悉场地，熟悉场地时限定在指定区域，不允许进入比赛区。</w:t>
      </w:r>
    </w:p>
    <w:p w14:paraId="537A8121">
      <w:pPr>
        <w:ind w:firstLine="480"/>
        <w:rPr>
          <w:rFonts w:hint="eastAsia" w:ascii="仿宋" w:hAnsi="仿宋" w:eastAsia="仿宋" w:cs="仿宋"/>
        </w:rPr>
      </w:pPr>
      <w:r>
        <w:rPr>
          <w:rFonts w:hint="eastAsia" w:ascii="仿宋" w:hAnsi="仿宋" w:eastAsia="仿宋" w:cs="仿宋"/>
        </w:rPr>
        <w:t>2.熟悉场地时严禁与现场工作人员进行交流，不发表没有根据以及有损大赛整体形象的言论。</w:t>
      </w:r>
    </w:p>
    <w:p w14:paraId="0218D612">
      <w:pPr>
        <w:ind w:firstLine="480"/>
        <w:rPr>
          <w:rFonts w:hint="eastAsia" w:ascii="仿宋" w:hAnsi="仿宋" w:eastAsia="仿宋" w:cs="仿宋"/>
        </w:rPr>
      </w:pPr>
      <w:r>
        <w:rPr>
          <w:rFonts w:hint="eastAsia" w:ascii="仿宋" w:hAnsi="仿宋" w:eastAsia="仿宋" w:cs="仿宋"/>
        </w:rPr>
        <w:t>3.熟悉场地时严格遵守大赛各种制度，严禁拥挤，喧哗，以免发生意外事故。</w:t>
      </w:r>
    </w:p>
    <w:p w14:paraId="522CAB8A">
      <w:pPr>
        <w:pStyle w:val="5"/>
        <w:ind w:firstLine="482"/>
        <w:rPr>
          <w:rFonts w:hint="eastAsia" w:ascii="仿宋" w:hAnsi="仿宋" w:eastAsia="仿宋" w:cs="仿宋"/>
        </w:rPr>
      </w:pPr>
      <w:r>
        <w:rPr>
          <w:rFonts w:hint="eastAsia" w:ascii="仿宋" w:hAnsi="仿宋" w:eastAsia="仿宋" w:cs="仿宋"/>
        </w:rPr>
        <w:t>（三）入场规则</w:t>
      </w:r>
    </w:p>
    <w:p w14:paraId="70270E3C">
      <w:pPr>
        <w:adjustRightInd w:val="0"/>
        <w:snapToGrid w:val="0"/>
        <w:ind w:firstLine="480"/>
        <w:rPr>
          <w:rFonts w:hint="eastAsia" w:ascii="仿宋" w:hAnsi="仿宋" w:eastAsia="仿宋" w:cs="仿宋"/>
          <w:bCs/>
          <w:color w:val="000000"/>
          <w:kern w:val="0"/>
        </w:rPr>
      </w:pPr>
      <w:r>
        <w:rPr>
          <w:rFonts w:hint="eastAsia" w:ascii="仿宋" w:hAnsi="仿宋" w:eastAsia="仿宋" w:cs="仿宋"/>
          <w:bCs/>
          <w:color w:val="000000"/>
          <w:kern w:val="0"/>
        </w:rPr>
        <w:t>1.参赛选手按规定的时间准时到达赛场检录区集合。</w:t>
      </w:r>
    </w:p>
    <w:p w14:paraId="0A90BE0F">
      <w:pPr>
        <w:adjustRightInd w:val="0"/>
        <w:snapToGrid w:val="0"/>
        <w:ind w:firstLine="480"/>
        <w:rPr>
          <w:rFonts w:hint="eastAsia" w:ascii="仿宋" w:hAnsi="仿宋" w:eastAsia="仿宋" w:cs="仿宋"/>
          <w:bCs/>
          <w:color w:val="000000"/>
          <w:kern w:val="0"/>
        </w:rPr>
      </w:pPr>
      <w:r>
        <w:rPr>
          <w:rFonts w:hint="eastAsia" w:ascii="仿宋" w:hAnsi="仿宋" w:eastAsia="仿宋" w:cs="仿宋"/>
          <w:bCs/>
          <w:color w:val="000000"/>
          <w:kern w:val="0"/>
        </w:rPr>
        <w:t>2.裁判将对各参赛选手的身份进行核对。参赛选手须提供参赛证、身份证、经学校注册的学生证，证件上的姓名、年龄、相貌特征应与参赛证一致。</w:t>
      </w:r>
    </w:p>
    <w:p w14:paraId="705A660D">
      <w:pPr>
        <w:adjustRightInd w:val="0"/>
        <w:snapToGrid w:val="0"/>
        <w:ind w:firstLine="480"/>
        <w:rPr>
          <w:rFonts w:hint="eastAsia" w:ascii="仿宋" w:hAnsi="仿宋" w:eastAsia="仿宋" w:cs="仿宋"/>
          <w:bCs/>
          <w:color w:val="000000"/>
          <w:kern w:val="0"/>
        </w:rPr>
      </w:pPr>
      <w:r>
        <w:rPr>
          <w:rFonts w:hint="eastAsia" w:ascii="仿宋" w:hAnsi="仿宋" w:eastAsia="仿宋" w:cs="仿宋"/>
          <w:bCs/>
          <w:color w:val="000000"/>
          <w:kern w:val="0"/>
        </w:rPr>
        <w:t>3.裁判检验参赛选手的工具、量具及书写物品，不允许携带任何通讯及存储设备、纸质材料等物品，检查合格后进入赛场抽签区。</w:t>
      </w:r>
    </w:p>
    <w:p w14:paraId="45D4F69E">
      <w:pPr>
        <w:adjustRightInd w:val="0"/>
        <w:snapToGrid w:val="0"/>
        <w:ind w:firstLine="480"/>
        <w:rPr>
          <w:rFonts w:hint="eastAsia" w:ascii="仿宋" w:hAnsi="仿宋" w:eastAsia="仿宋" w:cs="仿宋"/>
          <w:bCs/>
          <w:color w:val="000000"/>
          <w:kern w:val="0"/>
        </w:rPr>
      </w:pPr>
      <w:r>
        <w:rPr>
          <w:rFonts w:hint="eastAsia" w:ascii="仿宋" w:hAnsi="仿宋" w:eastAsia="仿宋" w:cs="仿宋"/>
          <w:bCs/>
          <w:color w:val="000000"/>
          <w:kern w:val="0"/>
        </w:rPr>
        <w:t>4.一级加密选手按抽签顺序号依次抽取参赛编号，二级加密凭参赛编号抽取比赛工位号，然后在指定区域等待；在现场裁判的指挥下有序进入赛场，按抽取的比赛工位号就位。</w:t>
      </w:r>
    </w:p>
    <w:p w14:paraId="42514A2F">
      <w:pPr>
        <w:adjustRightInd w:val="0"/>
        <w:snapToGrid w:val="0"/>
        <w:ind w:firstLine="480"/>
        <w:rPr>
          <w:rFonts w:hint="eastAsia" w:ascii="仿宋" w:hAnsi="仿宋" w:eastAsia="仿宋" w:cs="仿宋"/>
          <w:bCs/>
          <w:color w:val="000000"/>
          <w:kern w:val="0"/>
          <w:highlight w:val="none"/>
          <w:lang w:val="en-US" w:eastAsia="zh-CN"/>
        </w:rPr>
      </w:pPr>
      <w:r>
        <w:rPr>
          <w:rFonts w:hint="eastAsia" w:ascii="仿宋" w:hAnsi="仿宋" w:eastAsia="仿宋" w:cs="仿宋"/>
          <w:bCs/>
          <w:color w:val="000000"/>
          <w:kern w:val="0"/>
          <w:highlight w:val="none"/>
          <w:lang w:val="en-US" w:eastAsia="zh-CN"/>
        </w:rPr>
        <w:t>5.展示讲解部分，提前将PPT拷贝到展示电脑上，不得透露参赛队学校、个人等信息，</w:t>
      </w:r>
      <w:r>
        <w:rPr>
          <w:rFonts w:hint="eastAsia" w:ascii="仿宋" w:hAnsi="仿宋" w:eastAsia="仿宋" w:cs="仿宋"/>
          <w:bCs/>
          <w:color w:val="000000"/>
          <w:kern w:val="0"/>
        </w:rPr>
        <w:t>在现场裁判的指挥下有序</w:t>
      </w:r>
      <w:r>
        <w:rPr>
          <w:rFonts w:hint="eastAsia" w:ascii="仿宋" w:hAnsi="仿宋" w:eastAsia="仿宋" w:cs="仿宋"/>
          <w:bCs/>
          <w:color w:val="000000"/>
          <w:kern w:val="0"/>
          <w:lang w:val="en-US" w:eastAsia="zh-CN"/>
        </w:rPr>
        <w:t>进场退场</w:t>
      </w:r>
      <w:r>
        <w:rPr>
          <w:rFonts w:hint="eastAsia" w:ascii="仿宋" w:hAnsi="仿宋" w:eastAsia="仿宋" w:cs="仿宋"/>
          <w:bCs/>
          <w:color w:val="000000"/>
          <w:kern w:val="0"/>
          <w:highlight w:val="none"/>
          <w:lang w:val="en-US" w:eastAsia="zh-CN"/>
        </w:rPr>
        <w:t>。</w:t>
      </w:r>
    </w:p>
    <w:p w14:paraId="4AC62687">
      <w:pPr>
        <w:pStyle w:val="5"/>
        <w:ind w:firstLine="482"/>
        <w:rPr>
          <w:rFonts w:hint="eastAsia" w:ascii="仿宋" w:hAnsi="仿宋" w:eastAsia="仿宋" w:cs="仿宋"/>
        </w:rPr>
      </w:pPr>
      <w:r>
        <w:rPr>
          <w:rFonts w:hint="eastAsia" w:ascii="仿宋" w:hAnsi="仿宋" w:eastAsia="仿宋" w:cs="仿宋"/>
        </w:rPr>
        <w:t>（四）赛场规则</w:t>
      </w:r>
    </w:p>
    <w:p w14:paraId="5D577BB7">
      <w:pPr>
        <w:ind w:firstLine="480"/>
        <w:rPr>
          <w:rFonts w:hint="eastAsia" w:ascii="仿宋" w:hAnsi="仿宋" w:eastAsia="仿宋" w:cs="仿宋"/>
        </w:rPr>
      </w:pPr>
      <w:r>
        <w:rPr>
          <w:rFonts w:hint="eastAsia" w:ascii="仿宋" w:hAnsi="仿宋" w:eastAsia="仿宋" w:cs="仿宋"/>
        </w:rPr>
        <w:t>1.选手进入赛场后，必须听从现场裁判的统一布置和指挥。</w:t>
      </w:r>
    </w:p>
    <w:p w14:paraId="17688ECB">
      <w:pPr>
        <w:ind w:firstLine="480"/>
        <w:rPr>
          <w:rFonts w:hint="eastAsia" w:ascii="仿宋" w:hAnsi="仿宋" w:eastAsia="仿宋" w:cs="仿宋"/>
        </w:rPr>
      </w:pPr>
      <w:r>
        <w:rPr>
          <w:rFonts w:hint="eastAsia" w:ascii="仿宋" w:hAnsi="仿宋" w:eastAsia="仿宋" w:cs="仿宋"/>
        </w:rPr>
        <w:t>2.分发比赛任务书后的10分钟，选手可分析比赛任务，摆放工具、清点检查器材，</w:t>
      </w:r>
      <w:r>
        <w:rPr>
          <w:rFonts w:hint="eastAsia" w:ascii="仿宋" w:hAnsi="仿宋" w:eastAsia="仿宋" w:cs="仿宋"/>
          <w:lang w:val="en-US" w:eastAsia="zh-CN"/>
        </w:rPr>
        <w:t>禁止</w:t>
      </w:r>
      <w:r>
        <w:rPr>
          <w:rFonts w:hint="eastAsia" w:ascii="仿宋" w:hAnsi="仿宋" w:eastAsia="仿宋" w:cs="仿宋"/>
        </w:rPr>
        <w:t>使用工具进行比赛任务的操作。</w:t>
      </w:r>
    </w:p>
    <w:p w14:paraId="72E93386">
      <w:pPr>
        <w:ind w:firstLine="480"/>
        <w:rPr>
          <w:rFonts w:hint="eastAsia" w:ascii="仿宋" w:hAnsi="仿宋" w:eastAsia="仿宋" w:cs="仿宋"/>
        </w:rPr>
      </w:pPr>
      <w:r>
        <w:rPr>
          <w:rFonts w:hint="eastAsia" w:ascii="仿宋" w:hAnsi="仿宋" w:eastAsia="仿宋" w:cs="仿宋"/>
        </w:rPr>
        <w:t>3.现场裁判宣布比赛开始，参赛选手才能进行动手完成竞赛比赛任务的操作。</w:t>
      </w:r>
    </w:p>
    <w:p w14:paraId="4201B7AD">
      <w:pPr>
        <w:ind w:firstLine="480"/>
        <w:rPr>
          <w:rFonts w:hint="eastAsia" w:ascii="仿宋" w:hAnsi="仿宋" w:eastAsia="仿宋" w:cs="仿宋"/>
        </w:rPr>
      </w:pPr>
      <w:r>
        <w:rPr>
          <w:rFonts w:hint="eastAsia" w:ascii="仿宋" w:hAnsi="仿宋" w:eastAsia="仿宋" w:cs="仿宋"/>
        </w:rPr>
        <w:t>4.比赛过程中，参赛选手必须严格遵守安全操作规程，确保人身和设备安全，并接受现场裁判和技术人员的监督和警示。</w:t>
      </w:r>
    </w:p>
    <w:p w14:paraId="22CA3AEF">
      <w:pPr>
        <w:ind w:firstLine="480"/>
        <w:rPr>
          <w:rFonts w:hint="eastAsia" w:ascii="仿宋" w:hAnsi="仿宋" w:eastAsia="仿宋" w:cs="仿宋"/>
        </w:rPr>
      </w:pPr>
      <w:r>
        <w:rPr>
          <w:rFonts w:hint="eastAsia" w:ascii="仿宋" w:hAnsi="仿宋" w:eastAsia="仿宋" w:cs="仿宋"/>
        </w:rPr>
        <w:t>5.比赛过程中若有任务书字迹不清问题，可示意现场裁判，由现场裁判解决。若认为比赛设备或元器件有问题需更换或耗材需要补充，应在赛场记录表的相应栏目填写更换设备或元器件、耗材名称、规格与型号、更换原因、更换时间等并签比赛工位号确认后，由现场裁判和技术人员予以更换。更换后经现场裁判和技术人员检验并将结果记录在赛场记录表的相应栏目中并由选手签名确认。</w:t>
      </w:r>
    </w:p>
    <w:p w14:paraId="143AF8C2">
      <w:pPr>
        <w:ind w:firstLine="480"/>
        <w:rPr>
          <w:rFonts w:hint="eastAsia" w:ascii="仿宋" w:hAnsi="仿宋" w:eastAsia="仿宋" w:cs="仿宋"/>
        </w:rPr>
      </w:pPr>
      <w:r>
        <w:rPr>
          <w:rFonts w:hint="eastAsia" w:ascii="仿宋" w:hAnsi="仿宋" w:eastAsia="仿宋" w:cs="仿宋"/>
        </w:rPr>
        <w:t>6.需要通电检查或调试设备时，应先报告现场裁判或技术人员，通电前的安全检测合格，获允许并派人监护后，才能通电检查或调试。</w:t>
      </w:r>
    </w:p>
    <w:p w14:paraId="6B39FAA5">
      <w:pPr>
        <w:ind w:firstLine="480"/>
        <w:rPr>
          <w:rFonts w:hint="eastAsia" w:ascii="仿宋" w:hAnsi="仿宋" w:eastAsia="仿宋" w:cs="仿宋"/>
        </w:rPr>
      </w:pPr>
      <w:r>
        <w:rPr>
          <w:rFonts w:hint="eastAsia" w:ascii="仿宋" w:hAnsi="仿宋" w:eastAsia="仿宋" w:cs="仿宋"/>
        </w:rPr>
        <w:t>7.经现场裁判和技术人员检验，确因设备、元器件故障或损坏而更换设备或元器件者，从报告现场裁判到完成更换之间的用时，为比赛补时时间。</w:t>
      </w:r>
    </w:p>
    <w:p w14:paraId="4A9202CD">
      <w:pPr>
        <w:ind w:firstLine="480"/>
        <w:rPr>
          <w:rFonts w:hint="eastAsia" w:ascii="仿宋" w:hAnsi="仿宋" w:eastAsia="仿宋" w:cs="仿宋"/>
        </w:rPr>
      </w:pPr>
      <w:r>
        <w:rPr>
          <w:rFonts w:hint="eastAsia" w:ascii="仿宋" w:hAnsi="仿宋" w:eastAsia="仿宋" w:cs="仿宋"/>
        </w:rPr>
        <w:t>8.比赛过程中选手不得随意离开工位，不得与其他参赛选手和人员交流。因故终止比赛或提前完成比赛任务需要离场，应报告现场裁判，在赛场记录表的相应栏目填写离场时间、离场原因并由现场裁判签名和选手签工位号确认。</w:t>
      </w:r>
    </w:p>
    <w:p w14:paraId="06EF3C7F">
      <w:pPr>
        <w:ind w:firstLine="480"/>
        <w:rPr>
          <w:rFonts w:hint="eastAsia" w:ascii="仿宋" w:hAnsi="仿宋" w:eastAsia="仿宋" w:cs="仿宋"/>
        </w:rPr>
      </w:pPr>
      <w:r>
        <w:rPr>
          <w:rFonts w:hint="eastAsia" w:ascii="仿宋" w:hAnsi="仿宋" w:eastAsia="仿宋" w:cs="仿宋"/>
        </w:rPr>
        <w:t>9.比赛过程中，严重违反赛场纪律影响他人比赛者，违反操作规程不听劝告者，越界影响他人者，有意损坏赛场设备或设施者，经现场裁判报告裁判长，经大赛组委会办公室同意后，由裁判长宣布取消其比赛资格。</w:t>
      </w:r>
    </w:p>
    <w:p w14:paraId="349A2326">
      <w:pPr>
        <w:pStyle w:val="5"/>
        <w:ind w:firstLine="482"/>
        <w:rPr>
          <w:rFonts w:hint="eastAsia" w:ascii="仿宋" w:hAnsi="仿宋" w:eastAsia="仿宋" w:cs="仿宋"/>
        </w:rPr>
      </w:pPr>
      <w:r>
        <w:rPr>
          <w:rFonts w:hint="eastAsia" w:ascii="仿宋" w:hAnsi="仿宋" w:eastAsia="仿宋" w:cs="仿宋"/>
        </w:rPr>
        <w:t>（五）离场规则</w:t>
      </w:r>
    </w:p>
    <w:p w14:paraId="3F16D7A7">
      <w:pPr>
        <w:ind w:firstLine="480"/>
        <w:rPr>
          <w:rFonts w:hint="eastAsia" w:ascii="仿宋" w:hAnsi="仿宋" w:eastAsia="仿宋" w:cs="仿宋"/>
        </w:rPr>
      </w:pPr>
      <w:r>
        <w:rPr>
          <w:rFonts w:hint="eastAsia" w:ascii="仿宋" w:hAnsi="仿宋" w:eastAsia="仿宋" w:cs="仿宋"/>
        </w:rPr>
        <w:t>1. 比赛结束前15分钟，裁判长提示一次比赛剩余时间。</w:t>
      </w:r>
    </w:p>
    <w:p w14:paraId="1470B4C5">
      <w:pPr>
        <w:ind w:firstLine="480"/>
        <w:rPr>
          <w:rFonts w:hint="eastAsia" w:ascii="仿宋" w:hAnsi="仿宋" w:eastAsia="仿宋" w:cs="仿宋"/>
        </w:rPr>
      </w:pPr>
      <w:r>
        <w:rPr>
          <w:rFonts w:hint="eastAsia" w:ascii="仿宋" w:hAnsi="仿宋" w:eastAsia="仿宋" w:cs="仿宋"/>
        </w:rPr>
        <w:t>2. 比赛结束信号给出，由裁判长宣布终止比赛。</w:t>
      </w:r>
    </w:p>
    <w:p w14:paraId="09142361">
      <w:pPr>
        <w:ind w:firstLine="480"/>
        <w:rPr>
          <w:rFonts w:hint="eastAsia" w:ascii="仿宋" w:hAnsi="仿宋" w:eastAsia="仿宋" w:cs="仿宋"/>
        </w:rPr>
      </w:pPr>
      <w:r>
        <w:rPr>
          <w:rFonts w:hint="eastAsia" w:ascii="仿宋" w:hAnsi="仿宋" w:eastAsia="仿宋" w:cs="仿宋"/>
        </w:rPr>
        <w:t>3. 裁判长宣布终止比赛时，选手应停止竞赛任务的操作。竞赛任务书、图纸、赛场记录表等整齐摆放在工作台上，不能带出赛场；工具、万用表、试题作答的文具等，保持现状，不需整理。</w:t>
      </w:r>
    </w:p>
    <w:p w14:paraId="5A565FA2">
      <w:pPr>
        <w:ind w:firstLine="480"/>
        <w:rPr>
          <w:rFonts w:hint="eastAsia" w:ascii="仿宋" w:hAnsi="仿宋" w:eastAsia="仿宋" w:cs="仿宋"/>
        </w:rPr>
      </w:pPr>
      <w:r>
        <w:rPr>
          <w:rFonts w:hint="eastAsia" w:ascii="仿宋" w:hAnsi="仿宋" w:eastAsia="仿宋" w:cs="仿宋"/>
        </w:rPr>
        <w:t>4. 裁判长宣布终止比赛后，现场裁判组织、监督选手退出工位，站在工位边的过道上。裁判长宣布离场时，现场裁判指挥选手统一离开赛场。</w:t>
      </w:r>
    </w:p>
    <w:p w14:paraId="60C75C34">
      <w:pPr>
        <w:ind w:firstLine="480"/>
        <w:rPr>
          <w:rFonts w:hint="eastAsia" w:ascii="仿宋" w:hAnsi="仿宋" w:eastAsia="仿宋" w:cs="仿宋"/>
        </w:rPr>
      </w:pPr>
      <w:r>
        <w:rPr>
          <w:rFonts w:hint="eastAsia" w:ascii="仿宋" w:hAnsi="仿宋" w:eastAsia="仿宋" w:cs="仿宋"/>
        </w:rPr>
        <w:t>5. 全部选手离场后，需要补时的选手重新进入工位，现场裁判宣布补时操作开始后，补时选手开始操作。现场裁判宣布补时时间到，选手应停止操作，离开赛场。</w:t>
      </w:r>
    </w:p>
    <w:p w14:paraId="2820CF4E">
      <w:pPr>
        <w:ind w:firstLine="480"/>
        <w:rPr>
          <w:rFonts w:hint="eastAsia" w:ascii="仿宋" w:hAnsi="仿宋" w:eastAsia="仿宋" w:cs="仿宋"/>
        </w:rPr>
      </w:pPr>
      <w:r>
        <w:rPr>
          <w:rFonts w:hint="eastAsia" w:ascii="仿宋" w:hAnsi="仿宋" w:eastAsia="仿宋" w:cs="仿宋"/>
        </w:rPr>
        <w:t>6. 选手离场后，到指定的休息场所用餐、等待评定比赛成绩。</w:t>
      </w:r>
    </w:p>
    <w:p w14:paraId="256E5F6F">
      <w:pPr>
        <w:ind w:firstLine="480"/>
        <w:rPr>
          <w:rFonts w:hint="eastAsia" w:ascii="仿宋" w:hAnsi="仿宋" w:eastAsia="仿宋" w:cs="仿宋"/>
        </w:rPr>
      </w:pPr>
      <w:r>
        <w:rPr>
          <w:rFonts w:hint="eastAsia" w:ascii="仿宋" w:hAnsi="仿宋" w:eastAsia="仿宋" w:cs="仿宋"/>
        </w:rPr>
        <w:t>7. 评分裁判叫到工位号的选手，进入赛场，配合评分裁判评定功能部分成绩。选手应按评分裁判指示，操作相关部件，实现相关的功能。</w:t>
      </w:r>
    </w:p>
    <w:p w14:paraId="3AEC68C6">
      <w:pPr>
        <w:ind w:firstLine="480"/>
        <w:rPr>
          <w:rFonts w:hint="eastAsia" w:ascii="仿宋" w:hAnsi="仿宋" w:eastAsia="仿宋" w:cs="仿宋"/>
        </w:rPr>
      </w:pPr>
      <w:r>
        <w:rPr>
          <w:rFonts w:hint="eastAsia" w:ascii="仿宋" w:hAnsi="仿宋" w:eastAsia="仿宋" w:cs="仿宋"/>
        </w:rPr>
        <w:t>8. 完成功能成绩评定的选手，应按职业岗位的要求，清理比赛工位上的工具、整理比赛工位及其周边的清洁，使之符合职业规范。</w:t>
      </w:r>
    </w:p>
    <w:p w14:paraId="564F83AF">
      <w:pPr>
        <w:ind w:firstLine="482"/>
        <w:rPr>
          <w:rFonts w:hint="eastAsia" w:ascii="仿宋" w:hAnsi="仿宋" w:eastAsia="仿宋" w:cs="仿宋"/>
          <w:b/>
          <w:bCs/>
        </w:rPr>
      </w:pPr>
      <w:r>
        <w:rPr>
          <w:rFonts w:hint="eastAsia" w:ascii="仿宋" w:hAnsi="仿宋" w:eastAsia="仿宋" w:cs="仿宋"/>
          <w:b/>
          <w:bCs/>
        </w:rPr>
        <w:t>（六）成绩评定与管理规则</w:t>
      </w:r>
    </w:p>
    <w:p w14:paraId="1DF45ED3">
      <w:pPr>
        <w:ind w:firstLine="480"/>
        <w:rPr>
          <w:rFonts w:hint="eastAsia" w:ascii="仿宋" w:hAnsi="仿宋" w:eastAsia="仿宋" w:cs="仿宋"/>
        </w:rPr>
      </w:pPr>
      <w:r>
        <w:rPr>
          <w:rFonts w:hint="eastAsia" w:ascii="仿宋" w:hAnsi="仿宋" w:eastAsia="仿宋" w:cs="仿宋"/>
        </w:rPr>
        <w:t>1. 成绩管理的机构及分工</w:t>
      </w:r>
    </w:p>
    <w:p w14:paraId="0969DABF">
      <w:pPr>
        <w:ind w:firstLine="480"/>
        <w:rPr>
          <w:rFonts w:hint="eastAsia" w:ascii="仿宋" w:hAnsi="仿宋" w:eastAsia="仿宋" w:cs="仿宋"/>
          <w:bCs/>
        </w:rPr>
      </w:pPr>
      <w:r>
        <w:rPr>
          <w:rFonts w:hint="eastAsia" w:ascii="仿宋" w:hAnsi="仿宋" w:eastAsia="仿宋" w:cs="仿宋"/>
          <w:bCs/>
        </w:rPr>
        <w:t>成绩管理机构由裁判组、监督组和仲裁组组成。裁判在大赛裁判库中随机抽取，监督组和仲裁组由大赛组委会办公室指派。</w:t>
      </w:r>
    </w:p>
    <w:p w14:paraId="662B5C80">
      <w:pPr>
        <w:ind w:firstLine="480"/>
        <w:rPr>
          <w:rFonts w:hint="eastAsia" w:ascii="仿宋" w:hAnsi="仿宋" w:eastAsia="仿宋" w:cs="仿宋"/>
          <w:bCs/>
        </w:rPr>
      </w:pPr>
      <w:r>
        <w:rPr>
          <w:rFonts w:hint="eastAsia" w:ascii="仿宋" w:hAnsi="仿宋" w:eastAsia="仿宋" w:cs="仿宋"/>
          <w:bCs/>
        </w:rPr>
        <w:t>（1）裁判组实行“裁判长负责制”，设裁判长1名，全面负责赛项的裁判分工、裁判评分审核、处理比赛中出现的争议问题等工作。</w:t>
      </w:r>
    </w:p>
    <w:p w14:paraId="6A8599FB">
      <w:pPr>
        <w:ind w:firstLine="480"/>
        <w:rPr>
          <w:rFonts w:hint="eastAsia" w:ascii="仿宋" w:hAnsi="仿宋" w:eastAsia="仿宋" w:cs="仿宋"/>
          <w:bCs/>
        </w:rPr>
      </w:pPr>
      <w:r>
        <w:rPr>
          <w:rFonts w:hint="eastAsia" w:ascii="仿宋" w:hAnsi="仿宋" w:eastAsia="仿宋" w:cs="仿宋"/>
          <w:bCs/>
        </w:rPr>
        <w:t>（2）裁判员根据比赛需要分为检录裁判、加密裁判、现场裁判和评分裁判。</w:t>
      </w:r>
    </w:p>
    <w:p w14:paraId="2CA47B91">
      <w:pPr>
        <w:ind w:firstLine="480"/>
        <w:rPr>
          <w:rFonts w:hint="eastAsia" w:ascii="仿宋" w:hAnsi="仿宋" w:eastAsia="仿宋" w:cs="仿宋"/>
          <w:bCs/>
        </w:rPr>
      </w:pPr>
      <w:r>
        <w:rPr>
          <w:rFonts w:hint="eastAsia" w:ascii="仿宋" w:hAnsi="仿宋" w:eastAsia="仿宋" w:cs="仿宋"/>
          <w:bCs/>
        </w:rPr>
        <w:t>检录裁判：负责对参赛队伍（选手）进行点名登记、身份核对等工作；</w:t>
      </w:r>
    </w:p>
    <w:p w14:paraId="5136A8E7">
      <w:pPr>
        <w:ind w:firstLine="480"/>
        <w:rPr>
          <w:rFonts w:hint="eastAsia" w:ascii="仿宋" w:hAnsi="仿宋" w:eastAsia="仿宋" w:cs="仿宋"/>
          <w:bCs/>
        </w:rPr>
      </w:pPr>
      <w:r>
        <w:rPr>
          <w:rFonts w:hint="eastAsia" w:ascii="仿宋" w:hAnsi="仿宋" w:eastAsia="仿宋" w:cs="仿宋"/>
          <w:bCs/>
        </w:rPr>
        <w:t>加密裁判：负责组织参赛队伍（选手）抽签，对参赛队信息、抽签代码等进行加密；</w:t>
      </w:r>
    </w:p>
    <w:p w14:paraId="3C0699D8">
      <w:pPr>
        <w:ind w:firstLine="480"/>
        <w:rPr>
          <w:rFonts w:hint="eastAsia" w:ascii="仿宋" w:hAnsi="仿宋" w:eastAsia="仿宋" w:cs="仿宋"/>
          <w:bCs/>
        </w:rPr>
      </w:pPr>
      <w:r>
        <w:rPr>
          <w:rFonts w:hint="eastAsia" w:ascii="仿宋" w:hAnsi="仿宋" w:eastAsia="仿宋" w:cs="仿宋"/>
          <w:bCs/>
        </w:rPr>
        <w:t>现场裁判：按规定做好赛场记录，维护赛场纪律，评定参赛队的过程得分；</w:t>
      </w:r>
    </w:p>
    <w:p w14:paraId="1E4C5097">
      <w:pPr>
        <w:ind w:firstLine="480"/>
        <w:rPr>
          <w:rFonts w:hint="eastAsia" w:ascii="仿宋" w:hAnsi="仿宋" w:eastAsia="仿宋" w:cs="仿宋"/>
          <w:bCs/>
        </w:rPr>
      </w:pPr>
      <w:r>
        <w:rPr>
          <w:rFonts w:hint="eastAsia" w:ascii="仿宋" w:hAnsi="仿宋" w:eastAsia="仿宋" w:cs="仿宋"/>
          <w:bCs/>
        </w:rPr>
        <w:t>评分裁判：负责对参赛队组装的设备及其功能按评分细则评定成绩。</w:t>
      </w:r>
    </w:p>
    <w:p w14:paraId="19538651">
      <w:pPr>
        <w:ind w:firstLine="480"/>
        <w:rPr>
          <w:rFonts w:hint="eastAsia" w:ascii="仿宋" w:hAnsi="仿宋" w:eastAsia="仿宋" w:cs="仿宋"/>
          <w:bCs/>
        </w:rPr>
      </w:pPr>
      <w:r>
        <w:rPr>
          <w:rFonts w:hint="eastAsia" w:ascii="仿宋" w:hAnsi="仿宋" w:eastAsia="仿宋" w:cs="仿宋"/>
          <w:bCs/>
        </w:rPr>
        <w:t>（3）监督组对裁判组的工作进行全程监督，并对竞赛成绩抽检复核。</w:t>
      </w:r>
    </w:p>
    <w:p w14:paraId="638E629D">
      <w:pPr>
        <w:ind w:firstLine="480"/>
        <w:rPr>
          <w:rFonts w:hint="eastAsia" w:ascii="仿宋" w:hAnsi="仿宋" w:eastAsia="仿宋" w:cs="仿宋"/>
          <w:b/>
          <w:color w:val="000000"/>
          <w:kern w:val="0"/>
        </w:rPr>
      </w:pPr>
      <w:r>
        <w:rPr>
          <w:rFonts w:hint="eastAsia" w:ascii="仿宋" w:hAnsi="仿宋" w:eastAsia="仿宋" w:cs="仿宋"/>
          <w:bCs/>
        </w:rPr>
        <w:t>（4）仲裁组负责接受由参赛队领队提出的对裁判结果的申诉，组织复议并及时反馈复议结果。</w:t>
      </w:r>
      <w:r>
        <w:rPr>
          <w:rFonts w:hint="eastAsia" w:ascii="仿宋" w:hAnsi="仿宋" w:eastAsia="仿宋" w:cs="仿宋"/>
          <w:b/>
          <w:color w:val="000000"/>
          <w:kern w:val="0"/>
        </w:rPr>
        <w:br w:type="page"/>
      </w:r>
    </w:p>
    <w:p w14:paraId="7E290B29">
      <w:pPr>
        <w:adjustRightInd w:val="0"/>
        <w:snapToGrid w:val="0"/>
        <w:ind w:firstLine="482"/>
        <w:rPr>
          <w:rFonts w:hint="eastAsia" w:ascii="仿宋" w:hAnsi="仿宋" w:eastAsia="仿宋" w:cs="仿宋"/>
          <w:b/>
          <w:color w:val="000000"/>
          <w:kern w:val="0"/>
        </w:rPr>
      </w:pPr>
      <w:r>
        <w:rPr>
          <w:rFonts w:hint="eastAsia" w:ascii="仿宋" w:hAnsi="仿宋" w:eastAsia="仿宋" w:cs="仿宋"/>
          <w:b/>
          <w:color w:val="000000"/>
          <w:kern w:val="0"/>
        </w:rPr>
        <w:t>2. 成绩管理流程</w:t>
      </w:r>
      <w:r>
        <w:rPr>
          <w:rFonts w:hint="eastAsia" w:ascii="仿宋" w:hAnsi="仿宋" w:eastAsia="仿宋" w:cs="仿宋"/>
          <w:color w:val="000000"/>
        </w:rPr>
        <mc:AlternateContent>
          <mc:Choice Requires="wpg">
            <w:drawing>
              <wp:anchor distT="0" distB="0" distL="0" distR="0" simplePos="0" relativeHeight="251660288" behindDoc="0" locked="0" layoutInCell="1" allowOverlap="1">
                <wp:simplePos x="0" y="0"/>
                <wp:positionH relativeFrom="column">
                  <wp:posOffset>1877695</wp:posOffset>
                </wp:positionH>
                <wp:positionV relativeFrom="paragraph">
                  <wp:posOffset>307975</wp:posOffset>
                </wp:positionV>
                <wp:extent cx="1552575" cy="3867150"/>
                <wp:effectExtent l="7620" t="7620" r="14605" b="11430"/>
                <wp:wrapNone/>
                <wp:docPr id="1060" name="组合 91"/>
                <wp:cNvGraphicFramePr/>
                <a:graphic xmlns:a="http://schemas.openxmlformats.org/drawingml/2006/main">
                  <a:graphicData uri="http://schemas.microsoft.com/office/word/2010/wordprocessingGroup">
                    <wpg:wgp>
                      <wpg:cNvGrpSpPr/>
                      <wpg:grpSpPr>
                        <a:xfrm rot="0">
                          <a:off x="0" y="0"/>
                          <a:ext cx="1552575" cy="3867149"/>
                          <a:chOff x="7127" y="4255"/>
                          <a:chExt cx="2445" cy="6090"/>
                        </a:xfrm>
                      </wpg:grpSpPr>
                      <wps:wsp>
                        <wps:cNvPr id="34" name="流程图: 可选过程 34"/>
                        <wps:cNvSpPr/>
                        <wps:spPr>
                          <a:xfrm>
                            <a:off x="7127" y="425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5BFAB745">
                              <w:pPr>
                                <w:spacing w:line="240" w:lineRule="exact"/>
                                <w:ind w:firstLine="720" w:firstLineChars="300"/>
                                <w:rPr>
                                  <w:rFonts w:ascii="仿宋_GB2312" w:eastAsia="仿宋_GB2312"/>
                                </w:rPr>
                              </w:pPr>
                              <w:r>
                                <w:rPr>
                                  <w:rFonts w:hint="eastAsia" w:ascii="仿宋_GB2312" w:eastAsia="仿宋_GB2312"/>
                                </w:rPr>
                                <w:t>检  录</w:t>
                              </w:r>
                            </w:p>
                          </w:txbxContent>
                        </wps:txbx>
                        <wps:bodyPr upright="1"/>
                      </wps:wsp>
                      <wps:wsp>
                        <wps:cNvPr id="35" name="流程图: 可选过程 35"/>
                        <wps:cNvSpPr/>
                        <wps:spPr>
                          <a:xfrm>
                            <a:off x="7127" y="503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602048D1">
                              <w:pPr>
                                <w:spacing w:line="240" w:lineRule="exact"/>
                                <w:ind w:firstLine="480"/>
                                <w:jc w:val="center"/>
                                <w:rPr>
                                  <w:rFonts w:ascii="仿宋_GB2312" w:eastAsia="仿宋_GB2312"/>
                                </w:rPr>
                              </w:pPr>
                              <w:r>
                                <w:rPr>
                                  <w:rFonts w:hint="eastAsia" w:ascii="仿宋_GB2312" w:eastAsia="仿宋_GB2312"/>
                                </w:rPr>
                                <w:t>一次抽签加密</w:t>
                              </w:r>
                            </w:p>
                          </w:txbxContent>
                        </wps:txbx>
                        <wps:bodyPr upright="1"/>
                      </wps:wsp>
                      <wps:wsp>
                        <wps:cNvPr id="36" name="直接连接符 36"/>
                        <wps:cNvCnPr/>
                        <wps:spPr>
                          <a:xfrm>
                            <a:off x="8325" y="4779"/>
                            <a:ext cx="1" cy="240"/>
                          </a:xfrm>
                          <a:prstGeom prst="line">
                            <a:avLst/>
                          </a:prstGeom>
                          <a:ln w="15875" cap="flat" cmpd="sng">
                            <a:solidFill>
                              <a:srgbClr val="000000"/>
                            </a:solidFill>
                            <a:prstDash val="solid"/>
                            <a:round/>
                            <a:headEnd type="none" w="med" len="med"/>
                            <a:tailEnd type="triangle" w="med" len="med"/>
                          </a:ln>
                        </wps:spPr>
                        <wps:bodyPr/>
                      </wps:wsp>
                      <wps:wsp>
                        <wps:cNvPr id="37" name="流程图: 可选过程 37"/>
                        <wps:cNvSpPr/>
                        <wps:spPr>
                          <a:xfrm>
                            <a:off x="7142" y="5830"/>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31FCC2F7">
                              <w:pPr>
                                <w:spacing w:line="240" w:lineRule="exact"/>
                                <w:ind w:firstLine="480"/>
                                <w:jc w:val="center"/>
                              </w:pPr>
                              <w:r>
                                <w:rPr>
                                  <w:rFonts w:hint="eastAsia" w:ascii="仿宋_GB2312" w:eastAsia="仿宋_GB2312"/>
                                </w:rPr>
                                <w:t>确定参赛编号</w:t>
                              </w:r>
                            </w:p>
                          </w:txbxContent>
                        </wps:txbx>
                        <wps:bodyPr upright="1"/>
                      </wps:wsp>
                      <wps:wsp>
                        <wps:cNvPr id="38" name="直接连接符 38"/>
                        <wps:cNvCnPr/>
                        <wps:spPr>
                          <a:xfrm>
                            <a:off x="8340" y="5574"/>
                            <a:ext cx="1" cy="240"/>
                          </a:xfrm>
                          <a:prstGeom prst="line">
                            <a:avLst/>
                          </a:prstGeom>
                          <a:ln w="15875" cap="flat" cmpd="sng">
                            <a:solidFill>
                              <a:srgbClr val="000000"/>
                            </a:solidFill>
                            <a:prstDash val="solid"/>
                            <a:round/>
                            <a:headEnd type="none" w="med" len="med"/>
                            <a:tailEnd type="triangle" w="med" len="med"/>
                          </a:ln>
                        </wps:spPr>
                        <wps:bodyPr/>
                      </wps:wsp>
                      <wps:wsp>
                        <wps:cNvPr id="39" name="直接连接符 39"/>
                        <wps:cNvCnPr/>
                        <wps:spPr>
                          <a:xfrm>
                            <a:off x="8355" y="6369"/>
                            <a:ext cx="1" cy="240"/>
                          </a:xfrm>
                          <a:prstGeom prst="line">
                            <a:avLst/>
                          </a:prstGeom>
                          <a:ln w="15875" cap="flat" cmpd="sng">
                            <a:solidFill>
                              <a:srgbClr val="000000"/>
                            </a:solidFill>
                            <a:prstDash val="solid"/>
                            <a:round/>
                            <a:headEnd type="none" w="med" len="med"/>
                            <a:tailEnd type="triangle" w="med" len="med"/>
                          </a:ln>
                        </wps:spPr>
                        <wps:bodyPr/>
                      </wps:wsp>
                      <wps:wsp>
                        <wps:cNvPr id="40" name="流程图: 可选过程 40"/>
                        <wps:cNvSpPr/>
                        <wps:spPr>
                          <a:xfrm>
                            <a:off x="7157" y="662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74138FCC">
                              <w:pPr>
                                <w:spacing w:line="240" w:lineRule="exact"/>
                                <w:ind w:firstLine="480"/>
                                <w:jc w:val="center"/>
                              </w:pPr>
                              <w:r>
                                <w:rPr>
                                  <w:rFonts w:hint="eastAsia" w:ascii="仿宋_GB2312" w:eastAsia="仿宋_GB2312"/>
                                </w:rPr>
                                <w:t>二次抽签加密</w:t>
                              </w:r>
                            </w:p>
                          </w:txbxContent>
                        </wps:txbx>
                        <wps:bodyPr upright="1"/>
                      </wps:wsp>
                      <wps:wsp>
                        <wps:cNvPr id="41" name="直接连接符 41"/>
                        <wps:cNvCnPr/>
                        <wps:spPr>
                          <a:xfrm>
                            <a:off x="8370" y="7149"/>
                            <a:ext cx="1" cy="240"/>
                          </a:xfrm>
                          <a:prstGeom prst="line">
                            <a:avLst/>
                          </a:prstGeom>
                          <a:ln w="15875" cap="flat" cmpd="sng">
                            <a:solidFill>
                              <a:srgbClr val="000000"/>
                            </a:solidFill>
                            <a:prstDash val="solid"/>
                            <a:round/>
                            <a:headEnd type="none" w="med" len="med"/>
                            <a:tailEnd type="triangle" w="med" len="med"/>
                          </a:ln>
                        </wps:spPr>
                        <wps:bodyPr/>
                      </wps:wsp>
                      <wps:wsp>
                        <wps:cNvPr id="42" name="流程图: 可选过程 42"/>
                        <wps:cNvSpPr/>
                        <wps:spPr>
                          <a:xfrm>
                            <a:off x="7172" y="740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520F9255">
                              <w:pPr>
                                <w:spacing w:line="240" w:lineRule="exact"/>
                                <w:ind w:firstLine="480"/>
                                <w:jc w:val="center"/>
                                <w:rPr>
                                  <w:rFonts w:ascii="仿宋_GB2312" w:eastAsia="仿宋_GB2312"/>
                                </w:rPr>
                              </w:pPr>
                              <w:r>
                                <w:rPr>
                                  <w:rFonts w:hint="eastAsia" w:ascii="仿宋_GB2312" w:eastAsia="仿宋_GB2312"/>
                                </w:rPr>
                                <w:t>确定工位号</w:t>
                              </w:r>
                            </w:p>
                          </w:txbxContent>
                        </wps:txbx>
                        <wps:bodyPr upright="1"/>
                      </wps:wsp>
                      <wps:wsp>
                        <wps:cNvPr id="43" name="直接连接符 43"/>
                        <wps:cNvCnPr/>
                        <wps:spPr>
                          <a:xfrm>
                            <a:off x="8385" y="7944"/>
                            <a:ext cx="1" cy="240"/>
                          </a:xfrm>
                          <a:prstGeom prst="line">
                            <a:avLst/>
                          </a:prstGeom>
                          <a:ln w="15875" cap="flat" cmpd="sng">
                            <a:solidFill>
                              <a:srgbClr val="000000"/>
                            </a:solidFill>
                            <a:prstDash val="solid"/>
                            <a:round/>
                            <a:headEnd type="none" w="med" len="med"/>
                            <a:tailEnd type="triangle" w="med" len="med"/>
                          </a:ln>
                        </wps:spPr>
                        <wps:bodyPr/>
                      </wps:wsp>
                      <wps:wsp>
                        <wps:cNvPr id="44" name="流程图: 可选过程 44"/>
                        <wps:cNvSpPr/>
                        <wps:spPr>
                          <a:xfrm>
                            <a:off x="7187" y="8200"/>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418174BB">
                              <w:pPr>
                                <w:spacing w:line="240" w:lineRule="exact"/>
                                <w:ind w:firstLine="240" w:firstLineChars="100"/>
                              </w:pPr>
                              <w:r>
                                <w:rPr>
                                  <w:rFonts w:hint="eastAsia" w:ascii="仿宋_GB2312" w:eastAsia="仿宋_GB2312"/>
                                </w:rPr>
                                <w:t>成绩评定与复核</w:t>
                              </w:r>
                            </w:p>
                          </w:txbxContent>
                        </wps:txbx>
                        <wps:bodyPr upright="1"/>
                      </wps:wsp>
                      <wps:wsp>
                        <wps:cNvPr id="45" name="直接连接符 45"/>
                        <wps:cNvCnPr/>
                        <wps:spPr>
                          <a:xfrm>
                            <a:off x="8385" y="8739"/>
                            <a:ext cx="1" cy="240"/>
                          </a:xfrm>
                          <a:prstGeom prst="line">
                            <a:avLst/>
                          </a:prstGeom>
                          <a:ln w="15875" cap="flat" cmpd="sng">
                            <a:solidFill>
                              <a:srgbClr val="000000"/>
                            </a:solidFill>
                            <a:prstDash val="solid"/>
                            <a:round/>
                            <a:headEnd type="none" w="med" len="med"/>
                            <a:tailEnd type="triangle" w="med" len="med"/>
                          </a:ln>
                        </wps:spPr>
                        <wps:bodyPr/>
                      </wps:wsp>
                      <wps:wsp>
                        <wps:cNvPr id="46" name="流程图: 可选过程 46"/>
                        <wps:cNvSpPr/>
                        <wps:spPr>
                          <a:xfrm>
                            <a:off x="7187" y="8995"/>
                            <a:ext cx="2385" cy="524"/>
                          </a:xfrm>
                          <a:prstGeom prst="flowChartAlternateProcess">
                            <a:avLst/>
                          </a:prstGeom>
                          <a:ln w="15875" cap="flat" cmpd="sng">
                            <a:solidFill>
                              <a:srgbClr val="000000"/>
                            </a:solidFill>
                            <a:prstDash val="solid"/>
                            <a:miter/>
                            <a:headEnd type="none" w="med" len="med"/>
                            <a:tailEnd type="none" w="med" len="med"/>
                          </a:ln>
                        </wps:spPr>
                        <wps:txbx>
                          <w:txbxContent>
                            <w:p w14:paraId="59B026C0">
                              <w:pPr>
                                <w:spacing w:line="240" w:lineRule="exact"/>
                                <w:ind w:firstLine="480"/>
                                <w:jc w:val="center"/>
                                <w:rPr>
                                  <w:rFonts w:ascii="仿宋_GB2312" w:eastAsia="仿宋_GB2312"/>
                                </w:rPr>
                              </w:pPr>
                              <w:r>
                                <w:rPr>
                                  <w:rFonts w:hint="eastAsia" w:ascii="仿宋_GB2312" w:eastAsia="仿宋_GB2312"/>
                                </w:rPr>
                                <w:t>加密信息解密</w:t>
                              </w:r>
                            </w:p>
                          </w:txbxContent>
                        </wps:txbx>
                        <wps:bodyPr upright="1"/>
                      </wps:wsp>
                      <wps:wsp>
                        <wps:cNvPr id="47" name="直接连接符 47"/>
                        <wps:cNvCnPr/>
                        <wps:spPr>
                          <a:xfrm>
                            <a:off x="8385" y="9534"/>
                            <a:ext cx="1" cy="240"/>
                          </a:xfrm>
                          <a:prstGeom prst="line">
                            <a:avLst/>
                          </a:prstGeom>
                          <a:ln w="15875" cap="flat" cmpd="sng">
                            <a:solidFill>
                              <a:srgbClr val="000000"/>
                            </a:solidFill>
                            <a:prstDash val="solid"/>
                            <a:round/>
                            <a:headEnd type="none" w="med" len="med"/>
                            <a:tailEnd type="triangle" w="med" len="med"/>
                          </a:ln>
                        </wps:spPr>
                        <wps:bodyPr/>
                      </wps:wsp>
                      <wps:wsp>
                        <wps:cNvPr id="48" name="椭圆 48"/>
                        <wps:cNvSpPr/>
                        <wps:spPr>
                          <a:xfrm>
                            <a:off x="7233" y="9792"/>
                            <a:ext cx="2325" cy="553"/>
                          </a:xfrm>
                          <a:prstGeom prst="ellipse">
                            <a:avLst/>
                          </a:prstGeom>
                          <a:ln w="15875" cap="flat" cmpd="sng">
                            <a:solidFill>
                              <a:srgbClr val="000000"/>
                            </a:solidFill>
                            <a:prstDash val="solid"/>
                            <a:round/>
                            <a:headEnd type="none" w="med" len="med"/>
                            <a:tailEnd type="none" w="med" len="med"/>
                          </a:ln>
                        </wps:spPr>
                        <wps:txbx>
                          <w:txbxContent>
                            <w:p w14:paraId="249CC210">
                              <w:pPr>
                                <w:spacing w:line="240" w:lineRule="exact"/>
                                <w:ind w:firstLine="360" w:firstLineChars="150"/>
                                <w:rPr>
                                  <w:rFonts w:ascii="仿宋_GB2312" w:eastAsia="仿宋_GB2312"/>
                                </w:rPr>
                              </w:pPr>
                              <w:r>
                                <w:rPr>
                                  <w:rFonts w:hint="eastAsia" w:ascii="仿宋_GB2312" w:eastAsia="仿宋_GB2312"/>
                                </w:rPr>
                                <w:t>成绩公布</w:t>
                              </w:r>
                            </w:p>
                          </w:txbxContent>
                        </wps:txbx>
                        <wps:bodyPr upright="1"/>
                      </wps:wsp>
                    </wpg:wgp>
                  </a:graphicData>
                </a:graphic>
              </wp:anchor>
            </w:drawing>
          </mc:Choice>
          <mc:Fallback>
            <w:pict>
              <v:group id="组合 91" o:spid="_x0000_s1026" o:spt="203" style="position:absolute;left:0pt;margin-left:147.85pt;margin-top:24.25pt;height:304.5pt;width:122.25pt;z-index:251660288;mso-width-relative:page;mso-height-relative:page;" coordorigin="7127,4255" coordsize="2445,6090" o:gfxdata="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Bjmxhnb&#10;AAAACgEAAA8AAAAAAAAAAQAgAAAAIgAAAGRycy9kb3ducmV2LnhtbFBLAQIUABQAAAAIAIdO4kAm&#10;mzDRkAQAAFMjAAAOAAAAAAAAAAEAIAAAACoBAABkcnMvZTJvRG9jLnhtbFBLBQYAAAAABgAGAFkB&#10;AAAsCAAAAAA=&#10;">
                <o:lock v:ext="edit" aspectratio="f"/>
                <v:shape id="_x0000_s1026" o:spid="_x0000_s1026" o:spt="176" type="#_x0000_t176" style="position:absolute;left:7127;top:4255;height:524;width:2385;" filled="f" stroked="t" coordsize="21600,21600" o:gfxdata="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QwRK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14:paraId="5BFAB745">
                        <w:pPr>
                          <w:spacing w:line="240" w:lineRule="exact"/>
                          <w:ind w:firstLine="720" w:firstLineChars="300"/>
                          <w:rPr>
                            <w:rFonts w:ascii="仿宋_GB2312" w:eastAsia="仿宋_GB2312"/>
                          </w:rPr>
                        </w:pPr>
                        <w:r>
                          <w:rPr>
                            <w:rFonts w:hint="eastAsia" w:ascii="仿宋_GB2312" w:eastAsia="仿宋_GB2312"/>
                          </w:rPr>
                          <w:t>检  录</w:t>
                        </w:r>
                      </w:p>
                    </w:txbxContent>
                  </v:textbox>
                </v:shape>
                <v:shape id="_x0000_s1026" o:spid="_x0000_s1026" o:spt="176" type="#_x0000_t176" style="position:absolute;left:7127;top:5035;height:524;width:2385;" filled="f" stroked="t" coordsize="21600,21600" o:gfxdata="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HGSJ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14:paraId="602048D1">
                        <w:pPr>
                          <w:spacing w:line="240" w:lineRule="exact"/>
                          <w:ind w:firstLine="480"/>
                          <w:jc w:val="center"/>
                          <w:rPr>
                            <w:rFonts w:ascii="仿宋_GB2312" w:eastAsia="仿宋_GB2312"/>
                          </w:rPr>
                        </w:pPr>
                        <w:r>
                          <w:rPr>
                            <w:rFonts w:hint="eastAsia" w:ascii="仿宋_GB2312" w:eastAsia="仿宋_GB2312"/>
                          </w:rPr>
                          <w:t>一次抽签加密</w:t>
                        </w:r>
                      </w:p>
                    </w:txbxContent>
                  </v:textbox>
                </v:shape>
                <v:line id="_x0000_s1026" o:spid="_x0000_s1026" o:spt="20" style="position:absolute;left:8325;top:4779;height:240;width:1;" filled="f" stroked="t" coordsize="21600,21600" o:gfxdata="UEsDBAoAAAAAAIdO4kAAAAAAAAAAAAAAAAAEAAAAZHJzL1BLAwQUAAAACACHTuJATg1uT70AAADb&#10;AAAADwAAAGRycy9kb3ducmV2LnhtbEWPzWrDMBCE74W8g9hAb43kh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DW5P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shape id="_x0000_s1026" o:spid="_x0000_s1026" o:spt="176" type="#_x0000_t176" style="position:absolute;left:7142;top:5830;height:524;width:2385;" filled="f" stroked="t" coordsize="21600,21600" o:gfxdata="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YJfZb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31FCC2F7">
                        <w:pPr>
                          <w:spacing w:line="240" w:lineRule="exact"/>
                          <w:ind w:firstLine="480"/>
                          <w:jc w:val="center"/>
                        </w:pPr>
                        <w:r>
                          <w:rPr>
                            <w:rFonts w:hint="eastAsia" w:ascii="仿宋_GB2312" w:eastAsia="仿宋_GB2312"/>
                          </w:rPr>
                          <w:t>确定参赛编号</w:t>
                        </w:r>
                      </w:p>
                    </w:txbxContent>
                  </v:textbox>
                </v:shape>
                <v:line id="_x0000_s1026" o:spid="_x0000_s1026" o:spt="20" style="position:absolute;left:8340;top:5574;height:240;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8355;top:6369;height:240;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shape id="_x0000_s1026" o:spid="_x0000_s1026" o:spt="176" type="#_x0000_t176" style="position:absolute;left:7157;top:6625;height:524;width:2385;" filled="f" stroked="t" coordsize="21600,21600" o:gfxdata="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m20bLUAAADbAAAADwAA&#10;AAAAAAABACAAAAAiAAAAZHJzL2Rvd25yZXYueG1sUEsBAhQAFAAAAAgAh07iQDMvBZ47AAAAOQAA&#10;ABAAAAAAAAAAAQAgAAAABAEAAGRycy9zaGFwZXhtbC54bWxQSwUGAAAAAAYABgBbAQAArgMAAAAA&#10;">
                  <v:fill on="f" focussize="0,0"/>
                  <v:stroke weight="1.25pt" color="#000000" joinstyle="miter"/>
                  <v:imagedata o:title=""/>
                  <o:lock v:ext="edit" aspectratio="f"/>
                  <v:textbox>
                    <w:txbxContent>
                      <w:p w14:paraId="74138FCC">
                        <w:pPr>
                          <w:spacing w:line="240" w:lineRule="exact"/>
                          <w:ind w:firstLine="480"/>
                          <w:jc w:val="center"/>
                        </w:pPr>
                        <w:r>
                          <w:rPr>
                            <w:rFonts w:hint="eastAsia" w:ascii="仿宋_GB2312" w:eastAsia="仿宋_GB2312"/>
                          </w:rPr>
                          <w:t>二次抽签加密</w:t>
                        </w:r>
                      </w:p>
                    </w:txbxContent>
                  </v:textbox>
                </v:shape>
                <v:line id="_x0000_s1026" o:spid="_x0000_s1026" o:spt="20" style="position:absolute;left:8370;top:7149;height:240;width:1;"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shape id="_x0000_s1026" o:spid="_x0000_s1026" o:spt="176" type="#_x0000_t176" style="position:absolute;left:7172;top:7405;height:524;width:2385;" filled="f" stroked="t" coordsize="21600,21600" o:gfxdata="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OPg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520F9255">
                        <w:pPr>
                          <w:spacing w:line="240" w:lineRule="exact"/>
                          <w:ind w:firstLine="480"/>
                          <w:jc w:val="center"/>
                          <w:rPr>
                            <w:rFonts w:ascii="仿宋_GB2312" w:eastAsia="仿宋_GB2312"/>
                          </w:rPr>
                        </w:pPr>
                        <w:r>
                          <w:rPr>
                            <w:rFonts w:hint="eastAsia" w:ascii="仿宋_GB2312" w:eastAsia="仿宋_GB2312"/>
                          </w:rPr>
                          <w:t>确定工位号</w:t>
                        </w:r>
                      </w:p>
                    </w:txbxContent>
                  </v:textbox>
                </v:shape>
                <v:line id="_x0000_s1026" o:spid="_x0000_s1026" o:spt="20" style="position:absolute;left:8385;top:7944;height:240;width:1;" filled="f" stroked="t" coordsize="21600,21600" o:gfxdata="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8vqq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shape id="_x0000_s1026" o:spid="_x0000_s1026" o:spt="176" type="#_x0000_t176" style="position:absolute;left:7187;top:8200;height:524;width:2385;" filled="f" stroked="t" coordsize="21600,21600" o:gfxdata="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ayb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418174BB">
                        <w:pPr>
                          <w:spacing w:line="240" w:lineRule="exact"/>
                          <w:ind w:firstLine="240" w:firstLineChars="100"/>
                        </w:pPr>
                        <w:r>
                          <w:rPr>
                            <w:rFonts w:hint="eastAsia" w:ascii="仿宋_GB2312" w:eastAsia="仿宋_GB2312"/>
                          </w:rPr>
                          <w:t>成绩评定与复核</w:t>
                        </w:r>
                      </w:p>
                    </w:txbxContent>
                  </v:textbox>
                </v:shape>
                <v:line id="_x0000_s1026" o:spid="_x0000_s1026" o:spt="20" style="position:absolute;left:8385;top:8739;height:240;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shape id="_x0000_s1026" o:spid="_x0000_s1026" o:spt="176" type="#_x0000_t176" style="position:absolute;left:7187;top:8995;height:524;width:2385;" filled="f" stroked="t" coordsize="21600,21600" o:gfxdata="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Jg7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14:paraId="59B026C0">
                        <w:pPr>
                          <w:spacing w:line="240" w:lineRule="exact"/>
                          <w:ind w:firstLine="480"/>
                          <w:jc w:val="center"/>
                          <w:rPr>
                            <w:rFonts w:ascii="仿宋_GB2312" w:eastAsia="仿宋_GB2312"/>
                          </w:rPr>
                        </w:pPr>
                        <w:r>
                          <w:rPr>
                            <w:rFonts w:hint="eastAsia" w:ascii="仿宋_GB2312" w:eastAsia="仿宋_GB2312"/>
                          </w:rPr>
                          <w:t>加密信息解密</w:t>
                        </w:r>
                      </w:p>
                    </w:txbxContent>
                  </v:textbox>
                </v:shape>
                <v:line id="_x0000_s1026" o:spid="_x0000_s1026" o:spt="20" style="position:absolute;left:8385;top:9534;height:240;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shape id="_x0000_s1026" o:spid="_x0000_s1026" o:spt="3" type="#_x0000_t3" style="position:absolute;left:7233;top:9792;height:553;width:2325;" filled="f" stroked="t" coordsize="21600,21600" o:gfxdata="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fhRxq2AAAA2wAAAA8A&#10;AAAAAAAAAQAgAAAAIgAAAGRycy9kb3ducmV2LnhtbFBLAQIUABQAAAAIAIdO4kAzLwWeOwAAADkA&#10;AAAQAAAAAAAAAAEAIAAAAAUBAABkcnMvc2hhcGV4bWwueG1sUEsFBgAAAAAGAAYAWwEAAK8DAAAA&#10;AA==&#10;">
                  <v:fill on="f" focussize="0,0"/>
                  <v:stroke weight="1.25pt" color="#000000" joinstyle="round"/>
                  <v:imagedata o:title=""/>
                  <o:lock v:ext="edit" aspectratio="f"/>
                  <v:textbox>
                    <w:txbxContent>
                      <w:p w14:paraId="249CC210">
                        <w:pPr>
                          <w:spacing w:line="240" w:lineRule="exact"/>
                          <w:ind w:firstLine="360" w:firstLineChars="150"/>
                          <w:rPr>
                            <w:rFonts w:ascii="仿宋_GB2312" w:eastAsia="仿宋_GB2312"/>
                          </w:rPr>
                        </w:pPr>
                        <w:r>
                          <w:rPr>
                            <w:rFonts w:hint="eastAsia" w:ascii="仿宋_GB2312" w:eastAsia="仿宋_GB2312"/>
                          </w:rPr>
                          <w:t>成绩公布</w:t>
                        </w:r>
                      </w:p>
                    </w:txbxContent>
                  </v:textbox>
                </v:shape>
              </v:group>
            </w:pict>
          </mc:Fallback>
        </mc:AlternateContent>
      </w:r>
    </w:p>
    <w:p w14:paraId="39F888B9">
      <w:pPr>
        <w:snapToGrid w:val="0"/>
        <w:spacing w:line="560" w:lineRule="exact"/>
        <w:ind w:firstLine="480"/>
        <w:jc w:val="center"/>
        <w:rPr>
          <w:rFonts w:hint="eastAsia" w:ascii="仿宋" w:hAnsi="仿宋" w:eastAsia="仿宋" w:cs="仿宋"/>
          <w:color w:val="000000"/>
        </w:rPr>
      </w:pPr>
    </w:p>
    <w:p w14:paraId="56D0A085">
      <w:pPr>
        <w:snapToGrid w:val="0"/>
        <w:spacing w:line="560" w:lineRule="exact"/>
        <w:ind w:firstLine="480"/>
        <w:jc w:val="center"/>
        <w:rPr>
          <w:rFonts w:hint="eastAsia" w:ascii="仿宋" w:hAnsi="仿宋" w:eastAsia="仿宋" w:cs="仿宋"/>
          <w:color w:val="000000"/>
        </w:rPr>
      </w:pPr>
    </w:p>
    <w:p w14:paraId="254E1C97">
      <w:pPr>
        <w:snapToGrid w:val="0"/>
        <w:spacing w:line="560" w:lineRule="exact"/>
        <w:ind w:firstLine="480"/>
        <w:jc w:val="center"/>
        <w:rPr>
          <w:rFonts w:hint="eastAsia" w:ascii="仿宋" w:hAnsi="仿宋" w:eastAsia="仿宋" w:cs="仿宋"/>
          <w:color w:val="000000"/>
        </w:rPr>
      </w:pPr>
    </w:p>
    <w:p w14:paraId="52844EFB">
      <w:pPr>
        <w:snapToGrid w:val="0"/>
        <w:spacing w:line="560" w:lineRule="exact"/>
        <w:ind w:firstLine="480"/>
        <w:jc w:val="center"/>
        <w:rPr>
          <w:rFonts w:hint="eastAsia" w:ascii="仿宋" w:hAnsi="仿宋" w:eastAsia="仿宋" w:cs="仿宋"/>
          <w:color w:val="000000"/>
        </w:rPr>
      </w:pPr>
    </w:p>
    <w:p w14:paraId="58FBE2D1">
      <w:pPr>
        <w:snapToGrid w:val="0"/>
        <w:spacing w:line="560" w:lineRule="exact"/>
        <w:ind w:firstLine="480"/>
        <w:jc w:val="center"/>
        <w:rPr>
          <w:rFonts w:hint="eastAsia" w:ascii="仿宋" w:hAnsi="仿宋" w:eastAsia="仿宋" w:cs="仿宋"/>
          <w:color w:val="000000"/>
        </w:rPr>
      </w:pPr>
    </w:p>
    <w:p w14:paraId="43F67814">
      <w:pPr>
        <w:snapToGrid w:val="0"/>
        <w:spacing w:line="560" w:lineRule="exact"/>
        <w:ind w:firstLine="480"/>
        <w:jc w:val="center"/>
        <w:rPr>
          <w:rFonts w:hint="eastAsia" w:ascii="仿宋" w:hAnsi="仿宋" w:eastAsia="仿宋" w:cs="仿宋"/>
          <w:color w:val="000000"/>
        </w:rPr>
      </w:pPr>
    </w:p>
    <w:p w14:paraId="091460DF">
      <w:pPr>
        <w:snapToGrid w:val="0"/>
        <w:spacing w:line="560" w:lineRule="exact"/>
        <w:ind w:firstLine="480"/>
        <w:jc w:val="center"/>
        <w:rPr>
          <w:rFonts w:hint="eastAsia" w:ascii="仿宋" w:hAnsi="仿宋" w:eastAsia="仿宋" w:cs="仿宋"/>
          <w:color w:val="000000"/>
        </w:rPr>
      </w:pPr>
    </w:p>
    <w:p w14:paraId="0672DCCA">
      <w:pPr>
        <w:snapToGrid w:val="0"/>
        <w:spacing w:line="560" w:lineRule="exact"/>
        <w:ind w:firstLine="480"/>
        <w:jc w:val="center"/>
        <w:rPr>
          <w:rFonts w:hint="eastAsia" w:ascii="仿宋" w:hAnsi="仿宋" w:eastAsia="仿宋" w:cs="仿宋"/>
          <w:color w:val="000000"/>
        </w:rPr>
      </w:pPr>
    </w:p>
    <w:p w14:paraId="4AB5407F">
      <w:pPr>
        <w:snapToGrid w:val="0"/>
        <w:spacing w:line="560" w:lineRule="exact"/>
        <w:ind w:firstLine="480"/>
        <w:jc w:val="center"/>
        <w:rPr>
          <w:rFonts w:hint="eastAsia" w:ascii="仿宋" w:hAnsi="仿宋" w:eastAsia="仿宋" w:cs="仿宋"/>
          <w:color w:val="000000"/>
        </w:rPr>
      </w:pPr>
    </w:p>
    <w:p w14:paraId="1EADE9E7">
      <w:pPr>
        <w:snapToGrid w:val="0"/>
        <w:spacing w:line="560" w:lineRule="exact"/>
        <w:ind w:firstLine="480"/>
        <w:jc w:val="center"/>
        <w:rPr>
          <w:rFonts w:hint="eastAsia" w:ascii="仿宋" w:hAnsi="仿宋" w:eastAsia="仿宋" w:cs="仿宋"/>
          <w:color w:val="000000"/>
        </w:rPr>
      </w:pPr>
    </w:p>
    <w:p w14:paraId="5B33F19F">
      <w:pPr>
        <w:snapToGrid w:val="0"/>
        <w:spacing w:line="560" w:lineRule="exact"/>
        <w:ind w:firstLine="480"/>
        <w:jc w:val="center"/>
        <w:rPr>
          <w:rFonts w:hint="eastAsia" w:ascii="仿宋" w:hAnsi="仿宋" w:eastAsia="仿宋" w:cs="仿宋"/>
          <w:color w:val="000000"/>
        </w:rPr>
      </w:pPr>
    </w:p>
    <w:p w14:paraId="793D23C3">
      <w:pPr>
        <w:snapToGrid w:val="0"/>
        <w:spacing w:line="560" w:lineRule="exact"/>
        <w:ind w:firstLine="480"/>
        <w:jc w:val="center"/>
        <w:rPr>
          <w:rFonts w:hint="eastAsia" w:ascii="仿宋" w:hAnsi="仿宋" w:eastAsia="仿宋" w:cs="仿宋"/>
          <w:color w:val="000000"/>
          <w:kern w:val="0"/>
          <w:sz w:val="28"/>
          <w:szCs w:val="28"/>
        </w:rPr>
      </w:pPr>
      <w:r>
        <w:rPr>
          <w:rFonts w:hint="eastAsia" w:ascii="仿宋" w:hAnsi="仿宋" w:eastAsia="仿宋" w:cs="仿宋"/>
          <w:color w:val="000000"/>
        </w:rPr>
        <w:t>成绩管理流程图</w:t>
      </w:r>
    </w:p>
    <w:p w14:paraId="0F23515B">
      <w:pPr>
        <w:snapToGrid w:val="0"/>
        <w:spacing w:line="560" w:lineRule="exact"/>
        <w:ind w:firstLine="480"/>
        <w:jc w:val="center"/>
        <w:rPr>
          <w:rFonts w:hint="eastAsia" w:ascii="仿宋" w:hAnsi="仿宋" w:eastAsia="仿宋" w:cs="仿宋"/>
          <w:color w:val="000000"/>
          <w:kern w:val="0"/>
        </w:rPr>
      </w:pPr>
    </w:p>
    <w:p w14:paraId="099E489F">
      <w:pPr>
        <w:ind w:firstLine="480"/>
        <w:rPr>
          <w:rFonts w:hint="eastAsia" w:ascii="仿宋" w:hAnsi="仿宋" w:eastAsia="仿宋" w:cs="仿宋"/>
        </w:rPr>
      </w:pPr>
      <w:r>
        <w:rPr>
          <w:rFonts w:hint="eastAsia" w:ascii="仿宋" w:hAnsi="仿宋" w:eastAsia="仿宋" w:cs="仿宋"/>
        </w:rPr>
        <w:t>3. 比赛成绩评定</w:t>
      </w:r>
    </w:p>
    <w:p w14:paraId="31B72B03">
      <w:pPr>
        <w:ind w:firstLine="480"/>
        <w:rPr>
          <w:rFonts w:hint="eastAsia" w:ascii="仿宋" w:hAnsi="仿宋" w:eastAsia="仿宋" w:cs="仿宋"/>
          <w:bCs/>
        </w:rPr>
      </w:pPr>
      <w:r>
        <w:rPr>
          <w:rFonts w:hint="eastAsia" w:ascii="仿宋" w:hAnsi="仿宋" w:eastAsia="仿宋" w:cs="仿宋"/>
          <w:bCs/>
        </w:rPr>
        <w:t xml:space="preserve">（1）过程评分   </w:t>
      </w:r>
    </w:p>
    <w:p w14:paraId="7BA23EB2">
      <w:pPr>
        <w:ind w:firstLine="480"/>
        <w:rPr>
          <w:rFonts w:hint="eastAsia" w:ascii="仿宋" w:hAnsi="仿宋" w:eastAsia="仿宋" w:cs="仿宋"/>
          <w:bCs/>
        </w:rPr>
      </w:pPr>
      <w:r>
        <w:rPr>
          <w:rFonts w:hint="eastAsia" w:ascii="仿宋" w:hAnsi="仿宋" w:eastAsia="仿宋" w:cs="仿宋"/>
          <w:bCs/>
        </w:rPr>
        <w:t>由现场裁判依据评分表，对参赛选手的操作规范、职业素养、赛场表现等进行评分。</w:t>
      </w:r>
    </w:p>
    <w:p w14:paraId="5D622F3F">
      <w:pPr>
        <w:ind w:firstLine="480"/>
        <w:rPr>
          <w:rFonts w:hint="eastAsia" w:ascii="仿宋" w:hAnsi="仿宋" w:eastAsia="仿宋" w:cs="仿宋"/>
          <w:bCs/>
        </w:rPr>
      </w:pPr>
      <w:r>
        <w:rPr>
          <w:rFonts w:hint="eastAsia" w:ascii="仿宋" w:hAnsi="仿宋" w:eastAsia="仿宋" w:cs="仿宋"/>
          <w:bCs/>
        </w:rPr>
        <w:t xml:space="preserve">（2）结果评分   </w:t>
      </w:r>
    </w:p>
    <w:p w14:paraId="176E6165">
      <w:pPr>
        <w:ind w:firstLine="480"/>
        <w:rPr>
          <w:rFonts w:hint="eastAsia" w:ascii="仿宋" w:hAnsi="仿宋" w:eastAsia="仿宋" w:cs="仿宋"/>
          <w:bCs/>
        </w:rPr>
      </w:pPr>
      <w:r>
        <w:rPr>
          <w:rFonts w:hint="eastAsia" w:ascii="仿宋" w:hAnsi="仿宋" w:eastAsia="仿宋" w:cs="仿宋"/>
          <w:bCs/>
        </w:rPr>
        <w:t>由评分裁判依据评分表，对参赛选手组装和调试的设备各部件的位置、安装工艺、实现功能等进行评分。</w:t>
      </w:r>
    </w:p>
    <w:p w14:paraId="193ABC92">
      <w:pPr>
        <w:ind w:firstLine="480"/>
        <w:rPr>
          <w:rFonts w:hint="eastAsia" w:ascii="仿宋" w:hAnsi="仿宋" w:eastAsia="仿宋" w:cs="仿宋"/>
          <w:bCs/>
        </w:rPr>
      </w:pPr>
      <w:r>
        <w:rPr>
          <w:rFonts w:hint="eastAsia" w:ascii="仿宋" w:hAnsi="仿宋" w:eastAsia="仿宋" w:cs="仿宋"/>
          <w:bCs/>
        </w:rPr>
        <w:t>（3）违规扣分</w:t>
      </w:r>
    </w:p>
    <w:p w14:paraId="3C7901F7">
      <w:pPr>
        <w:ind w:firstLine="480"/>
        <w:rPr>
          <w:rFonts w:hint="eastAsia" w:ascii="仿宋" w:hAnsi="仿宋" w:eastAsia="仿宋" w:cs="仿宋"/>
          <w:bCs/>
        </w:rPr>
      </w:pPr>
      <w:r>
        <w:rPr>
          <w:rFonts w:hint="eastAsia" w:ascii="仿宋" w:hAnsi="仿宋" w:eastAsia="仿宋" w:cs="仿宋"/>
          <w:bCs/>
        </w:rPr>
        <w:t>选手有下列情形，需从比赛成绩中扣分：</w:t>
      </w:r>
    </w:p>
    <w:p w14:paraId="2FA16D64">
      <w:pPr>
        <w:ind w:firstLine="480"/>
        <w:rPr>
          <w:rFonts w:hint="eastAsia" w:ascii="仿宋" w:hAnsi="仿宋" w:eastAsia="仿宋" w:cs="仿宋"/>
          <w:bCs/>
        </w:rPr>
      </w:pPr>
      <w:r>
        <w:rPr>
          <w:rFonts w:hint="eastAsia" w:ascii="仿宋" w:hAnsi="仿宋" w:eastAsia="仿宋" w:cs="仿宋"/>
          <w:bCs/>
        </w:rPr>
        <w:t>在完成比赛任务的过程中，因操作不当损坏比赛设备，不影响他人比赛，从比赛成绩中扣5分；影响他人比赛，从比赛成绩中扣10分。</w:t>
      </w:r>
    </w:p>
    <w:p w14:paraId="50EC0D45">
      <w:pPr>
        <w:ind w:firstLine="480"/>
        <w:rPr>
          <w:rFonts w:hint="eastAsia" w:ascii="仿宋" w:hAnsi="仿宋" w:eastAsia="仿宋" w:cs="仿宋"/>
        </w:rPr>
      </w:pPr>
      <w:r>
        <w:rPr>
          <w:rFonts w:hint="eastAsia" w:ascii="仿宋" w:hAnsi="仿宋" w:eastAsia="仿宋" w:cs="仿宋"/>
        </w:rPr>
        <w:t>4. 解密</w:t>
      </w:r>
    </w:p>
    <w:p w14:paraId="6599ABF5">
      <w:pPr>
        <w:ind w:firstLine="480"/>
        <w:rPr>
          <w:rFonts w:hint="eastAsia" w:ascii="仿宋" w:hAnsi="仿宋" w:eastAsia="仿宋" w:cs="仿宋"/>
          <w:bCs/>
        </w:rPr>
      </w:pPr>
      <w:r>
        <w:rPr>
          <w:rFonts w:hint="eastAsia" w:ascii="仿宋" w:hAnsi="仿宋" w:eastAsia="仿宋" w:cs="仿宋"/>
          <w:bCs/>
        </w:rPr>
        <w:t>裁判长正式提交工位号评分结果并复核无误后，加密裁判在监督人员监督下对加密结果进行逐层解密。</w:t>
      </w:r>
    </w:p>
    <w:p w14:paraId="07A4A99F">
      <w:pPr>
        <w:ind w:firstLine="480"/>
        <w:rPr>
          <w:rFonts w:hint="eastAsia" w:ascii="仿宋" w:hAnsi="仿宋" w:eastAsia="仿宋" w:cs="仿宋"/>
        </w:rPr>
      </w:pPr>
      <w:r>
        <w:rPr>
          <w:rFonts w:hint="eastAsia" w:ascii="仿宋" w:hAnsi="仿宋" w:eastAsia="仿宋" w:cs="仿宋"/>
        </w:rPr>
        <w:t>5.成绩公布</w:t>
      </w:r>
    </w:p>
    <w:p w14:paraId="63F0386A">
      <w:pPr>
        <w:ind w:firstLine="480"/>
        <w:rPr>
          <w:rFonts w:hint="eastAsia" w:ascii="仿宋" w:hAnsi="仿宋" w:eastAsia="仿宋" w:cs="仿宋"/>
          <w:bCs/>
        </w:rPr>
      </w:pPr>
      <w:r>
        <w:rPr>
          <w:rFonts w:hint="eastAsia" w:ascii="仿宋" w:hAnsi="仿宋" w:eastAsia="仿宋" w:cs="仿宋"/>
          <w:bCs/>
        </w:rPr>
        <w:t>将解密后的各参赛队结果汇总，经裁判长、监督员和专家组长及巡视员签字后，在成绩发布会上公布。</w:t>
      </w:r>
    </w:p>
    <w:p w14:paraId="737A0756">
      <w:pPr>
        <w:pStyle w:val="3"/>
        <w:ind w:firstLine="562"/>
        <w:rPr>
          <w:rFonts w:hint="eastAsia" w:ascii="仿宋" w:hAnsi="仿宋" w:eastAsia="仿宋" w:cs="仿宋"/>
        </w:rPr>
      </w:pPr>
      <w:bookmarkStart w:id="11" w:name="_Toc32253"/>
      <w:r>
        <w:rPr>
          <w:rFonts w:hint="eastAsia" w:ascii="仿宋" w:hAnsi="仿宋" w:eastAsia="仿宋" w:cs="仿宋"/>
        </w:rPr>
        <w:t>七、竞赛环境</w:t>
      </w:r>
      <w:bookmarkEnd w:id="11"/>
    </w:p>
    <w:p w14:paraId="103F3381">
      <w:pPr>
        <w:ind w:firstLine="480"/>
        <w:rPr>
          <w:rFonts w:hint="eastAsia" w:ascii="仿宋" w:hAnsi="仿宋" w:eastAsia="仿宋" w:cs="仿宋"/>
          <w:bCs/>
        </w:rPr>
      </w:pPr>
      <w:r>
        <w:rPr>
          <w:rFonts w:hint="eastAsia" w:ascii="仿宋" w:hAnsi="仿宋" w:eastAsia="仿宋" w:cs="仿宋"/>
          <w:bCs/>
        </w:rPr>
        <w:t>1.室内比赛区域</w:t>
      </w:r>
      <w:r>
        <w:rPr>
          <w:rFonts w:hint="eastAsia" w:ascii="仿宋" w:hAnsi="仿宋" w:eastAsia="仿宋" w:cs="仿宋"/>
          <w:bCs/>
          <w:lang w:val="en-US" w:eastAsia="zh-CN"/>
        </w:rPr>
        <w:t>需</w:t>
      </w:r>
      <w:r>
        <w:rPr>
          <w:rFonts w:hint="eastAsia" w:ascii="仿宋" w:hAnsi="仿宋" w:eastAsia="仿宋" w:cs="仿宋"/>
          <w:bCs/>
        </w:rPr>
        <w:t>采光、照明和通风良好，环境温度、湿度符合设备使用规定，同时满足选手的正常竞赛要求</w:t>
      </w:r>
      <w:r>
        <w:rPr>
          <w:rFonts w:hint="eastAsia" w:ascii="仿宋" w:hAnsi="仿宋" w:eastAsia="仿宋" w:cs="仿宋"/>
          <w:bCs/>
          <w:lang w:val="en-US" w:eastAsia="zh-CN"/>
        </w:rPr>
        <w:t>工位为3m×3m</w:t>
      </w:r>
      <w:r>
        <w:rPr>
          <w:rFonts w:hint="eastAsia" w:ascii="仿宋" w:hAnsi="仿宋" w:eastAsia="仿宋" w:cs="仿宋"/>
          <w:bCs/>
        </w:rPr>
        <w:t>；室外比赛区域长</w:t>
      </w:r>
      <w:r>
        <w:rPr>
          <w:rFonts w:hint="eastAsia" w:ascii="仿宋" w:hAnsi="仿宋" w:eastAsia="仿宋" w:cs="仿宋"/>
          <w:bCs/>
          <w:lang w:val="en-US" w:eastAsia="zh-CN"/>
        </w:rPr>
        <w:t>25</w:t>
      </w:r>
      <w:r>
        <w:rPr>
          <w:rFonts w:hint="eastAsia" w:ascii="仿宋" w:hAnsi="仿宋" w:eastAsia="仿宋" w:cs="仿宋"/>
          <w:bCs/>
        </w:rPr>
        <w:t>m，宽</w:t>
      </w:r>
      <w:r>
        <w:rPr>
          <w:rFonts w:hint="eastAsia" w:ascii="仿宋" w:hAnsi="仿宋" w:eastAsia="仿宋" w:cs="仿宋"/>
          <w:bCs/>
          <w:lang w:val="en-US" w:eastAsia="zh-CN"/>
        </w:rPr>
        <w:t>7</w:t>
      </w:r>
      <w:r>
        <w:rPr>
          <w:rFonts w:hint="eastAsia" w:ascii="仿宋" w:hAnsi="仿宋" w:eastAsia="仿宋" w:cs="仿宋"/>
          <w:bCs/>
        </w:rPr>
        <w:t>m，与室内比赛区域距离较近，方便转场，具有合法空域使用手续、无人空旷符合室外飞行要求。</w:t>
      </w:r>
    </w:p>
    <w:p w14:paraId="6AC82ED7">
      <w:pPr>
        <w:ind w:firstLine="480"/>
        <w:rPr>
          <w:rFonts w:hint="eastAsia" w:ascii="仿宋" w:hAnsi="仿宋" w:eastAsia="仿宋" w:cs="仿宋"/>
          <w:bCs/>
        </w:rPr>
      </w:pPr>
      <w:r>
        <w:rPr>
          <w:rFonts w:hint="eastAsia" w:ascii="仿宋" w:hAnsi="仿宋" w:eastAsia="仿宋" w:cs="仿宋"/>
          <w:bCs/>
        </w:rPr>
        <w:t>2.室内比赛区赛每个赛位布置电脑1台，工位调试桌</w:t>
      </w:r>
      <w:r>
        <w:rPr>
          <w:rFonts w:hint="eastAsia" w:ascii="仿宋" w:hAnsi="仿宋" w:eastAsia="仿宋" w:cs="仿宋"/>
          <w:bCs/>
          <w:lang w:val="en-US" w:eastAsia="zh-CN"/>
        </w:rPr>
        <w:t>4</w:t>
      </w:r>
      <w:r>
        <w:rPr>
          <w:rFonts w:hint="eastAsia" w:ascii="仿宋" w:hAnsi="仿宋" w:eastAsia="仿宋" w:cs="仿宋"/>
          <w:bCs/>
        </w:rPr>
        <w:t>个，赛位间进行隔离、互不干扰，安全网隔离。</w:t>
      </w:r>
    </w:p>
    <w:p w14:paraId="63AC961C">
      <w:pPr>
        <w:ind w:firstLine="480"/>
        <w:rPr>
          <w:rFonts w:hint="eastAsia" w:ascii="仿宋" w:hAnsi="仿宋" w:eastAsia="仿宋" w:cs="仿宋"/>
          <w:bCs/>
        </w:rPr>
      </w:pPr>
      <w:r>
        <w:rPr>
          <w:rFonts w:hint="eastAsia" w:ascii="仿宋" w:hAnsi="仿宋" w:eastAsia="仿宋" w:cs="仿宋"/>
          <w:bCs/>
        </w:rPr>
        <w:t>3.</w:t>
      </w:r>
      <w:r>
        <w:rPr>
          <w:rFonts w:hint="eastAsia" w:ascii="仿宋" w:hAnsi="仿宋" w:eastAsia="仿宋" w:cs="仿宋"/>
          <w:bCs/>
          <w:lang w:val="en-US" w:eastAsia="zh-CN"/>
        </w:rPr>
        <w:t>飞行场地</w:t>
      </w:r>
      <w:r>
        <w:rPr>
          <w:rFonts w:hint="eastAsia" w:ascii="仿宋" w:hAnsi="仿宋" w:eastAsia="仿宋" w:cs="仿宋"/>
          <w:bCs/>
        </w:rPr>
        <w:t>设置</w:t>
      </w:r>
      <w:r>
        <w:rPr>
          <w:rFonts w:hint="eastAsia" w:ascii="仿宋" w:hAnsi="仿宋" w:eastAsia="仿宋" w:cs="仿宋"/>
          <w:bCs/>
          <w:lang w:val="en-US" w:eastAsia="zh-CN"/>
        </w:rPr>
        <w:t>3</w:t>
      </w:r>
      <w:r>
        <w:rPr>
          <w:rFonts w:hint="eastAsia" w:ascii="仿宋" w:hAnsi="仿宋" w:eastAsia="仿宋" w:cs="仿宋"/>
          <w:bCs/>
        </w:rPr>
        <w:t>个赛位</w:t>
      </w:r>
      <w:r>
        <w:rPr>
          <w:rFonts w:hint="eastAsia" w:ascii="仿宋" w:hAnsi="仿宋" w:eastAsia="仿宋" w:cs="仿宋"/>
          <w:bCs/>
          <w:lang w:eastAsia="zh-CN"/>
        </w:rPr>
        <w:t>。</w:t>
      </w:r>
    </w:p>
    <w:p w14:paraId="6B53747C">
      <w:pPr>
        <w:ind w:firstLine="480"/>
        <w:rPr>
          <w:rFonts w:hint="eastAsia" w:ascii="仿宋" w:hAnsi="仿宋" w:eastAsia="仿宋" w:cs="仿宋"/>
          <w:bCs/>
        </w:rPr>
      </w:pPr>
      <w:r>
        <w:rPr>
          <w:rFonts w:hint="eastAsia" w:ascii="仿宋" w:hAnsi="仿宋" w:eastAsia="仿宋" w:cs="仿宋"/>
          <w:bCs/>
        </w:rPr>
        <w:t>4.赛场主通道宽3m，符合紧急疏散要求。</w:t>
      </w:r>
    </w:p>
    <w:p w14:paraId="71EE1D81">
      <w:pPr>
        <w:ind w:firstLine="480"/>
        <w:rPr>
          <w:rFonts w:hint="eastAsia" w:ascii="仿宋" w:hAnsi="仿宋" w:eastAsia="仿宋" w:cs="仿宋"/>
          <w:bCs/>
        </w:rPr>
      </w:pPr>
      <w:r>
        <w:rPr>
          <w:rFonts w:hint="eastAsia" w:ascii="仿宋" w:hAnsi="仿宋" w:eastAsia="仿宋" w:cs="仿宋"/>
          <w:bCs/>
        </w:rPr>
        <w:t>5.赛场提供稳定的水、电、气源和供电应急设备，并有保安、公安、应急管理、设备维修和电力抢险人员待命，以防突发事件。</w:t>
      </w:r>
    </w:p>
    <w:p w14:paraId="013CF7B6">
      <w:pPr>
        <w:ind w:firstLine="480"/>
        <w:rPr>
          <w:rFonts w:hint="eastAsia" w:ascii="仿宋" w:hAnsi="仿宋" w:eastAsia="仿宋" w:cs="仿宋"/>
          <w:bCs/>
        </w:rPr>
      </w:pPr>
      <w:r>
        <w:rPr>
          <w:rFonts w:hint="eastAsia" w:ascii="仿宋" w:hAnsi="仿宋" w:eastAsia="仿宋" w:cs="仿宋"/>
          <w:bCs/>
        </w:rPr>
        <w:t>6.赛场设技术支持、医疗等公共服务区，为选手和赛场人员提供服务。</w:t>
      </w:r>
    </w:p>
    <w:p w14:paraId="269E0C0D">
      <w:pPr>
        <w:pStyle w:val="3"/>
        <w:ind w:firstLine="562"/>
        <w:rPr>
          <w:rFonts w:hint="eastAsia" w:ascii="仿宋" w:hAnsi="仿宋" w:eastAsia="仿宋" w:cs="仿宋"/>
        </w:rPr>
      </w:pPr>
      <w:bookmarkStart w:id="12" w:name="_Toc15343"/>
      <w:r>
        <w:rPr>
          <w:rFonts w:hint="eastAsia" w:ascii="仿宋" w:hAnsi="仿宋" w:eastAsia="仿宋" w:cs="仿宋"/>
        </w:rPr>
        <w:t>八、技术规范</w:t>
      </w:r>
      <w:bookmarkEnd w:id="12"/>
    </w:p>
    <w:p w14:paraId="09DA1B50">
      <w:pPr>
        <w:ind w:firstLine="480"/>
        <w:rPr>
          <w:rFonts w:hint="eastAsia" w:ascii="仿宋" w:hAnsi="仿宋" w:eastAsia="仿宋" w:cs="仿宋"/>
        </w:rPr>
      </w:pPr>
      <w:r>
        <w:rPr>
          <w:rFonts w:hint="eastAsia" w:ascii="仿宋" w:hAnsi="仿宋" w:eastAsia="仿宋" w:cs="仿宋"/>
        </w:rPr>
        <w:t>（一）国际相关标准，国家相关标准和行业相关规章</w:t>
      </w:r>
    </w:p>
    <w:p w14:paraId="4045E46E">
      <w:pPr>
        <w:ind w:firstLine="480"/>
        <w:rPr>
          <w:rFonts w:hint="eastAsia" w:ascii="仿宋" w:hAnsi="仿宋" w:eastAsia="仿宋" w:cs="仿宋"/>
        </w:rPr>
      </w:pPr>
      <w:r>
        <w:rPr>
          <w:rFonts w:hint="eastAsia" w:ascii="仿宋" w:hAnsi="仿宋" w:eastAsia="仿宋" w:cs="仿宋"/>
        </w:rPr>
        <w:t>本赛项遵循以下国际相关标准，国家相关标准和行业相关规章：</w:t>
      </w:r>
    </w:p>
    <w:p w14:paraId="48874621">
      <w:pPr>
        <w:ind w:firstLine="480"/>
        <w:rPr>
          <w:rFonts w:hint="eastAsia" w:ascii="仿宋" w:hAnsi="仿宋" w:eastAsia="仿宋" w:cs="仿宋"/>
        </w:rPr>
      </w:pPr>
      <w:r>
        <w:rPr>
          <w:rFonts w:hint="eastAsia" w:ascii="仿宋" w:hAnsi="仿宋" w:eastAsia="仿宋" w:cs="仿宋"/>
        </w:rPr>
        <w:t>MH/T 2011-2019 《无人机云系统数据规范》</w:t>
      </w:r>
    </w:p>
    <w:p w14:paraId="320F4D0E">
      <w:pPr>
        <w:ind w:firstLine="480"/>
        <w:rPr>
          <w:rFonts w:hint="eastAsia" w:ascii="仿宋" w:hAnsi="仿宋" w:eastAsia="仿宋" w:cs="仿宋"/>
        </w:rPr>
      </w:pPr>
      <w:r>
        <w:rPr>
          <w:rFonts w:hint="eastAsia" w:ascii="仿宋" w:hAnsi="仿宋" w:eastAsia="仿宋" w:cs="仿宋"/>
        </w:rPr>
        <w:t>MH/T 2009-2017 《无人机云系统接口数据规范》</w:t>
      </w:r>
    </w:p>
    <w:p w14:paraId="59A982C6">
      <w:pPr>
        <w:ind w:firstLine="480"/>
        <w:rPr>
          <w:rFonts w:hint="eastAsia" w:ascii="仿宋" w:hAnsi="仿宋" w:eastAsia="仿宋" w:cs="仿宋"/>
        </w:rPr>
      </w:pPr>
      <w:r>
        <w:rPr>
          <w:rFonts w:hint="eastAsia" w:ascii="仿宋" w:hAnsi="仿宋" w:eastAsia="仿宋" w:cs="仿宋"/>
        </w:rPr>
        <w:t>MH/T 2008-2017 《无人机围栏》</w:t>
      </w:r>
    </w:p>
    <w:p w14:paraId="63D9604C">
      <w:pPr>
        <w:ind w:firstLine="480"/>
        <w:rPr>
          <w:rFonts w:hint="eastAsia" w:ascii="仿宋" w:hAnsi="仿宋" w:eastAsia="仿宋" w:cs="仿宋"/>
        </w:rPr>
      </w:pPr>
      <w:r>
        <w:rPr>
          <w:rFonts w:hint="eastAsia" w:ascii="仿宋" w:hAnsi="仿宋" w:eastAsia="仿宋" w:cs="仿宋"/>
        </w:rPr>
        <w:t>CTSO-C213  《无人机系统控制和其它安全关键通信空地链路无线电设备》</w:t>
      </w:r>
    </w:p>
    <w:p w14:paraId="6432511E">
      <w:pPr>
        <w:ind w:firstLine="480"/>
        <w:rPr>
          <w:rFonts w:hint="eastAsia" w:ascii="仿宋" w:hAnsi="仿宋" w:eastAsia="仿宋" w:cs="仿宋"/>
        </w:rPr>
      </w:pPr>
      <w:r>
        <w:rPr>
          <w:rFonts w:hint="eastAsia" w:ascii="仿宋" w:hAnsi="仿宋" w:eastAsia="仿宋" w:cs="仿宋"/>
        </w:rPr>
        <w:t>MH/T 2013-2022  《民用无人驾驶航空器系统分布式操作运行等级划分》</w:t>
      </w:r>
    </w:p>
    <w:p w14:paraId="1700AA0B">
      <w:pPr>
        <w:ind w:firstLine="480"/>
        <w:rPr>
          <w:rFonts w:hint="eastAsia" w:ascii="仿宋" w:hAnsi="仿宋" w:eastAsia="仿宋" w:cs="仿宋"/>
        </w:rPr>
      </w:pPr>
      <w:r>
        <w:rPr>
          <w:rFonts w:hint="eastAsia" w:ascii="仿宋" w:hAnsi="仿宋" w:eastAsia="仿宋" w:cs="仿宋"/>
        </w:rPr>
        <w:t>AC-61-FS-2018-20R2  《民用无人机驾驶员管理规定》</w:t>
      </w:r>
    </w:p>
    <w:p w14:paraId="3222C026">
      <w:pPr>
        <w:ind w:firstLine="480"/>
        <w:rPr>
          <w:rFonts w:hint="eastAsia" w:ascii="仿宋" w:hAnsi="仿宋" w:eastAsia="仿宋" w:cs="仿宋"/>
        </w:rPr>
      </w:pPr>
      <w:r>
        <w:rPr>
          <w:rFonts w:hint="eastAsia" w:ascii="仿宋" w:hAnsi="仿宋" w:eastAsia="仿宋" w:cs="仿宋"/>
        </w:rPr>
        <w:t>ISO 21895:2020  《民用无人驾驶航空器系统分类及分级》</w:t>
      </w:r>
    </w:p>
    <w:p w14:paraId="357B3326">
      <w:pPr>
        <w:ind w:firstLine="480"/>
        <w:rPr>
          <w:rFonts w:hint="eastAsia" w:ascii="仿宋" w:hAnsi="仿宋" w:eastAsia="仿宋" w:cs="仿宋"/>
        </w:rPr>
      </w:pPr>
      <w:r>
        <w:rPr>
          <w:rFonts w:hint="eastAsia" w:ascii="仿宋" w:hAnsi="仿宋" w:eastAsia="仿宋" w:cs="仿宋"/>
        </w:rPr>
        <w:t>GB/T 41351-2022  《机械安全-安全相关无线控制装置通用技术条件》</w:t>
      </w:r>
    </w:p>
    <w:p w14:paraId="3FD79E93">
      <w:pPr>
        <w:ind w:firstLine="480"/>
        <w:rPr>
          <w:rFonts w:hint="eastAsia" w:ascii="仿宋" w:hAnsi="仿宋" w:eastAsia="仿宋" w:cs="仿宋"/>
        </w:rPr>
      </w:pPr>
      <w:r>
        <w:rPr>
          <w:rFonts w:hint="eastAsia" w:ascii="仿宋" w:hAnsi="仿宋" w:eastAsia="仿宋" w:cs="仿宋"/>
        </w:rPr>
        <w:t>ISO9001:2015  《质量管理体系》</w:t>
      </w:r>
    </w:p>
    <w:p w14:paraId="57E8B8C4">
      <w:pPr>
        <w:ind w:firstLine="480"/>
        <w:rPr>
          <w:rFonts w:hint="eastAsia" w:ascii="仿宋" w:hAnsi="仿宋" w:eastAsia="仿宋" w:cs="仿宋"/>
        </w:rPr>
      </w:pPr>
      <w:r>
        <w:rPr>
          <w:rFonts w:hint="eastAsia" w:ascii="仿宋" w:hAnsi="仿宋" w:eastAsia="仿宋" w:cs="仿宋"/>
        </w:rPr>
        <w:t>GB/T9813.1-2016  《微型计算机通用规范》</w:t>
      </w:r>
    </w:p>
    <w:p w14:paraId="5570A176">
      <w:pPr>
        <w:ind w:firstLine="480"/>
        <w:rPr>
          <w:rFonts w:hint="eastAsia" w:ascii="仿宋" w:hAnsi="仿宋" w:eastAsia="仿宋" w:cs="仿宋"/>
        </w:rPr>
      </w:pPr>
      <w:r>
        <w:rPr>
          <w:rFonts w:hint="eastAsia" w:ascii="仿宋" w:hAnsi="仿宋" w:eastAsia="仿宋" w:cs="仿宋"/>
        </w:rPr>
        <w:t>（二）专业技能要求</w:t>
      </w:r>
    </w:p>
    <w:p w14:paraId="739E02CE">
      <w:pPr>
        <w:ind w:firstLine="480"/>
        <w:rPr>
          <w:rFonts w:hint="eastAsia" w:ascii="仿宋" w:hAnsi="仿宋" w:eastAsia="仿宋" w:cs="仿宋"/>
        </w:rPr>
      </w:pPr>
      <w:r>
        <w:rPr>
          <w:rFonts w:hint="eastAsia" w:ascii="仿宋" w:hAnsi="仿宋" w:eastAsia="仿宋" w:cs="仿宋"/>
        </w:rPr>
        <w:t>1.智能飞行器行业相关技术规范；</w:t>
      </w:r>
    </w:p>
    <w:p w14:paraId="738F540A">
      <w:pPr>
        <w:ind w:firstLine="480"/>
        <w:rPr>
          <w:rFonts w:hint="eastAsia" w:ascii="仿宋" w:hAnsi="仿宋" w:eastAsia="仿宋" w:cs="仿宋"/>
        </w:rPr>
      </w:pPr>
      <w:r>
        <w:rPr>
          <w:rFonts w:hint="eastAsia" w:ascii="仿宋" w:hAnsi="仿宋" w:eastAsia="仿宋" w:cs="仿宋"/>
        </w:rPr>
        <w:t>2.嵌入式应用程序编写能力、传感器应用能力；</w:t>
      </w:r>
    </w:p>
    <w:p w14:paraId="006042ED">
      <w:pPr>
        <w:ind w:firstLine="480"/>
        <w:rPr>
          <w:rFonts w:hint="eastAsia" w:ascii="仿宋" w:hAnsi="仿宋" w:eastAsia="仿宋" w:cs="仿宋"/>
        </w:rPr>
      </w:pPr>
      <w:r>
        <w:rPr>
          <w:rFonts w:hint="eastAsia" w:ascii="仿宋" w:hAnsi="仿宋" w:eastAsia="仿宋" w:cs="仿宋"/>
        </w:rPr>
        <w:t>3.选型、设计、装配、调试应用能力；</w:t>
      </w:r>
    </w:p>
    <w:p w14:paraId="2182BF7B">
      <w:pPr>
        <w:ind w:firstLine="480"/>
        <w:rPr>
          <w:rFonts w:hint="eastAsia" w:ascii="仿宋" w:hAnsi="仿宋" w:eastAsia="仿宋" w:cs="仿宋"/>
        </w:rPr>
      </w:pPr>
      <w:r>
        <w:rPr>
          <w:rFonts w:hint="eastAsia" w:ascii="仿宋" w:hAnsi="仿宋" w:eastAsia="仿宋" w:cs="仿宋"/>
        </w:rPr>
        <w:t>4.电子测量技术与仪器应用能力；</w:t>
      </w:r>
    </w:p>
    <w:p w14:paraId="50194BA8">
      <w:pPr>
        <w:ind w:firstLine="480"/>
        <w:rPr>
          <w:rFonts w:hint="eastAsia" w:ascii="仿宋" w:hAnsi="仿宋" w:eastAsia="仿宋" w:cs="仿宋"/>
        </w:rPr>
      </w:pPr>
      <w:r>
        <w:rPr>
          <w:rFonts w:hint="eastAsia" w:ascii="仿宋" w:hAnsi="仿宋" w:eastAsia="仿宋" w:cs="仿宋"/>
        </w:rPr>
        <w:t>5.电子电路设计与工艺应用能力；</w:t>
      </w:r>
    </w:p>
    <w:p w14:paraId="5DF8346D">
      <w:pPr>
        <w:ind w:firstLine="480"/>
        <w:rPr>
          <w:rFonts w:hint="eastAsia" w:ascii="仿宋" w:hAnsi="仿宋" w:eastAsia="仿宋" w:cs="仿宋"/>
        </w:rPr>
      </w:pPr>
      <w:r>
        <w:rPr>
          <w:rFonts w:hint="eastAsia" w:ascii="仿宋" w:hAnsi="仿宋" w:eastAsia="仿宋" w:cs="仿宋"/>
        </w:rPr>
        <w:t>6.</w:t>
      </w:r>
      <w:r>
        <w:rPr>
          <w:rFonts w:hint="eastAsia" w:ascii="仿宋" w:hAnsi="仿宋" w:eastAsia="仿宋" w:cs="仿宋"/>
          <w:lang w:val="en-US" w:eastAsia="zh-CN"/>
        </w:rPr>
        <w:t>无人机检测维修</w:t>
      </w:r>
      <w:r>
        <w:rPr>
          <w:rFonts w:hint="eastAsia" w:ascii="仿宋" w:hAnsi="仿宋" w:eastAsia="仿宋" w:cs="仿宋"/>
        </w:rPr>
        <w:t>能力；</w:t>
      </w:r>
    </w:p>
    <w:p w14:paraId="5A09139F">
      <w:pPr>
        <w:ind w:firstLine="480"/>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无人机操控飞行</w:t>
      </w:r>
      <w:r>
        <w:rPr>
          <w:rFonts w:hint="eastAsia" w:ascii="仿宋" w:hAnsi="仿宋" w:eastAsia="仿宋" w:cs="仿宋"/>
        </w:rPr>
        <w:t>能力；</w:t>
      </w:r>
    </w:p>
    <w:p w14:paraId="08695694">
      <w:pPr>
        <w:ind w:firstLine="480"/>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.团队协作和科技创新能力。</w:t>
      </w:r>
    </w:p>
    <w:p w14:paraId="7B77CEA1">
      <w:pPr>
        <w:ind w:firstLine="480"/>
        <w:rPr>
          <w:rFonts w:hint="eastAsia" w:ascii="仿宋" w:hAnsi="仿宋" w:eastAsia="仿宋" w:cs="仿宋"/>
          <w:vertAlign w:val="baseline"/>
          <w:lang w:val="en-US" w:eastAsia="zh-CN"/>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rPr>
        <w:t>对接产业行业、对应岗位（群）及核心能力</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033"/>
        <w:gridCol w:w="4078"/>
      </w:tblGrid>
      <w:tr w14:paraId="7446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2C8CBB6C">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产业行业</w:t>
            </w:r>
          </w:p>
        </w:tc>
        <w:tc>
          <w:tcPr>
            <w:tcW w:w="2033" w:type="dxa"/>
            <w:vAlign w:val="center"/>
          </w:tcPr>
          <w:p w14:paraId="47099663">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岗位（群）</w:t>
            </w:r>
          </w:p>
        </w:tc>
        <w:tc>
          <w:tcPr>
            <w:tcW w:w="4078" w:type="dxa"/>
            <w:vAlign w:val="center"/>
          </w:tcPr>
          <w:p w14:paraId="4C7F8F26">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核心能力</w:t>
            </w:r>
            <w:r>
              <w:rPr>
                <w:rFonts w:hint="eastAsia" w:ascii="仿宋" w:hAnsi="仿宋" w:eastAsia="仿宋" w:cs="仿宋"/>
                <w:b/>
                <w:bCs/>
                <w:kern w:val="2"/>
                <w:sz w:val="24"/>
                <w:szCs w:val="24"/>
                <w:vertAlign w:val="baseline"/>
                <w:lang w:val="en-US" w:eastAsia="zh-CN" w:bidi="ar-SA"/>
              </w:rPr>
              <w:br w:type="textWrapping"/>
            </w:r>
            <w:r>
              <w:rPr>
                <w:rFonts w:hint="eastAsia" w:ascii="仿宋" w:hAnsi="仿宋" w:eastAsia="仿宋" w:cs="仿宋"/>
                <w:b w:val="0"/>
                <w:bCs w:val="0"/>
                <w:kern w:val="2"/>
                <w:sz w:val="22"/>
                <w:szCs w:val="22"/>
                <w:vertAlign w:val="baseline"/>
                <w:lang w:val="en-US" w:eastAsia="zh-CN" w:bidi="ar-SA"/>
              </w:rPr>
              <w:t>对应每个岗位（群），明确核心能力要求</w:t>
            </w:r>
          </w:p>
        </w:tc>
      </w:tr>
      <w:tr w14:paraId="7F28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Merge w:val="restart"/>
            <w:vAlign w:val="center"/>
          </w:tcPr>
          <w:p w14:paraId="232FF8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低空经济与无人机应用服务业</w:t>
            </w:r>
          </w:p>
          <w:p w14:paraId="3FFFD9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（涵盖无人机研发制造、技术服务和行业应用）</w:t>
            </w:r>
          </w:p>
        </w:tc>
        <w:tc>
          <w:tcPr>
            <w:tcW w:w="2033" w:type="dxa"/>
            <w:vAlign w:val="center"/>
          </w:tcPr>
          <w:p w14:paraId="1FA0D2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无人机作业与操控岗（如：无人机飞手/驾驶员、航测/航拍工程师、植保飞防师、巡检工程师）</w:t>
            </w:r>
          </w:p>
        </w:tc>
        <w:tc>
          <w:tcPr>
            <w:tcW w:w="4078" w:type="dxa"/>
          </w:tcPr>
          <w:p w14:paraId="0B39C7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1.具备扎实的航空法规与安全意识，持有CAAC颁发的相应类别无人机驾驶员执照，能独立完成空域申报与飞行报备。</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2.熟练掌握多旋翼、固定翼等主流无人机的起降、航线飞行、精准作业与特情处置等高级操控技能。</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3.能够根据测绘、巡检、航拍、植保等不同任务需求，利用专业软件进行任务规划、航线设计与优化。</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4.具备行业应用基础知识，能理解并执行测绘、农业、电力、安防等特定行业的作业规范与数据采集标准。</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5.具备良好的天气研判、现场环境评估与风险防控能力，确保飞行作业安全。</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6.具备团队协作能力，能有效与任务成员、客户及相关空管部门沟通。</w:t>
            </w:r>
          </w:p>
        </w:tc>
      </w:tr>
      <w:tr w14:paraId="240F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Merge w:val="continue"/>
          </w:tcPr>
          <w:p w14:paraId="55AAB9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p>
        </w:tc>
        <w:tc>
          <w:tcPr>
            <w:tcW w:w="2033" w:type="dxa"/>
            <w:vAlign w:val="center"/>
          </w:tcPr>
          <w:p w14:paraId="6C0787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无人机技术支持与维护岗</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（如：无人机装配调试员、维护维修工程师、售后服务工程师、任务载荷工程师）</w:t>
            </w:r>
          </w:p>
        </w:tc>
        <w:tc>
          <w:tcPr>
            <w:tcW w:w="4078" w:type="dxa"/>
          </w:tcPr>
          <w:p w14:paraId="5001FA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1.掌握无人机系统组成、飞行原理及电气、机械、通信基础知识，能识读电路图和机械装配图。</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2.熟练掌握无人机的整机组装、系统联调、性能测试及出厂检验的标准流程与技能。</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3.具备无人机及其核心部件（如飞控、动力系统、任务载荷）的日常保养、故障诊断与维修能力。</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4.能熟练使用万用表、示波器等常用检测工具及专业调试软件，进行系统校准与参数设置。</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5.掌握常见任务载荷（如可见光相机、多光谱传感器、喷洒系统）的安装、调试与维护技能。</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6.具备良好的客户服务意识与现场问题解决能力，能提供及时有效的技术支持和培训。</w:t>
            </w:r>
          </w:p>
        </w:tc>
      </w:tr>
      <w:tr w14:paraId="1C69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41CD15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通用核心能力要求</w:t>
            </w:r>
          </w:p>
        </w:tc>
        <w:tc>
          <w:tcPr>
            <w:tcW w:w="2033" w:type="dxa"/>
            <w:vAlign w:val="center"/>
          </w:tcPr>
          <w:p w14:paraId="4A8165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适用于所有岗位群</w:t>
            </w:r>
          </w:p>
        </w:tc>
        <w:tc>
          <w:tcPr>
            <w:tcW w:w="4078" w:type="dxa"/>
            <w:vAlign w:val="center"/>
          </w:tcPr>
          <w:p w14:paraId="70DCD2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1.严格遵守国家《无人驾驶航空器飞行管理暂行条例》等相关法律法规，恪守职业道德与安全底线。</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2.具备良好的身体素质和心理素质，能在户外、高空作业等压力环境下稳定工作。</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3.具备基本的数据处理与信息技术能力，能运用专业软件处理航拍影像、生成正射影像图或巡检报告。</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4.具备较强的学习能力与创新意识，能跟踪低空经济与无人机技术的最新发展动态。</w:t>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t>5.具备环境保护与可持续发展意识，在作业中注重减少对环境的影响。</w:t>
            </w:r>
          </w:p>
        </w:tc>
      </w:tr>
    </w:tbl>
    <w:p w14:paraId="2BEE1D4A">
      <w:pPr>
        <w:pStyle w:val="3"/>
        <w:ind w:firstLine="562"/>
        <w:rPr>
          <w:rFonts w:hint="eastAsia" w:ascii="仿宋" w:hAnsi="仿宋" w:eastAsia="仿宋" w:cs="仿宋"/>
        </w:rPr>
      </w:pPr>
      <w:bookmarkStart w:id="13" w:name="_Toc25557"/>
      <w:r>
        <w:rPr>
          <w:rFonts w:hint="eastAsia" w:ascii="仿宋" w:hAnsi="仿宋" w:eastAsia="仿宋" w:cs="仿宋"/>
        </w:rPr>
        <w:t>九、技术平台</w:t>
      </w:r>
      <w:bookmarkEnd w:id="13"/>
    </w:p>
    <w:p w14:paraId="2B521704">
      <w:pPr>
        <w:ind w:firstLine="480"/>
        <w:rPr>
          <w:rFonts w:hint="eastAsia" w:ascii="仿宋" w:hAnsi="仿宋" w:eastAsia="仿宋" w:cs="仿宋"/>
        </w:rPr>
      </w:pPr>
      <w:r>
        <w:rPr>
          <w:rFonts w:hint="eastAsia" w:ascii="仿宋" w:hAnsi="仿宋" w:eastAsia="仿宋" w:cs="仿宋"/>
        </w:rPr>
        <w:t>本赛项技术平台包括</w:t>
      </w:r>
      <w:r>
        <w:rPr>
          <w:rFonts w:hint="eastAsia" w:ascii="仿宋" w:hAnsi="仿宋" w:eastAsia="仿宋" w:cs="仿宋"/>
          <w:lang w:val="en-US" w:eastAsia="zh-CN"/>
        </w:rPr>
        <w:t>无人机</w:t>
      </w:r>
      <w:r>
        <w:rPr>
          <w:rFonts w:hint="eastAsia" w:ascii="仿宋" w:hAnsi="仿宋" w:eastAsia="仿宋" w:cs="仿宋"/>
        </w:rPr>
        <w:t>组装调试平台、</w:t>
      </w:r>
      <w:r>
        <w:rPr>
          <w:rFonts w:hint="eastAsia" w:ascii="仿宋" w:hAnsi="仿宋" w:eastAsia="仿宋" w:cs="仿宋"/>
          <w:lang w:val="en-US" w:eastAsia="zh-CN"/>
        </w:rPr>
        <w:t>无人机检测维修平台、</w:t>
      </w:r>
      <w:r>
        <w:rPr>
          <w:rFonts w:hint="eastAsia" w:ascii="仿宋" w:hAnsi="仿宋" w:eastAsia="仿宋" w:cs="仿宋"/>
        </w:rPr>
        <w:t>典型场景应用平台和赛场竞赛电脑。</w:t>
      </w:r>
    </w:p>
    <w:p w14:paraId="306EA274">
      <w:pPr>
        <w:ind w:firstLine="480"/>
        <w:rPr>
          <w:rFonts w:hint="eastAsia" w:ascii="仿宋" w:hAnsi="仿宋" w:eastAsia="仿宋" w:cs="仿宋"/>
          <w:lang w:val="en-US" w:eastAsia="zh-CN"/>
        </w:rPr>
      </w:pPr>
      <w:r>
        <w:rPr>
          <w:rFonts w:hint="eastAsia" w:ascii="仿宋" w:hAnsi="仿宋" w:eastAsia="仿宋" w:cs="仿宋"/>
          <w:lang w:val="en-US" w:eastAsia="zh-CN"/>
        </w:rPr>
        <w:t>无人机</w:t>
      </w:r>
      <w:r>
        <w:rPr>
          <w:rFonts w:hint="eastAsia" w:ascii="仿宋" w:hAnsi="仿宋" w:eastAsia="仿宋" w:cs="仿宋"/>
        </w:rPr>
        <w:t>组装调试平台提供</w:t>
      </w:r>
      <w:r>
        <w:rPr>
          <w:rFonts w:hint="eastAsia" w:ascii="仿宋" w:hAnsi="仿宋" w:eastAsia="仿宋" w:cs="仿宋"/>
          <w:lang w:val="en-US" w:eastAsia="zh-CN"/>
        </w:rPr>
        <w:t>一</w:t>
      </w:r>
      <w:r>
        <w:rPr>
          <w:rFonts w:hint="eastAsia" w:ascii="仿宋" w:hAnsi="仿宋" w:eastAsia="仿宋" w:cs="仿宋"/>
        </w:rPr>
        <w:t>款电机和电调，</w:t>
      </w:r>
      <w:r>
        <w:rPr>
          <w:rFonts w:hint="eastAsia" w:ascii="仿宋" w:hAnsi="仿宋" w:eastAsia="仿宋" w:cs="仿宋"/>
          <w:lang w:val="en-US" w:eastAsia="zh-CN"/>
        </w:rPr>
        <w:t>一</w:t>
      </w:r>
      <w:r>
        <w:rPr>
          <w:rFonts w:hint="eastAsia" w:ascii="仿宋" w:hAnsi="仿宋" w:eastAsia="仿宋" w:cs="仿宋"/>
        </w:rPr>
        <w:t>款型号的螺旋桨，</w:t>
      </w:r>
      <w:r>
        <w:rPr>
          <w:rFonts w:hint="eastAsia" w:ascii="仿宋" w:hAnsi="仿宋" w:eastAsia="仿宋" w:cs="仿宋"/>
          <w:lang w:val="en-US" w:eastAsia="zh-CN"/>
        </w:rPr>
        <w:t>一</w:t>
      </w:r>
      <w:r>
        <w:rPr>
          <w:rFonts w:hint="eastAsia" w:ascii="仿宋" w:hAnsi="仿宋" w:eastAsia="仿宋" w:cs="仿宋"/>
        </w:rPr>
        <w:t>款机架，配套飞控及电池等，具备</w:t>
      </w:r>
      <w:r>
        <w:rPr>
          <w:rFonts w:hint="eastAsia" w:ascii="仿宋" w:hAnsi="仿宋" w:eastAsia="仿宋" w:cs="仿宋"/>
          <w:lang w:val="en-US" w:eastAsia="zh-CN"/>
        </w:rPr>
        <w:t>无人机</w:t>
      </w:r>
      <w:r>
        <w:rPr>
          <w:rFonts w:hint="eastAsia" w:ascii="仿宋" w:hAnsi="仿宋" w:eastAsia="仿宋" w:cs="仿宋"/>
        </w:rPr>
        <w:t>组装调试、飞行操控等功能模块。</w:t>
      </w:r>
      <w:r>
        <w:rPr>
          <w:rFonts w:hint="eastAsia" w:ascii="仿宋" w:hAnsi="仿宋" w:eastAsia="仿宋" w:cs="仿宋"/>
          <w:lang w:val="en-US" w:eastAsia="zh-CN"/>
        </w:rPr>
        <w:t>无人机检测维修平台为无人机检测维修箱。</w:t>
      </w:r>
    </w:p>
    <w:p w14:paraId="464C0CAF">
      <w:pPr>
        <w:ind w:firstLine="480"/>
        <w:rPr>
          <w:rFonts w:hint="eastAsia" w:ascii="仿宋" w:hAnsi="仿宋" w:eastAsia="仿宋" w:cs="仿宋"/>
          <w:lang w:val="en-US" w:eastAsia="zh-CN"/>
        </w:rPr>
      </w:pPr>
      <w:r>
        <w:rPr>
          <w:rFonts w:hint="eastAsia" w:ascii="仿宋" w:hAnsi="仿宋" w:eastAsia="仿宋" w:cs="仿宋"/>
        </w:rPr>
        <w:t>典型场景应用竞赛平台为大疆创新经纬</w:t>
      </w:r>
      <w:r>
        <w:rPr>
          <w:rFonts w:hint="eastAsia" w:ascii="仿宋" w:hAnsi="仿宋" w:eastAsia="仿宋" w:cs="仿宋"/>
          <w:spacing w:val="0"/>
        </w:rPr>
        <w:t>M350 RTK</w:t>
      </w:r>
      <w:r>
        <w:rPr>
          <w:rFonts w:hint="eastAsia" w:ascii="仿宋" w:hAnsi="仿宋" w:eastAsia="仿宋" w:cs="仿宋"/>
        </w:rPr>
        <w:t>，同时搭载大疆创新禅思H</w:t>
      </w:r>
      <w:r>
        <w:rPr>
          <w:rFonts w:hint="eastAsia" w:ascii="仿宋" w:hAnsi="仿宋" w:eastAsia="仿宋" w:cs="仿宋"/>
          <w:lang w:val="en-US" w:eastAsia="zh-CN"/>
        </w:rPr>
        <w:t>3</w:t>
      </w:r>
      <w:r>
        <w:rPr>
          <w:rFonts w:hint="eastAsia" w:ascii="仿宋" w:hAnsi="仿宋" w:eastAsia="仿宋" w:cs="仿宋"/>
        </w:rPr>
        <w:t>0T三轴云台负载模块、</w:t>
      </w:r>
      <w:r>
        <w:rPr>
          <w:rFonts w:hint="eastAsia" w:ascii="仿宋" w:hAnsi="仿宋" w:eastAsia="仿宋" w:cs="仿宋"/>
          <w:lang w:val="en-US" w:eastAsia="zh-CN"/>
        </w:rPr>
        <w:t>轨迹考评系统。</w:t>
      </w:r>
    </w:p>
    <w:p w14:paraId="37F62A7B">
      <w:pPr>
        <w:ind w:firstLine="480"/>
        <w:rPr>
          <w:rFonts w:hint="eastAsia" w:ascii="仿宋" w:hAnsi="仿宋" w:eastAsia="仿宋" w:cs="仿宋"/>
          <w:lang w:val="en-US" w:eastAsia="zh-CN"/>
        </w:rPr>
      </w:pPr>
      <w:r>
        <w:rPr>
          <w:rFonts w:hint="eastAsia" w:ascii="仿宋" w:hAnsi="仿宋" w:eastAsia="仿宋" w:cs="仿宋"/>
          <w:lang w:val="en-US" w:eastAsia="zh-CN"/>
        </w:rPr>
        <w:t>竞赛技术平台参数见表3。</w:t>
      </w:r>
    </w:p>
    <w:p w14:paraId="4AD35AE4">
      <w:pPr>
        <w:pStyle w:val="11"/>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表3 竞赛技术平台参数表</w:t>
      </w:r>
    </w:p>
    <w:tbl>
      <w:tblPr>
        <w:tblStyle w:val="1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6907"/>
      </w:tblGrid>
      <w:tr w14:paraId="5A2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616" w:type="dxa"/>
            <w:vAlign w:val="center"/>
          </w:tcPr>
          <w:p w14:paraId="45A35F0A">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名称</w:t>
            </w:r>
          </w:p>
        </w:tc>
        <w:tc>
          <w:tcPr>
            <w:tcW w:w="6907" w:type="dxa"/>
            <w:vAlign w:val="center"/>
          </w:tcPr>
          <w:p w14:paraId="4D8DE3CA">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主要功能技术参数</w:t>
            </w:r>
          </w:p>
        </w:tc>
      </w:tr>
      <w:tr w14:paraId="7AB9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shd w:val="clear" w:color="auto" w:fill="auto"/>
            <w:vAlign w:val="center"/>
          </w:tcPr>
          <w:p w14:paraId="090534ED">
            <w:pPr>
              <w:pStyle w:val="8"/>
              <w:widowControl w:val="0"/>
              <w:adjustRightInd w:val="0"/>
              <w:snapToGrid w:val="0"/>
              <w:spacing w:after="0" w:line="240" w:lineRule="auto"/>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zh-CN" w:eastAsia="zh-CN" w:bidi="ar-SA"/>
              </w:rPr>
              <w:br w:type="textWrapping"/>
            </w:r>
            <w:r>
              <w:rPr>
                <w:rFonts w:hint="eastAsia" w:ascii="仿宋" w:hAnsi="仿宋" w:eastAsia="仿宋" w:cs="仿宋"/>
                <w:kern w:val="2"/>
                <w:sz w:val="24"/>
                <w:szCs w:val="24"/>
                <w:vertAlign w:val="baseline"/>
                <w:lang w:val="en-US" w:eastAsia="zh-CN" w:bidi="ar-SA"/>
              </w:rPr>
              <w:t>无人机</w:t>
            </w:r>
            <w:r>
              <w:rPr>
                <w:rFonts w:hint="eastAsia" w:ascii="仿宋" w:hAnsi="仿宋" w:eastAsia="仿宋" w:cs="仿宋"/>
                <w:kern w:val="2"/>
                <w:sz w:val="24"/>
                <w:szCs w:val="24"/>
                <w:vertAlign w:val="baseline"/>
                <w:lang w:val="zh-CN" w:eastAsia="zh-CN" w:bidi="ar-SA"/>
              </w:rPr>
              <w:t>组装调试平台</w:t>
            </w:r>
          </w:p>
        </w:tc>
        <w:tc>
          <w:tcPr>
            <w:tcW w:w="6907" w:type="dxa"/>
            <w:shd w:val="clear" w:color="auto" w:fill="auto"/>
            <w:vAlign w:val="center"/>
          </w:tcPr>
          <w:p w14:paraId="3C4CDE6B">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1、机架布局为“X”；机身轴距≥400mm；</w:t>
            </w:r>
          </w:p>
          <w:p w14:paraId="4AB3ED6E">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2、机身材料：碳纤维和航空铝；</w:t>
            </w:r>
          </w:p>
          <w:p w14:paraId="2FDB5F60">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3、最大飞行时间不得低于12min,最大起飞重量＞1.5kg；</w:t>
            </w:r>
          </w:p>
          <w:p w14:paraId="353699A1">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4、工作环境温度支持-10〜40℃；</w:t>
            </w:r>
          </w:p>
          <w:p w14:paraId="24CF515B">
            <w:pPr>
              <w:pStyle w:val="8"/>
              <w:widowControl w:val="0"/>
              <w:adjustRightInd w:val="0"/>
              <w:snapToGrid w:val="0"/>
              <w:spacing w:after="0" w:line="240" w:lineRule="auto"/>
              <w:ind w:left="0" w:leftChars="0" w:firstLine="0" w:firstLineChars="0"/>
              <w:jc w:val="left"/>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5、最大上升速度≥4m/s;最大下降速度为≤5m/s;最大平飞速度≥7m/s；</w:t>
            </w:r>
          </w:p>
          <w:p w14:paraId="7E3BDAF3">
            <w:pPr>
              <w:pStyle w:val="8"/>
              <w:widowControl w:val="0"/>
              <w:adjustRightInd w:val="0"/>
              <w:snapToGrid w:val="0"/>
              <w:spacing w:after="0" w:line="240" w:lineRule="auto"/>
              <w:ind w:left="0" w:leftChars="0" w:firstLine="0" w:firstLineChars="0"/>
              <w:jc w:val="left"/>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6、最大可承受风速≥8m/s；悬停精度，垂直±0.5m,水平±1m(GPS状态）；</w:t>
            </w:r>
          </w:p>
          <w:p w14:paraId="6D3D7FC0">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7、使用场景；室内、室外；</w:t>
            </w:r>
          </w:p>
          <w:p w14:paraId="325C3F73">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8、最大俯仰角度不小于35°；</w:t>
            </w:r>
          </w:p>
          <w:p w14:paraId="5352B801">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9、控制方式：遥控系统控制；</w:t>
            </w:r>
          </w:p>
          <w:p w14:paraId="1EF6B659">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2、无刷电机规格型号：定子直径≥23mm；高度≥12mm；KV值≥1000KV，且带正反牙螺纹；</w:t>
            </w:r>
          </w:p>
          <w:p w14:paraId="657D969E">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3、桨叶规格型号：桨叶尺寸≥9寸；材质：塑料；</w:t>
            </w:r>
          </w:p>
          <w:p w14:paraId="553241C7">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4、电调规格型号：持续工作电流≥30A，最大瞬间电流不超过40A，适用于2S-6S电池；</w:t>
            </w:r>
          </w:p>
          <w:p w14:paraId="2C9014B0">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5、电池：电池规格≥4S/5000mah/14.8V，放电倍率≥30C，锂电池；</w:t>
            </w:r>
          </w:p>
          <w:p w14:paraId="08AF9A87">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6、航空铝外壳设计，具有重量轻，减小磁干扰，增强飞控稳定性；</w:t>
            </w:r>
          </w:p>
          <w:p w14:paraId="3CF8BD70">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7.飞行模式至少支持定点模式、定高模式、任务模式和返航模式；</w:t>
            </w:r>
          </w:p>
          <w:p w14:paraId="32C744C1">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8.飞控内部集成蜂鸣器，免于外接蜂鸣器模块；</w:t>
            </w:r>
          </w:p>
          <w:p w14:paraId="13E69370">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9.FLASH存储≥8MB,供电范围4.8V-5.5V；</w:t>
            </w:r>
          </w:p>
          <w:p w14:paraId="22D486BD">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10.飞控支持轴距在250mm-1800mm轴距的多旋翼飞行器；</w:t>
            </w:r>
          </w:p>
          <w:p w14:paraId="01618769">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11.传感器模块要求包含空速传感器模块、磁罗盘传感器模块、气压高度计模块、陀螺传感器模块、CAN总线模块、声音报警模块、指示灯模块、低压差供电模块、飞行数据存储模块、电平转换模块、参数存储模块、主控制器模块、输入输出控制器模块等；</w:t>
            </w:r>
          </w:p>
          <w:p w14:paraId="2117483E">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12.包含外设数传串口、RTK串口、GPS串口、外置罗盘、光流串口：TFMINI串口等；</w:t>
            </w:r>
          </w:p>
          <w:p w14:paraId="5B4EAA57">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13.飞控要求具磁罗盘异常修正、单参数调节、多传感器融合、超快速二次开发等功能；</w:t>
            </w:r>
          </w:p>
          <w:p w14:paraId="4B747575">
            <w:pPr>
              <w:adjustRightInd w:val="0"/>
              <w:snapToGrid w:val="0"/>
              <w:spacing w:line="240" w:lineRule="auto"/>
              <w:ind w:left="0" w:leftChars="0" w:firstLine="0" w:firstLineChars="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14.</w:t>
            </w:r>
            <w:r>
              <w:rPr>
                <w:rFonts w:hint="eastAsia" w:ascii="仿宋" w:hAnsi="仿宋" w:eastAsia="仿宋" w:cs="仿宋"/>
                <w:kern w:val="2"/>
                <w:sz w:val="24"/>
                <w:szCs w:val="24"/>
                <w:vertAlign w:val="baseline"/>
                <w:lang w:val="zh-CN" w:eastAsia="zh-CN" w:bidi="ar-SA"/>
              </w:rPr>
              <w:t>遥控器：支持SUS、PWM信号输出，工作电压为7.4V-18V,使用DSSS&amp;FHSS混合双扩频技术，可实现避干扰和抗干扰结合，遥控器通道数量不低于8个。</w:t>
            </w:r>
          </w:p>
        </w:tc>
      </w:tr>
      <w:tr w14:paraId="418E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shd w:val="clear" w:color="auto" w:fill="auto"/>
            <w:vAlign w:val="center"/>
          </w:tcPr>
          <w:p w14:paraId="6CA2E2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无人机维修定损实训箱</w:t>
            </w:r>
          </w:p>
        </w:tc>
        <w:tc>
          <w:tcPr>
            <w:tcW w:w="6907" w:type="dxa"/>
            <w:shd w:val="clear" w:color="auto" w:fill="auto"/>
            <w:vAlign w:val="center"/>
          </w:tcPr>
          <w:p w14:paraId="159BAE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动力系统构成情况为：电机类型要求为无刷电机，定子尺寸不小于23mm，kv值不小于1000KV，电调类型要求为无刷电调，持续工作电流不小于30A,支持最大瞬间电流不小于40A,适用于2S〜6S电池，动力电池类型要求为：锂电池，容量不小于2200mah;放电倍率不小于25C；</w:t>
            </w:r>
          </w:p>
          <w:p w14:paraId="1647FD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遥控器工作频率：2400MHz〜2483.5MHz；通道数不少于8个；支持宽电压输入；至少支持SUS、PWM信号输出，系统功耗不得大于80mA；传输速率不小于38kbps；遥控系统具备信号发射指示灯，调制模式至少支持GFSK模式；且遥控器至少具备三段不少于1个，二段开关不少于1个；</w:t>
            </w:r>
          </w:p>
          <w:p w14:paraId="23B689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3、飞控系统：飞行模式至少支持定点模式、定高模式、任务模式和返航模式；飞控内部要求集成蜂鸣器，免于外接蜂鸣器模块；FLASH存储≧8MB,供电范围4.8〜5.5V；该飞控支持轴距在250mm〜1800mm轴距的多旋翼飞行器；传感器模块至少包含空速传感器模块、磁罗盘传感器模块、气压高度计模块、磁罗盘与加速度计模块、陀螺传感器模块、陀螺与加速度计传感器模块、CAN总线模块、声音报警模块、七彩指示灯模块、低压差供电模块、飞行数据存储模块、电平转换模块、参数存储模块、主控制器模块、输入输出控制器模块等；外设串口至少包含：数传串口、RTK串口、GPS串口、外置罗盘、光流串口：TFMINI串口等；飞控系统要求采用高性能STM32H743VIT6处理器，主频≥480Mhz,带有双精度浮点硬件处理器；飞控系统要求具备：磁罗盘异常修正、单参数调节、多传感器融合、超快速二次开发等功能；</w:t>
            </w:r>
          </w:p>
          <w:p w14:paraId="6A373C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4、无人机维修定损实训箱要求在故障点设置面板上具备总电源开关，以及分电板供电故障开关；开关面板为锁扣式设计；</w:t>
            </w:r>
          </w:p>
          <w:p w14:paraId="0F53CA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5、无人机维修定损实训箱要求能够还原四旋翼无人机系统构成，要求能够直观展示无人机内部线路的连接方式</w:t>
            </w:r>
          </w:p>
          <w:p w14:paraId="16B71E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6、无人机维修定损实训箱至少满足一键设置多种不同的无人机故障，所有故障检测定损流程与真实情况完全符合，所有故障均可在一分钟内进行恢复复原；</w:t>
            </w:r>
          </w:p>
          <w:p w14:paraId="777AEF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7、故障点设置时能够完美展现真实故障情况的发生以及检测维修；</w:t>
            </w:r>
          </w:p>
          <w:p w14:paraId="0F8AD6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8、能够实现对无人机系统部件进行功能检测；</w:t>
            </w:r>
          </w:p>
          <w:p w14:paraId="4DDF17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9、最少能够实现动力系统、飞控系统、机体结构等部位的故障设置；</w:t>
            </w:r>
          </w:p>
          <w:p w14:paraId="2E4C1E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10、内部含有无人机飞控系统，动力系统、接收系统、故障控制系统等。</w:t>
            </w:r>
          </w:p>
        </w:tc>
      </w:tr>
      <w:tr w14:paraId="2F29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Merge w:val="restart"/>
            <w:vAlign w:val="center"/>
          </w:tcPr>
          <w:p w14:paraId="2295590B">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典型场景应用平台</w:t>
            </w:r>
          </w:p>
        </w:tc>
        <w:tc>
          <w:tcPr>
            <w:tcW w:w="6907" w:type="dxa"/>
          </w:tcPr>
          <w:p w14:paraId="4102D3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1.机身对称轴距：650mm≤轴距≤1050mm；</w:t>
            </w:r>
          </w:p>
          <w:p w14:paraId="3C42DF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2.机臂展开方式要求为：可折叠式；脚架安装方式：快拆.装式；展开尺寸：≥810mm×670mm×430mm；</w:t>
            </w:r>
          </w:p>
          <w:p w14:paraId="788EA0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3.飞行器最大载重≥2.7kg，最大起飞重量≥9kg；</w:t>
            </w:r>
          </w:p>
          <w:p w14:paraId="6A814E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4.工作频率：2.4GHz～2.4835GHz；5.725GHz～5.580GHz；</w:t>
            </w:r>
          </w:p>
          <w:p w14:paraId="28FDAC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5.悬停精度：±0.1m（视觉定位正常工作时），±0.5m（GPS正常工作时）</w:t>
            </w:r>
          </w:p>
          <w:p w14:paraId="7DBF74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6.最大旋转角速度：俯仰轴≥300°/s ，航向轴≥100°/s；</w:t>
            </w:r>
          </w:p>
          <w:p w14:paraId="657125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7.最大上升速度≥6m/s，最大下降速度≥5m/s；最大平飞速度≥23m/s；</w:t>
            </w:r>
          </w:p>
          <w:p w14:paraId="1986AC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8.最大飞行海拔高度≥5000m；</w:t>
            </w:r>
          </w:p>
          <w:p w14:paraId="7A938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9.最大承受风速≥12m/s；</w:t>
            </w:r>
          </w:p>
          <w:p w14:paraId="3BF042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10.防护等级≥IP55级；</w:t>
            </w:r>
          </w:p>
          <w:p w14:paraId="2944DB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11.最大飞行时间（空载）：不少于50分钟；</w:t>
            </w:r>
          </w:p>
          <w:p w14:paraId="3EAA93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12.最大图传距离（无遮挡，无干扰）≥15公里；</w:t>
            </w:r>
          </w:p>
          <w:p w14:paraId="6B97B8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13.工作环境温度：支持-20至50℃；</w:t>
            </w:r>
          </w:p>
          <w:p w14:paraId="137C82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14.遥控器内置高亮触摸屏，且尺寸不小于7英寸；</w:t>
            </w:r>
          </w:p>
          <w:p w14:paraId="6FE4A3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15.具备蓝牙以及卫星定位等功能，且可以支持通过Wi-Fi或4G无线上网卡的方式连接至互联网；</w:t>
            </w:r>
          </w:p>
          <w:p w14:paraId="0038FE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16.支持使用内置电池工作，也可支持使用内置电池与外置电池结合使用的方式进行工作；</w:t>
            </w:r>
          </w:p>
          <w:p w14:paraId="2535C0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17.使用遥控器操控飞行器方式不少于三种；遥控器具备飞行器模式切换开关；</w:t>
            </w:r>
          </w:p>
          <w:p w14:paraId="344D11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18.遥控器电池使用类型为LiPo，且续航时间不少于5小时；且充电时间小于2小时；</w:t>
            </w:r>
          </w:p>
          <w:p w14:paraId="3B200B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19.补光灯有效照明距离≥5m；照明方式：常亮；</w:t>
            </w:r>
          </w:p>
          <w:p w14:paraId="498C1C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20.FPV摄像头分辨率不小于960p；帧率≥30fps；</w:t>
            </w:r>
          </w:p>
          <w:p w14:paraId="50336F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21.具备自动返航功能，且具备不少于三种返航方式；具备降落保护功能；</w:t>
            </w:r>
          </w:p>
          <w:p w14:paraId="3B78C3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22.具备飞行数据记录功能，所有飞行数据可存储于飞行器中，保持飞行器开启连接至电脑，通过相应软件可导出飞行数据；</w:t>
            </w:r>
          </w:p>
          <w:p w14:paraId="7F36E2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23.飞行器内置RTK模块，可提供强大的抗电磁干扰能力，可在复杂的强磁干扰环境下保障可靠飞行；</w:t>
            </w:r>
          </w:p>
          <w:p w14:paraId="4F23BA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24.飞行器提供不少于3个PSDK扩展接口，且PSDK扩展接口对外供电能力≥17V；</w:t>
            </w:r>
          </w:p>
          <w:p w14:paraId="39A1DE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25.支持高级双控模式，适用于双人同时操控一台飞行器；</w:t>
            </w:r>
          </w:p>
          <w:p w14:paraId="5C012E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26.支持两路1080p图传；</w:t>
            </w:r>
          </w:p>
          <w:p w14:paraId="126D62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27.该飞行器配套软件APP，支持进行航线规划，自动作业等功能；</w:t>
            </w:r>
          </w:p>
          <w:p w14:paraId="34155B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28.具备飞行器健康管理系统：包含异常诊断，日志管理，保养指导等模块；</w:t>
            </w:r>
          </w:p>
          <w:p w14:paraId="59F9C0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29.具备地理围栏系统，可提供实时空域信息，还可提供飞行安全与飞行限制相关信息实现特殊区域飞行限制功能。</w:t>
            </w:r>
          </w:p>
        </w:tc>
      </w:tr>
      <w:tr w14:paraId="566B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Merge w:val="continue"/>
          </w:tcPr>
          <w:p w14:paraId="258E7F51">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6907" w:type="dxa"/>
          </w:tcPr>
          <w:p w14:paraId="73B42F9B">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精确操控载荷系统</w:t>
            </w:r>
          </w:p>
          <w:p w14:paraId="5381D52A">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1.天空端（模块）：外形尺寸≥103mm*66mm*27mm；重量≥187g；</w:t>
            </w:r>
          </w:p>
          <w:p w14:paraId="135B9CBF">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2.地面端（模块）：尺寸≥103mm*66mm*27mm；重量≥183.5g；</w:t>
            </w:r>
          </w:p>
          <w:p w14:paraId="0BC96F09">
            <w:pPr>
              <w:pStyle w:val="8"/>
              <w:widowControl w:val="0"/>
              <w:adjustRightInd w:val="0"/>
              <w:snapToGrid w:val="0"/>
              <w:spacing w:after="0" w:line="240" w:lineRule="auto"/>
              <w:ind w:left="0" w:leftChars="0" w:firstLine="0" w:firstLineChars="0"/>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3.支持工作环境温度：-40℃～55℃；</w:t>
            </w:r>
          </w:p>
          <w:p w14:paraId="460A55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4.供电电压支持：7V～ 28V；系统功耗：（天空端）≥3W；地面端≥3W；</w:t>
            </w:r>
          </w:p>
        </w:tc>
      </w:tr>
      <w:tr w14:paraId="61CC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Merge w:val="continue"/>
          </w:tcPr>
          <w:p w14:paraId="4370B26B">
            <w:pPr>
              <w:pStyle w:val="11"/>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2"/>
                <w:sz w:val="24"/>
                <w:szCs w:val="24"/>
                <w:vertAlign w:val="baseline"/>
                <w:lang w:val="en-US" w:eastAsia="zh-CN" w:bidi="ar-SA"/>
              </w:rPr>
            </w:pPr>
          </w:p>
        </w:tc>
        <w:tc>
          <w:tcPr>
            <w:tcW w:w="6907" w:type="dxa"/>
          </w:tcPr>
          <w:p w14:paraId="1F0E0BB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H30T相机</w:t>
            </w:r>
          </w:p>
          <w:p w14:paraId="2F52221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1.防水等级≥IP54，人眼安全等级≥Class 1M；</w:t>
            </w:r>
          </w:p>
          <w:p w14:paraId="11C4F9D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2.设备存储温度支持-20℃ 至 60℃；</w:t>
            </w:r>
          </w:p>
          <w:p w14:paraId="432A1FC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3.云台安装方式支持可拆装式；</w:t>
            </w:r>
          </w:p>
          <w:p w14:paraId="70D0860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4.云台角度抖动量≤±0.002°；</w:t>
            </w:r>
          </w:p>
          <w:p w14:paraId="15414A7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5.变焦相机影像传感器1/1.8CMOS，有效像素不小于4000万；</w:t>
            </w:r>
          </w:p>
          <w:p w14:paraId="5F7A8A2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6.曝光方式不少于两种，且支持程序自动曝光以及手动曝光；</w:t>
            </w:r>
          </w:p>
          <w:p w14:paraId="6CEE64E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7.至少支持点测光、平均测光两种测光模式，且至少支持测光锁定；</w:t>
            </w:r>
          </w:p>
          <w:p w14:paraId="36BAF8D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8.电子快门最快速度不小1/8000秒；</w:t>
            </w:r>
          </w:p>
          <w:p w14:paraId="3181A26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9.照片拍摄ISO范围支持照片：100 ～25600；</w:t>
            </w:r>
          </w:p>
          <w:p w14:paraId="3584AFD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10.视频分辨率不小于3840x2160 @30fps；</w:t>
            </w:r>
          </w:p>
          <w:p w14:paraId="3C28758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11.至少支持MP4视频拍摄格式和支持JPEG照片拍摄格式；</w:t>
            </w:r>
          </w:p>
          <w:p w14:paraId="3D25E44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12.广角相机有效像素不少于4800万；</w:t>
            </w:r>
          </w:p>
          <w:p w14:paraId="6E765E5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13.广角相机视频拍摄分辨率不小于3840 × 2160@30fps；</w:t>
            </w:r>
          </w:p>
          <w:p w14:paraId="3B7C6E0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14.热成像相机传感器类型为非制冷氧化钒（VOx）微测热辐射计；</w:t>
            </w:r>
          </w:p>
          <w:p w14:paraId="0143B97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15.至少支持32倍数字变焦；</w:t>
            </w:r>
          </w:p>
          <w:p w14:paraId="17B0202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16.热成像相机视频拍摄分辨率不小于1280 × 1024@30fps；</w:t>
            </w:r>
          </w:p>
          <w:p w14:paraId="1D268EF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17.测温方式至少支持点测温、区域测温、中心点测温；</w:t>
            </w:r>
          </w:p>
          <w:p w14:paraId="52AF921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18.至少支持高温警报功能；</w:t>
            </w:r>
          </w:p>
          <w:p w14:paraId="02AC269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19.激光测距仪波长不小于905 nm；</w:t>
            </w:r>
          </w:p>
          <w:p w14:paraId="5B4BA58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20.激光测距仪测量范围不小于3000 m；</w:t>
            </w:r>
          </w:p>
          <w:p w14:paraId="00E6C21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21.近红外补光灯波长不小于850 nm；</w:t>
            </w:r>
          </w:p>
          <w:p w14:paraId="01681CC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22.补光区域大小：100 米处：直径≥8 m；</w:t>
            </w:r>
          </w:p>
          <w:p w14:paraId="414D408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23.相机混合光学变焦倍数不少于34倍</w:t>
            </w:r>
          </w:p>
          <w:p w14:paraId="27F9A36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24.最大变焦倍数不小于400倍；</w:t>
            </w:r>
          </w:p>
          <w:p w14:paraId="3DC8D0A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25.至少支持指点对准、超清矩阵拍照、夜景模式、时间戳水印、智能拍照、视频预录制、红外超分等功能。</w:t>
            </w:r>
          </w:p>
        </w:tc>
      </w:tr>
      <w:tr w14:paraId="1424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6" w:type="dxa"/>
            <w:vAlign w:val="center"/>
          </w:tcPr>
          <w:p w14:paraId="2CA79F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无人机装调实训工具箱</w:t>
            </w:r>
          </w:p>
        </w:tc>
        <w:tc>
          <w:tcPr>
            <w:tcW w:w="6907" w:type="dxa"/>
          </w:tcPr>
          <w:p w14:paraId="42B929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无人机装调实训工具箱是针对无人机准备的工具支持模块，其中包含了各个型号的内六角工具套装，尖嘴钳、剥线钳等工具，为无人机拆装、维修等实训任务提供支持。</w:t>
            </w:r>
          </w:p>
          <w:p w14:paraId="1650E5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1、M1.5内六角螺丝刀1把</w:t>
            </w:r>
          </w:p>
          <w:p w14:paraId="5B1B4E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2、M2.0内六角螺丝刀1把</w:t>
            </w:r>
          </w:p>
          <w:p w14:paraId="51B059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3、M2.5内六角螺丝刀1把</w:t>
            </w:r>
          </w:p>
          <w:p w14:paraId="441573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4、M3.0内六角螺丝刀1把</w:t>
            </w:r>
          </w:p>
          <w:p w14:paraId="3CFF4A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5、一字螺丝刀       1把</w:t>
            </w:r>
          </w:p>
          <w:p w14:paraId="6A9BDB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6、十字螺丝刀       1把</w:t>
            </w:r>
          </w:p>
          <w:p w14:paraId="4A2CAE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7、斜口钳           1把</w:t>
            </w:r>
          </w:p>
          <w:p w14:paraId="4BBA54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8、剥线钳           1把</w:t>
            </w:r>
          </w:p>
          <w:p w14:paraId="5655BC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9、壁纸刀           1把</w:t>
            </w:r>
          </w:p>
          <w:p w14:paraId="1B7AF6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10、烙铁架          1套</w:t>
            </w:r>
          </w:p>
          <w:p w14:paraId="3820D3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 xml:space="preserve">11、焊锡丝          1卷      </w:t>
            </w:r>
          </w:p>
          <w:p w14:paraId="1E4345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12、松香            1盒</w:t>
            </w:r>
          </w:p>
          <w:p w14:paraId="144281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13、电烙铁          1支</w:t>
            </w:r>
          </w:p>
          <w:p w14:paraId="5D3DB2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14、热风枪          1套</w:t>
            </w:r>
          </w:p>
          <w:p w14:paraId="31BB7B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15、动力电池测电器  1个</w:t>
            </w:r>
          </w:p>
          <w:p w14:paraId="2C6E61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16、万用表套装      1个</w:t>
            </w:r>
          </w:p>
          <w:p w14:paraId="52F494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17、水平测量柱      1个</w:t>
            </w:r>
          </w:p>
          <w:p w14:paraId="36F1EA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18、锉刀            1个</w:t>
            </w:r>
          </w:p>
          <w:p w14:paraId="173AA3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19、螺丝胶          1盒</w:t>
            </w:r>
          </w:p>
          <w:p w14:paraId="0815E4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20、香蕉头焊台      1个</w:t>
            </w:r>
          </w:p>
          <w:p w14:paraId="6E54F9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21、试电笔          1个</w:t>
            </w:r>
          </w:p>
          <w:p w14:paraId="40120A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22、USB调参线     1条</w:t>
            </w:r>
          </w:p>
          <w:p w14:paraId="0F3DA4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23、热熔胶枪       1把</w:t>
            </w:r>
          </w:p>
          <w:p w14:paraId="55A616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24、吸锡器        1个</w:t>
            </w:r>
          </w:p>
          <w:p w14:paraId="7668FB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zh-CN" w:eastAsia="zh-CN" w:bidi="ar-SA"/>
              </w:rPr>
            </w:pPr>
            <w:r>
              <w:rPr>
                <w:rFonts w:hint="eastAsia" w:ascii="仿宋" w:hAnsi="仿宋" w:eastAsia="仿宋" w:cs="仿宋"/>
                <w:kern w:val="2"/>
                <w:sz w:val="24"/>
                <w:szCs w:val="24"/>
                <w:vertAlign w:val="baseline"/>
                <w:lang w:val="zh-CN" w:eastAsia="zh-CN" w:bidi="ar-SA"/>
              </w:rPr>
              <w:t>25、直头镊子       1个</w:t>
            </w:r>
          </w:p>
          <w:p w14:paraId="3F68FE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zh-CN" w:eastAsia="zh-CN" w:bidi="ar-SA"/>
              </w:rPr>
              <w:t>26、弯头镊子       1个</w:t>
            </w:r>
          </w:p>
        </w:tc>
      </w:tr>
    </w:tbl>
    <w:p w14:paraId="64038643">
      <w:pPr>
        <w:pStyle w:val="3"/>
        <w:ind w:firstLine="562"/>
        <w:rPr>
          <w:rFonts w:hint="eastAsia" w:ascii="仿宋" w:hAnsi="仿宋" w:eastAsia="仿宋" w:cs="仿宋"/>
        </w:rPr>
      </w:pPr>
      <w:bookmarkStart w:id="14" w:name="_Toc2017"/>
      <w:r>
        <w:rPr>
          <w:rFonts w:hint="eastAsia" w:ascii="仿宋" w:hAnsi="仿宋" w:eastAsia="仿宋" w:cs="仿宋"/>
        </w:rPr>
        <w:t>十、成绩评定</w:t>
      </w:r>
      <w:bookmarkEnd w:id="14"/>
    </w:p>
    <w:p w14:paraId="4A502150">
      <w:pPr>
        <w:pStyle w:val="5"/>
        <w:ind w:firstLine="482"/>
        <w:rPr>
          <w:rFonts w:hint="eastAsia" w:ascii="仿宋" w:hAnsi="仿宋" w:eastAsia="仿宋" w:cs="仿宋"/>
          <w:color w:val="FF0000"/>
        </w:rPr>
      </w:pPr>
      <w:r>
        <w:rPr>
          <w:rFonts w:hint="eastAsia" w:ascii="仿宋" w:hAnsi="仿宋" w:eastAsia="仿宋" w:cs="仿宋"/>
        </w:rPr>
        <w:t>（</w:t>
      </w:r>
      <w:r>
        <w:rPr>
          <w:rFonts w:hint="eastAsia" w:ascii="仿宋" w:hAnsi="仿宋" w:eastAsia="仿宋" w:cs="仿宋"/>
          <w:lang w:val="en-US" w:eastAsia="zh-CN"/>
        </w:rPr>
        <w:t>一</w:t>
      </w:r>
      <w:r>
        <w:rPr>
          <w:rFonts w:hint="eastAsia" w:ascii="仿宋" w:hAnsi="仿宋" w:eastAsia="仿宋" w:cs="仿宋"/>
        </w:rPr>
        <w:t xml:space="preserve">）评分方法 </w:t>
      </w:r>
    </w:p>
    <w:p w14:paraId="0A0F69F3">
      <w:pPr>
        <w:ind w:firstLine="480"/>
        <w:rPr>
          <w:rFonts w:hint="eastAsia" w:ascii="仿宋" w:hAnsi="仿宋" w:eastAsia="仿宋" w:cs="仿宋"/>
          <w:lang w:val="en-US" w:eastAsia="zh-CN"/>
        </w:rPr>
      </w:pPr>
      <w:r>
        <w:rPr>
          <w:rFonts w:hint="eastAsia" w:ascii="仿宋" w:hAnsi="仿宋" w:eastAsia="仿宋" w:cs="仿宋"/>
        </w:rPr>
        <w:t>技能操作由裁判员根据评分标准统一阅卷、评分与计分。</w:t>
      </w:r>
      <w:r>
        <w:rPr>
          <w:rFonts w:hint="eastAsia" w:ascii="仿宋" w:hAnsi="仿宋" w:eastAsia="仿宋" w:cs="仿宋"/>
          <w:lang w:val="en-US" w:eastAsia="zh-CN"/>
        </w:rPr>
        <w:t>展示操作</w:t>
      </w:r>
      <w:r>
        <w:rPr>
          <w:rFonts w:hint="eastAsia" w:ascii="仿宋" w:hAnsi="仿宋" w:eastAsia="仿宋" w:cs="仿宋"/>
        </w:rPr>
        <w:t>的成绩由现场操作过程的规范和最终完成工作任务的质量两部分组成。其中操作规范成绩根据现场实际操作表现，按照现场操作规范评分标准，依据现场裁判员的赛场纪录，由现场裁判组集体评判成绩；工作任务的质量依据选手完成工作任务的数和量的评分标准，进行客观评判成绩。</w:t>
      </w:r>
    </w:p>
    <w:tbl>
      <w:tblPr>
        <w:tblStyle w:val="49"/>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9"/>
        <w:gridCol w:w="6354"/>
        <w:gridCol w:w="953"/>
      </w:tblGrid>
      <w:tr w14:paraId="70EA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009" w:type="dxa"/>
            <w:vAlign w:val="center"/>
          </w:tcPr>
          <w:p w14:paraId="2AF903B3">
            <w:pPr>
              <w:ind w:left="0" w:leftChars="0" w:firstLine="0" w:firstLineChars="0"/>
              <w:jc w:val="center"/>
              <w:rPr>
                <w:rFonts w:hint="eastAsia" w:ascii="仿宋" w:hAnsi="仿宋" w:eastAsia="仿宋" w:cs="仿宋"/>
                <w:b/>
                <w:bCs/>
              </w:rPr>
            </w:pPr>
            <w:r>
              <w:rPr>
                <w:rFonts w:hint="eastAsia" w:ascii="仿宋" w:hAnsi="仿宋" w:eastAsia="仿宋" w:cs="仿宋"/>
                <w:b/>
                <w:bCs/>
              </w:rPr>
              <w:t>评分重占</w:t>
            </w:r>
          </w:p>
        </w:tc>
        <w:tc>
          <w:tcPr>
            <w:tcW w:w="6354" w:type="dxa"/>
            <w:vAlign w:val="center"/>
          </w:tcPr>
          <w:p w14:paraId="73B5A7DD">
            <w:pPr>
              <w:ind w:left="0" w:leftChars="0" w:firstLine="0" w:firstLineChars="0"/>
              <w:jc w:val="center"/>
              <w:rPr>
                <w:rFonts w:hint="eastAsia" w:ascii="仿宋" w:hAnsi="仿宋" w:eastAsia="仿宋" w:cs="仿宋"/>
                <w:b/>
                <w:bCs/>
              </w:rPr>
            </w:pPr>
            <w:r>
              <w:rPr>
                <w:rFonts w:hint="eastAsia" w:ascii="仿宋" w:hAnsi="仿宋" w:eastAsia="仿宋" w:cs="仿宋"/>
                <w:b/>
                <w:bCs/>
              </w:rPr>
              <w:t>评审内容</w:t>
            </w:r>
          </w:p>
        </w:tc>
        <w:tc>
          <w:tcPr>
            <w:tcW w:w="0" w:type="auto"/>
            <w:vAlign w:val="center"/>
          </w:tcPr>
          <w:p w14:paraId="0013C188">
            <w:pPr>
              <w:ind w:left="0" w:leftChars="0" w:firstLine="0" w:firstLineChars="0"/>
              <w:jc w:val="center"/>
              <w:rPr>
                <w:rFonts w:hint="eastAsia" w:ascii="仿宋" w:hAnsi="仿宋" w:eastAsia="仿宋" w:cs="仿宋"/>
                <w:b/>
                <w:bCs/>
              </w:rPr>
            </w:pPr>
            <w:r>
              <w:rPr>
                <w:rFonts w:hint="eastAsia" w:ascii="仿宋" w:hAnsi="仿宋" w:eastAsia="仿宋" w:cs="仿宋"/>
                <w:b/>
                <w:bCs/>
              </w:rPr>
              <w:t>权重</w:t>
            </w:r>
          </w:p>
        </w:tc>
      </w:tr>
      <w:tr w14:paraId="475A6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009" w:type="dxa"/>
            <w:vAlign w:val="center"/>
          </w:tcPr>
          <w:p w14:paraId="1DEF65C5">
            <w:pPr>
              <w:ind w:left="0" w:leftChars="0" w:firstLine="0" w:firstLineChars="0"/>
              <w:jc w:val="center"/>
              <w:rPr>
                <w:rFonts w:hint="eastAsia" w:ascii="仿宋" w:hAnsi="仿宋" w:eastAsia="仿宋" w:cs="仿宋"/>
              </w:rPr>
            </w:pPr>
            <w:r>
              <w:rPr>
                <w:rFonts w:hint="eastAsia" w:ascii="仿宋" w:hAnsi="仿宋" w:eastAsia="仿宋" w:cs="仿宋"/>
              </w:rPr>
              <w:t>技能水平</w:t>
            </w:r>
          </w:p>
        </w:tc>
        <w:tc>
          <w:tcPr>
            <w:tcW w:w="6354" w:type="dxa"/>
            <w:vAlign w:val="center"/>
          </w:tcPr>
          <w:p w14:paraId="640A49A1">
            <w:pPr>
              <w:ind w:left="240" w:leftChars="100" w:firstLine="0" w:firstLineChars="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任务完成度</w:t>
            </w:r>
          </w:p>
          <w:p w14:paraId="6DC8BABD">
            <w:pPr>
              <w:ind w:left="240" w:leftChars="100" w:firstLine="0" w:firstLineChars="0"/>
              <w:jc w:val="left"/>
              <w:rPr>
                <w:rFonts w:hint="eastAsia" w:ascii="仿宋" w:hAnsi="仿宋" w:eastAsia="仿宋" w:cs="仿宋"/>
              </w:rPr>
            </w:pPr>
            <w:r>
              <w:rPr>
                <w:rFonts w:hint="eastAsia" w:ascii="仿宋" w:hAnsi="仿宋" w:eastAsia="仿宋" w:cs="仿宋"/>
              </w:rPr>
              <w:t>2.竞赛过程中的技术操作规范性</w:t>
            </w:r>
          </w:p>
          <w:p w14:paraId="6F0E1E36">
            <w:pPr>
              <w:ind w:left="240" w:leftChars="100" w:firstLine="0" w:firstLineChars="0"/>
              <w:jc w:val="left"/>
              <w:rPr>
                <w:rFonts w:hint="eastAsia" w:ascii="仿宋" w:hAnsi="仿宋" w:eastAsia="仿宋" w:cs="仿宋"/>
              </w:rPr>
            </w:pPr>
            <w:r>
              <w:rPr>
                <w:rFonts w:hint="eastAsia" w:ascii="仿宋" w:hAnsi="仿宋" w:eastAsia="仿宋" w:cs="仿宋"/>
              </w:rPr>
              <w:t>3.竞赛过程中的问题解决能力</w:t>
            </w:r>
          </w:p>
          <w:p w14:paraId="5ADE0A09">
            <w:pPr>
              <w:ind w:left="240" w:leftChars="100" w:firstLine="0" w:firstLineChars="0"/>
              <w:jc w:val="left"/>
              <w:rPr>
                <w:rFonts w:hint="eastAsia" w:ascii="仿宋" w:hAnsi="仿宋" w:eastAsia="仿宋" w:cs="仿宋"/>
              </w:rPr>
            </w:pPr>
            <w:r>
              <w:rPr>
                <w:rFonts w:hint="eastAsia" w:ascii="仿宋" w:hAnsi="仿宋" w:eastAsia="仿宋" w:cs="仿宋"/>
              </w:rPr>
              <w:t>4.智能飞行器设备的操作能力</w:t>
            </w:r>
          </w:p>
          <w:p w14:paraId="7783D9D0">
            <w:pPr>
              <w:ind w:left="240" w:leftChars="100" w:firstLine="0" w:firstLineChars="0"/>
              <w:jc w:val="left"/>
              <w:rPr>
                <w:rFonts w:hint="eastAsia" w:ascii="仿宋" w:hAnsi="仿宋" w:eastAsia="仿宋" w:cs="仿宋"/>
              </w:rPr>
            </w:pPr>
            <w:r>
              <w:rPr>
                <w:rFonts w:hint="eastAsia" w:ascii="仿宋" w:hAnsi="仿宋" w:eastAsia="仿宋" w:cs="仿宋"/>
              </w:rPr>
              <w:t>5.安全意识与赛场纪律</w:t>
            </w:r>
          </w:p>
        </w:tc>
        <w:tc>
          <w:tcPr>
            <w:tcW w:w="0" w:type="auto"/>
            <w:vAlign w:val="center"/>
          </w:tcPr>
          <w:p w14:paraId="5A62FB2A">
            <w:pPr>
              <w:ind w:left="0" w:leftChars="0" w:firstLine="0" w:firstLineChars="0"/>
              <w:jc w:val="center"/>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0%</w:t>
            </w:r>
          </w:p>
        </w:tc>
      </w:tr>
      <w:tr w14:paraId="0C45B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1009" w:type="dxa"/>
            <w:vAlign w:val="center"/>
          </w:tcPr>
          <w:p w14:paraId="0B1828D4">
            <w:pPr>
              <w:ind w:left="0" w:leftChars="0" w:firstLine="0" w:firstLineChars="0"/>
              <w:jc w:val="center"/>
              <w:rPr>
                <w:rFonts w:hint="eastAsia" w:ascii="仿宋" w:hAnsi="仿宋" w:eastAsia="仿宋" w:cs="仿宋"/>
                <w:lang w:eastAsia="zh-CN"/>
              </w:rPr>
            </w:pPr>
            <w:r>
              <w:rPr>
                <w:rFonts w:hint="eastAsia" w:ascii="仿宋" w:hAnsi="仿宋" w:eastAsia="仿宋" w:cs="仿宋"/>
                <w:lang w:val="en-US" w:eastAsia="zh-CN"/>
              </w:rPr>
              <w:t>展示讲解</w:t>
            </w:r>
          </w:p>
        </w:tc>
        <w:tc>
          <w:tcPr>
            <w:tcW w:w="6354" w:type="dxa"/>
            <w:vAlign w:val="center"/>
          </w:tcPr>
          <w:p w14:paraId="32945052">
            <w:pPr>
              <w:ind w:left="240" w:leftChars="100" w:firstLine="0" w:firstLineChars="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lang w:val="en-US" w:eastAsia="zh-CN"/>
              </w:rPr>
              <w:t>参赛队伍的专业技能水平</w:t>
            </w:r>
          </w:p>
          <w:p w14:paraId="3B2AF6DC">
            <w:pPr>
              <w:ind w:left="240" w:leftChars="100" w:firstLine="0" w:firstLineChars="0"/>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lang w:val="en-US" w:eastAsia="zh-CN"/>
              </w:rPr>
              <w:t>参赛队伍的职业素养</w:t>
            </w:r>
          </w:p>
          <w:p w14:paraId="16C32353">
            <w:pPr>
              <w:ind w:left="240" w:leftChars="100" w:firstLine="0" w:firstLineChars="0"/>
              <w:jc w:val="left"/>
              <w:rPr>
                <w:rFonts w:hint="eastAsia" w:ascii="仿宋" w:hAnsi="仿宋" w:eastAsia="仿宋" w:cs="仿宋"/>
                <w:lang w:val="en-US" w:eastAsia="zh-CN"/>
              </w:rPr>
            </w:pP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lang w:val="en-US" w:eastAsia="zh-CN"/>
              </w:rPr>
              <w:t>展示项目的应用价值</w:t>
            </w:r>
          </w:p>
          <w:p w14:paraId="3A5DFF6B">
            <w:pPr>
              <w:ind w:left="240" w:leftChars="100" w:firstLine="0" w:firstLineChars="0"/>
              <w:jc w:val="left"/>
              <w:rPr>
                <w:rFonts w:hint="eastAsia" w:ascii="仿宋" w:hAnsi="仿宋" w:eastAsia="仿宋" w:cs="仿宋"/>
                <w:lang w:val="en-US" w:eastAsia="zh-CN"/>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lang w:val="en-US" w:eastAsia="zh-CN"/>
              </w:rPr>
              <w:t>参赛队伍的团队合作情况</w:t>
            </w:r>
          </w:p>
          <w:p w14:paraId="27C293CA">
            <w:pPr>
              <w:ind w:left="240" w:leftChars="100" w:firstLine="0" w:firstLineChars="0"/>
              <w:jc w:val="left"/>
              <w:rPr>
                <w:rFonts w:hint="eastAsia" w:ascii="仿宋" w:hAnsi="仿宋" w:eastAsia="仿宋" w:cs="仿宋"/>
                <w:lang w:val="en-US"/>
              </w:rPr>
            </w:pPr>
            <w:r>
              <w:rPr>
                <w:rFonts w:hint="eastAsia" w:ascii="仿宋" w:hAnsi="仿宋" w:eastAsia="仿宋" w:cs="仿宋"/>
              </w:rPr>
              <w:t>5</w:t>
            </w:r>
            <w:r>
              <w:rPr>
                <w:rFonts w:hint="eastAsia" w:ascii="仿宋" w:hAnsi="仿宋" w:eastAsia="仿宋" w:cs="仿宋"/>
                <w:lang w:eastAsia="zh-CN"/>
              </w:rPr>
              <w:t>.</w:t>
            </w:r>
            <w:r>
              <w:rPr>
                <w:rFonts w:hint="eastAsia" w:ascii="仿宋" w:hAnsi="仿宋" w:eastAsia="仿宋" w:cs="仿宋"/>
                <w:lang w:val="en-US" w:eastAsia="zh-CN"/>
              </w:rPr>
              <w:t>展示项目的创新创意</w:t>
            </w:r>
          </w:p>
        </w:tc>
        <w:tc>
          <w:tcPr>
            <w:tcW w:w="0" w:type="auto"/>
            <w:vAlign w:val="center"/>
          </w:tcPr>
          <w:p w14:paraId="749B34D8">
            <w:pPr>
              <w:ind w:left="0" w:leftChars="0" w:firstLine="0" w:firstLineChars="0"/>
              <w:jc w:val="center"/>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0%</w:t>
            </w:r>
          </w:p>
        </w:tc>
      </w:tr>
    </w:tbl>
    <w:p w14:paraId="420FB20C">
      <w:pPr>
        <w:pStyle w:val="5"/>
        <w:ind w:firstLine="482"/>
        <w:rPr>
          <w:rFonts w:hint="eastAsia" w:ascii="仿宋" w:hAnsi="仿宋" w:eastAsia="仿宋" w:cs="仿宋"/>
        </w:rPr>
      </w:pPr>
      <w:r>
        <w:rPr>
          <w:rFonts w:hint="eastAsia" w:ascii="仿宋" w:hAnsi="仿宋" w:eastAsia="仿宋" w:cs="仿宋"/>
        </w:rPr>
        <w:t>（三）成绩审核与产生</w:t>
      </w:r>
    </w:p>
    <w:p w14:paraId="46D0BBB5">
      <w:pPr>
        <w:ind w:firstLine="480"/>
        <w:rPr>
          <w:rFonts w:hint="eastAsia" w:ascii="仿宋" w:hAnsi="仿宋" w:eastAsia="仿宋" w:cs="仿宋"/>
        </w:rPr>
      </w:pPr>
      <w:r>
        <w:rPr>
          <w:rFonts w:hint="eastAsia" w:ascii="仿宋" w:hAnsi="仿宋" w:eastAsia="仿宋" w:cs="仿宋"/>
        </w:rPr>
        <w:t>1.评分小组应统计各个工位在该评分项目中的得分，对项目成绩进行复查审核。提交裁判长。</w:t>
      </w:r>
    </w:p>
    <w:p w14:paraId="43E33A96">
      <w:pPr>
        <w:ind w:firstLine="480"/>
        <w:rPr>
          <w:rFonts w:hint="eastAsia" w:ascii="仿宋" w:hAnsi="仿宋" w:eastAsia="仿宋" w:cs="仿宋"/>
        </w:rPr>
      </w:pPr>
      <w:r>
        <w:rPr>
          <w:rFonts w:hint="eastAsia" w:ascii="仿宋" w:hAnsi="仿宋" w:eastAsia="仿宋" w:cs="仿宋"/>
        </w:rPr>
        <w:t>2.裁判长统计各个工位各个评分项目的得分，产生每个工位的总分（竞赛成绩）。</w:t>
      </w:r>
    </w:p>
    <w:p w14:paraId="6792E167">
      <w:pPr>
        <w:ind w:firstLine="480"/>
        <w:rPr>
          <w:rFonts w:hint="eastAsia" w:ascii="仿宋" w:hAnsi="仿宋" w:eastAsia="仿宋" w:cs="仿宋"/>
        </w:rPr>
      </w:pPr>
      <w:r>
        <w:rPr>
          <w:rFonts w:hint="eastAsia" w:ascii="仿宋" w:hAnsi="仿宋" w:eastAsia="仿宋" w:cs="仿宋"/>
        </w:rPr>
        <w:t>3.为保障成绩评判的准确性，监督组将对赛项成绩抽检复核，如发现成绩错误以书面方式及时告知裁判长，由裁判长更正成绩并签字确认。</w:t>
      </w:r>
    </w:p>
    <w:p w14:paraId="6BAEB12D">
      <w:pPr>
        <w:ind w:firstLine="480"/>
        <w:rPr>
          <w:rFonts w:hint="eastAsia" w:ascii="仿宋" w:hAnsi="仿宋" w:eastAsia="仿宋" w:cs="仿宋"/>
        </w:rPr>
      </w:pPr>
      <w:r>
        <w:rPr>
          <w:rFonts w:hint="eastAsia" w:ascii="仿宋" w:hAnsi="仿宋" w:eastAsia="仿宋" w:cs="仿宋"/>
        </w:rPr>
        <w:t>4.最终成绩经复核无误，由加密裁判在监督员的监督下解密，由裁判长、监督人员签字确认。</w:t>
      </w:r>
    </w:p>
    <w:p w14:paraId="45B8A8E7">
      <w:pPr>
        <w:pStyle w:val="3"/>
        <w:ind w:firstLine="562"/>
        <w:rPr>
          <w:rFonts w:hint="eastAsia" w:ascii="仿宋" w:hAnsi="仿宋" w:eastAsia="仿宋" w:cs="仿宋"/>
        </w:rPr>
      </w:pPr>
      <w:bookmarkStart w:id="15" w:name="_Toc17844"/>
      <w:r>
        <w:rPr>
          <w:rFonts w:hint="eastAsia" w:ascii="仿宋" w:hAnsi="仿宋" w:eastAsia="仿宋" w:cs="仿宋"/>
        </w:rPr>
        <w:t>十一、奖项设定</w:t>
      </w:r>
      <w:bookmarkEnd w:id="15"/>
    </w:p>
    <w:p w14:paraId="2C488AD0">
      <w:pPr>
        <w:ind w:firstLine="480"/>
        <w:rPr>
          <w:rFonts w:hint="eastAsia" w:ascii="仿宋" w:hAnsi="仿宋" w:eastAsia="仿宋" w:cs="仿宋"/>
        </w:rPr>
      </w:pPr>
      <w:r>
        <w:rPr>
          <w:rFonts w:hint="eastAsia" w:ascii="仿宋" w:hAnsi="仿宋" w:eastAsia="仿宋" w:cs="仿宋"/>
        </w:rPr>
        <w:t>根据竞赛成绩，从高到低排序，按参赛</w:t>
      </w:r>
      <w:r>
        <w:rPr>
          <w:rFonts w:hint="eastAsia" w:ascii="仿宋" w:hAnsi="仿宋" w:eastAsia="仿宋" w:cs="仿宋"/>
          <w:lang w:val="en-US" w:eastAsia="zh-CN"/>
        </w:rPr>
        <w:t>队伍</w:t>
      </w:r>
      <w:r>
        <w:rPr>
          <w:rFonts w:hint="eastAsia" w:ascii="仿宋" w:hAnsi="仿宋" w:eastAsia="仿宋" w:cs="仿宋"/>
        </w:rPr>
        <w:t>的10%设一等奖，20%设二等奖，30%设三等奖。</w:t>
      </w:r>
    </w:p>
    <w:p w14:paraId="6A4EC157">
      <w:pPr>
        <w:pStyle w:val="3"/>
        <w:ind w:firstLine="562"/>
        <w:rPr>
          <w:rFonts w:hint="eastAsia" w:ascii="仿宋" w:hAnsi="仿宋" w:eastAsia="仿宋" w:cs="仿宋"/>
        </w:rPr>
      </w:pPr>
      <w:bookmarkStart w:id="16" w:name="_Toc22212"/>
      <w:r>
        <w:rPr>
          <w:rFonts w:hint="eastAsia" w:ascii="仿宋" w:hAnsi="仿宋" w:eastAsia="仿宋" w:cs="仿宋"/>
        </w:rPr>
        <w:t>十二、赛场预案</w:t>
      </w:r>
      <w:bookmarkEnd w:id="16"/>
    </w:p>
    <w:p w14:paraId="4836FBE0">
      <w:pPr>
        <w:pStyle w:val="5"/>
        <w:ind w:firstLine="482"/>
        <w:rPr>
          <w:rFonts w:hint="eastAsia" w:ascii="仿宋" w:hAnsi="仿宋" w:eastAsia="仿宋" w:cs="仿宋"/>
        </w:rPr>
      </w:pPr>
      <w:bookmarkStart w:id="17" w:name="_Toc23484"/>
      <w:r>
        <w:rPr>
          <w:rFonts w:hint="eastAsia" w:ascii="仿宋" w:hAnsi="仿宋" w:eastAsia="仿宋" w:cs="仿宋"/>
        </w:rPr>
        <w:t>（一）竞赛平台相关预案</w:t>
      </w:r>
      <w:bookmarkEnd w:id="17"/>
      <w:r>
        <w:rPr>
          <w:rFonts w:hint="eastAsia" w:ascii="仿宋" w:hAnsi="仿宋" w:eastAsia="仿宋" w:cs="仿宋"/>
        </w:rPr>
        <w:t xml:space="preserve"> </w:t>
      </w:r>
    </w:p>
    <w:p w14:paraId="1572A1DE">
      <w:pPr>
        <w:ind w:firstLine="480"/>
        <w:rPr>
          <w:rFonts w:hint="eastAsia" w:ascii="仿宋" w:hAnsi="仿宋" w:eastAsia="仿宋" w:cs="仿宋"/>
        </w:rPr>
      </w:pPr>
      <w:r>
        <w:rPr>
          <w:rFonts w:hint="eastAsia" w:ascii="仿宋" w:hAnsi="仿宋" w:eastAsia="仿宋" w:cs="仿宋"/>
        </w:rPr>
        <w:t xml:space="preserve">1.竞赛平台在竞赛前1周进入赛场，并对竞赛设备进行满负荷测试连续24小时，确保零故障。 </w:t>
      </w:r>
    </w:p>
    <w:p w14:paraId="70F318BC">
      <w:pPr>
        <w:ind w:firstLine="480"/>
        <w:rPr>
          <w:rFonts w:hint="eastAsia" w:ascii="仿宋" w:hAnsi="仿宋" w:eastAsia="仿宋" w:cs="仿宋"/>
        </w:rPr>
      </w:pPr>
      <w:r>
        <w:rPr>
          <w:rFonts w:hint="eastAsia" w:ascii="仿宋" w:hAnsi="仿宋" w:eastAsia="仿宋" w:cs="仿宋"/>
        </w:rPr>
        <w:t xml:space="preserve">2.竞赛现场提供5%的备用赛位，在竞赛设备出现故障无法短时间恢复时，由裁判长确认启动备用赛位。 </w:t>
      </w:r>
    </w:p>
    <w:p w14:paraId="002B54A4">
      <w:pPr>
        <w:ind w:firstLine="480"/>
        <w:rPr>
          <w:rFonts w:hint="eastAsia" w:ascii="仿宋" w:hAnsi="仿宋" w:eastAsia="仿宋" w:cs="仿宋"/>
        </w:rPr>
      </w:pPr>
      <w:r>
        <w:rPr>
          <w:rFonts w:hint="eastAsia" w:ascii="仿宋" w:hAnsi="仿宋" w:eastAsia="仿宋" w:cs="仿宋"/>
        </w:rPr>
        <w:t xml:space="preserve">3.竞赛现场为竞赛设备提供专用UPS电源，保证意外断电情况下竞赛设备可正常工作10分钟以上。 </w:t>
      </w:r>
    </w:p>
    <w:p w14:paraId="0B334055">
      <w:pPr>
        <w:ind w:firstLine="480"/>
        <w:rPr>
          <w:rFonts w:hint="eastAsia" w:ascii="仿宋" w:hAnsi="仿宋" w:eastAsia="仿宋" w:cs="仿宋"/>
        </w:rPr>
      </w:pPr>
      <w:r>
        <w:rPr>
          <w:rFonts w:hint="eastAsia" w:ascii="仿宋" w:hAnsi="仿宋" w:eastAsia="仿宋" w:cs="仿宋"/>
        </w:rPr>
        <w:t xml:space="preserve">4.竞赛现场确保提供充足的专业技术人员，辅助裁判确认竞赛设备的软硬件状态，保障竞赛顺利进行。 </w:t>
      </w:r>
    </w:p>
    <w:p w14:paraId="706BAD90">
      <w:pPr>
        <w:pStyle w:val="5"/>
        <w:ind w:firstLine="482"/>
        <w:rPr>
          <w:rFonts w:hint="eastAsia" w:ascii="仿宋" w:hAnsi="仿宋" w:eastAsia="仿宋" w:cs="仿宋"/>
        </w:rPr>
      </w:pPr>
      <w:r>
        <w:rPr>
          <w:rFonts w:hint="eastAsia" w:ascii="仿宋" w:hAnsi="仿宋" w:eastAsia="仿宋" w:cs="仿宋"/>
        </w:rPr>
        <w:t xml:space="preserve">（二）赛场环境相关预案 </w:t>
      </w:r>
    </w:p>
    <w:p w14:paraId="0A4A6338">
      <w:pPr>
        <w:ind w:firstLine="480"/>
        <w:rPr>
          <w:rFonts w:hint="eastAsia" w:ascii="仿宋" w:hAnsi="仿宋" w:eastAsia="仿宋" w:cs="仿宋"/>
        </w:rPr>
      </w:pPr>
      <w:r>
        <w:rPr>
          <w:rFonts w:hint="eastAsia" w:ascii="仿宋" w:hAnsi="仿宋" w:eastAsia="仿宋" w:cs="仿宋"/>
        </w:rPr>
        <w:t xml:space="preserve">1.竞赛现场配置专业电工维修人员，保障供电正常。 </w:t>
      </w:r>
    </w:p>
    <w:p w14:paraId="2FF203A8">
      <w:pPr>
        <w:ind w:firstLine="480"/>
        <w:rPr>
          <w:rFonts w:hint="eastAsia" w:ascii="仿宋" w:hAnsi="仿宋" w:eastAsia="仿宋" w:cs="仿宋"/>
        </w:rPr>
      </w:pPr>
      <w:r>
        <w:rPr>
          <w:rFonts w:hint="eastAsia" w:ascii="仿宋" w:hAnsi="仿宋" w:eastAsia="仿宋" w:cs="仿宋"/>
        </w:rPr>
        <w:t xml:space="preserve">2.竞赛现场配置医务人员和常用药品，当出现人员受伤时做到及时救护。 </w:t>
      </w:r>
    </w:p>
    <w:p w14:paraId="6DFE89BF">
      <w:pPr>
        <w:ind w:firstLine="480"/>
        <w:rPr>
          <w:rFonts w:hint="eastAsia" w:ascii="仿宋" w:hAnsi="仿宋" w:eastAsia="仿宋" w:cs="仿宋"/>
        </w:rPr>
      </w:pPr>
      <w:r>
        <w:rPr>
          <w:rFonts w:hint="eastAsia" w:ascii="仿宋" w:hAnsi="仿宋" w:eastAsia="仿宋" w:cs="仿宋"/>
        </w:rPr>
        <w:t xml:space="preserve">3.竞赛现场配置安全通道。发生突发事件时，全体人员必须服从命令、听从指挥。安全人员立即打开出口门，疏导参赛人员有序撤离现场。 </w:t>
      </w:r>
    </w:p>
    <w:p w14:paraId="3C109564">
      <w:pPr>
        <w:ind w:firstLine="480"/>
        <w:rPr>
          <w:rFonts w:hint="eastAsia" w:ascii="仿宋" w:hAnsi="仿宋" w:eastAsia="仿宋" w:cs="仿宋"/>
        </w:rPr>
      </w:pPr>
      <w:r>
        <w:rPr>
          <w:rFonts w:hint="eastAsia" w:ascii="仿宋" w:hAnsi="仿宋" w:eastAsia="仿宋" w:cs="仿宋"/>
        </w:rPr>
        <w:t xml:space="preserve">4.比赛期间发生意外事故，发现者应在第一时间报告大赛执委会，同时采取必要措施，并向大赛组委会报告。 </w:t>
      </w:r>
    </w:p>
    <w:p w14:paraId="11059884">
      <w:pPr>
        <w:ind w:firstLine="480"/>
        <w:rPr>
          <w:rFonts w:hint="eastAsia" w:ascii="仿宋" w:hAnsi="仿宋" w:eastAsia="仿宋" w:cs="仿宋"/>
        </w:rPr>
      </w:pPr>
      <w:r>
        <w:rPr>
          <w:rFonts w:hint="eastAsia" w:ascii="仿宋" w:hAnsi="仿宋" w:eastAsia="仿宋" w:cs="仿宋"/>
        </w:rPr>
        <w:t>5.经裁判长、现场裁判、技术人员现场判定，若因竞赛选手个人主观原因引起的设备故障，予以更换备用设备，不予补时；若因竞赛设备自身软硬件故障等客观原因无法正常工作，对由此造成的时间损失予以酌情补时。以上情况均需做好相应现场情况记录（选手签字确认）。</w:t>
      </w:r>
    </w:p>
    <w:p w14:paraId="0A8A3309">
      <w:pPr>
        <w:pStyle w:val="3"/>
        <w:ind w:firstLine="562"/>
        <w:rPr>
          <w:rFonts w:hint="eastAsia" w:ascii="仿宋" w:hAnsi="仿宋" w:eastAsia="仿宋" w:cs="仿宋"/>
        </w:rPr>
      </w:pPr>
      <w:bookmarkStart w:id="18" w:name="_Toc10919"/>
      <w:r>
        <w:rPr>
          <w:rFonts w:hint="eastAsia" w:ascii="仿宋" w:hAnsi="仿宋" w:eastAsia="仿宋" w:cs="仿宋"/>
        </w:rPr>
        <w:t>十三、赛项安全</w:t>
      </w:r>
      <w:bookmarkEnd w:id="18"/>
    </w:p>
    <w:p w14:paraId="05DEC60A">
      <w:pPr>
        <w:ind w:firstLine="480"/>
        <w:rPr>
          <w:rFonts w:hint="eastAsia" w:ascii="仿宋" w:hAnsi="仿宋" w:eastAsia="仿宋" w:cs="仿宋"/>
        </w:rPr>
      </w:pPr>
      <w:r>
        <w:rPr>
          <w:rFonts w:hint="eastAsia" w:ascii="仿宋" w:hAnsi="仿宋" w:eastAsia="仿宋" w:cs="仿宋"/>
        </w:rPr>
        <w:t>赛项安全是技能竞赛一切工作顺利开展的先决条件，是赛项筹备和运行工作必须考虑的核心问题。采取切实有效措施保证大赛期间参赛选手、指导教师、裁判员、工作人员及观众的人身安全。</w:t>
      </w:r>
    </w:p>
    <w:p w14:paraId="1EA5ACED">
      <w:pPr>
        <w:pStyle w:val="5"/>
        <w:ind w:firstLine="482"/>
        <w:rPr>
          <w:rFonts w:hint="eastAsia" w:ascii="仿宋" w:hAnsi="仿宋" w:eastAsia="仿宋" w:cs="仿宋"/>
        </w:rPr>
      </w:pPr>
      <w:bookmarkStart w:id="19" w:name="_Toc361563584"/>
      <w:r>
        <w:rPr>
          <w:rFonts w:hint="eastAsia" w:ascii="仿宋" w:hAnsi="仿宋" w:eastAsia="仿宋" w:cs="仿宋"/>
        </w:rPr>
        <w:t>（一）比赛环境</w:t>
      </w:r>
      <w:bookmarkEnd w:id="19"/>
    </w:p>
    <w:p w14:paraId="1B06F36E">
      <w:pPr>
        <w:ind w:firstLine="480"/>
        <w:rPr>
          <w:rFonts w:hint="eastAsia" w:ascii="仿宋" w:hAnsi="仿宋" w:eastAsia="仿宋" w:cs="仿宋"/>
        </w:rPr>
      </w:pPr>
      <w:r>
        <w:rPr>
          <w:rFonts w:hint="eastAsia" w:ascii="仿宋" w:hAnsi="仿宋" w:eastAsia="仿宋" w:cs="仿宋"/>
        </w:rPr>
        <w:t>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赛项规程要求排除安全隐患。</w:t>
      </w:r>
    </w:p>
    <w:p w14:paraId="6ED4A485">
      <w:pPr>
        <w:ind w:firstLine="480"/>
        <w:rPr>
          <w:rFonts w:hint="eastAsia" w:ascii="仿宋" w:hAnsi="仿宋" w:eastAsia="仿宋" w:cs="仿宋"/>
        </w:rPr>
      </w:pPr>
      <w:r>
        <w:rPr>
          <w:rFonts w:hint="eastAsia" w:ascii="仿宋" w:hAnsi="仿宋" w:eastAsia="仿宋" w:cs="仿宋"/>
        </w:rPr>
        <w:t xml:space="preserve"> 赛场周围要设立警戒线，防止无关人员进入发生意外事件。比赛现场内应参照相关职业岗位的要求为选手提供必要的劳动保护。在具有危险性的操作环节，裁判员要严防选手出现错误操作。</w:t>
      </w:r>
    </w:p>
    <w:p w14:paraId="4899F9FD">
      <w:pPr>
        <w:ind w:firstLine="480"/>
        <w:rPr>
          <w:rFonts w:hint="eastAsia" w:ascii="仿宋" w:hAnsi="仿宋" w:eastAsia="仿宋" w:cs="仿宋"/>
        </w:rPr>
      </w:pPr>
      <w:r>
        <w:rPr>
          <w:rFonts w:hint="eastAsia" w:ascii="仿宋" w:hAnsi="仿宋" w:eastAsia="仿宋" w:cs="仿宋"/>
        </w:rPr>
        <w:t xml:space="preserve"> 承办单位应提供保证应急预案实施的条件。对于比赛内容涉及高空作业、可能有坠物、大用电量、易发生火灾等情况的赛项，必须明确制度和预案，并配备急救人员与设施。</w:t>
      </w:r>
    </w:p>
    <w:p w14:paraId="0D9E8E70">
      <w:pPr>
        <w:ind w:firstLine="480"/>
        <w:rPr>
          <w:rFonts w:hint="eastAsia" w:ascii="仿宋" w:hAnsi="仿宋" w:eastAsia="仿宋" w:cs="仿宋"/>
        </w:rPr>
      </w:pPr>
      <w:r>
        <w:rPr>
          <w:rFonts w:hint="eastAsia" w:ascii="仿宋" w:hAnsi="仿宋" w:eastAsia="仿宋" w:cs="仿宋"/>
        </w:rPr>
        <w:t>承办单位制定开放赛场和体验区的人员疏导方案。赛场环境中存在人员密集、车流人流交错的区域，除了设置齐全的指示标志外，须增加引导人员，并开辟备用通道。</w:t>
      </w:r>
    </w:p>
    <w:p w14:paraId="2B924255">
      <w:pPr>
        <w:ind w:firstLine="480"/>
        <w:rPr>
          <w:rFonts w:hint="eastAsia" w:ascii="仿宋" w:hAnsi="仿宋" w:eastAsia="仿宋" w:cs="仿宋"/>
        </w:rPr>
      </w:pPr>
      <w:r>
        <w:rPr>
          <w:rFonts w:hint="eastAsia" w:ascii="仿宋" w:hAnsi="仿宋" w:eastAsia="仿宋" w:cs="仿宋"/>
        </w:rPr>
        <w:t xml:space="preserve"> 大赛期间，承办单位应在赛场管理的关键岗位增加力量并建立安全管理日志。</w:t>
      </w:r>
    </w:p>
    <w:p w14:paraId="1ED7FFEF">
      <w:pPr>
        <w:ind w:firstLine="480"/>
        <w:rPr>
          <w:rFonts w:hint="eastAsia" w:ascii="仿宋" w:hAnsi="仿宋" w:eastAsia="仿宋" w:cs="仿宋"/>
        </w:rPr>
      </w:pPr>
      <w:r>
        <w:rPr>
          <w:rFonts w:hint="eastAsia" w:ascii="仿宋" w:hAnsi="仿宋" w:eastAsia="仿宋" w:cs="仿宋"/>
        </w:rPr>
        <w:t xml:space="preserve"> 参赛选手进入工位、赛事裁判工作人员进入工作场所，严禁携带通讯、照相摄录设备，禁止携带记录用具。如确有需要，由赛场统一配置、统一管理。赛项可根据需要配置安检设备对进入赛场重要部位的人员进行安检。</w:t>
      </w:r>
    </w:p>
    <w:p w14:paraId="2309493E">
      <w:pPr>
        <w:pStyle w:val="5"/>
        <w:ind w:firstLine="482"/>
        <w:rPr>
          <w:rFonts w:hint="eastAsia" w:ascii="仿宋" w:hAnsi="仿宋" w:eastAsia="仿宋" w:cs="仿宋"/>
        </w:rPr>
      </w:pPr>
      <w:bookmarkStart w:id="20" w:name="_Toc361563585"/>
      <w:r>
        <w:rPr>
          <w:rFonts w:hint="eastAsia" w:ascii="仿宋" w:hAnsi="仿宋" w:eastAsia="仿宋" w:cs="仿宋"/>
        </w:rPr>
        <w:t>（二）生活条件</w:t>
      </w:r>
      <w:bookmarkEnd w:id="20"/>
    </w:p>
    <w:p w14:paraId="5FDD0EDE">
      <w:pPr>
        <w:ind w:firstLine="480"/>
        <w:rPr>
          <w:rFonts w:hint="eastAsia" w:ascii="仿宋" w:hAnsi="仿宋" w:eastAsia="仿宋" w:cs="仿宋"/>
        </w:rPr>
      </w:pPr>
      <w:r>
        <w:rPr>
          <w:rFonts w:hint="eastAsia" w:ascii="仿宋" w:hAnsi="仿宋" w:eastAsia="仿宋" w:cs="仿宋"/>
        </w:rPr>
        <w:t xml:space="preserve"> 比赛期间，统一安排参赛选手和指导教师食宿。承办单位须尊重少数民族的信仰及文化，根据国家相关的民族政策，安排好少数民族选手和教师的饮食起居。</w:t>
      </w:r>
    </w:p>
    <w:p w14:paraId="3F09C1CA">
      <w:pPr>
        <w:ind w:firstLine="480"/>
        <w:rPr>
          <w:rFonts w:hint="eastAsia" w:ascii="仿宋" w:hAnsi="仿宋" w:eastAsia="仿宋" w:cs="仿宋"/>
        </w:rPr>
      </w:pPr>
      <w:r>
        <w:rPr>
          <w:rFonts w:hint="eastAsia" w:ascii="仿宋" w:hAnsi="仿宋" w:eastAsia="仿宋" w:cs="仿宋"/>
        </w:rPr>
        <w:t xml:space="preserve"> 比赛期间安排的住宿地应具有宾馆/住宿经营许可资质。以学校宿舍作为住宿地的，大赛期间的住宿、卫生、饮食安全等由提供宿舍的学校负责。</w:t>
      </w:r>
    </w:p>
    <w:p w14:paraId="0C52B5AB">
      <w:pPr>
        <w:ind w:firstLine="480"/>
        <w:rPr>
          <w:rFonts w:hint="eastAsia" w:ascii="仿宋" w:hAnsi="仿宋" w:eastAsia="仿宋" w:cs="仿宋"/>
        </w:rPr>
      </w:pPr>
      <w:r>
        <w:rPr>
          <w:rFonts w:hint="eastAsia" w:ascii="仿宋" w:hAnsi="仿宋" w:eastAsia="仿宋" w:cs="仿宋"/>
        </w:rPr>
        <w:t xml:space="preserve"> 大赛期间承办单位须保障比赛期间选手、指导教师和裁判员、工作人员的交通安全。</w:t>
      </w:r>
    </w:p>
    <w:p w14:paraId="241A4453">
      <w:pPr>
        <w:ind w:firstLine="480"/>
        <w:rPr>
          <w:rFonts w:hint="eastAsia" w:ascii="仿宋" w:hAnsi="仿宋" w:eastAsia="仿宋" w:cs="仿宋"/>
        </w:rPr>
      </w:pPr>
      <w:r>
        <w:rPr>
          <w:rFonts w:hint="eastAsia" w:ascii="仿宋" w:hAnsi="仿宋" w:eastAsia="仿宋" w:cs="仿宋"/>
        </w:rPr>
        <w:t xml:space="preserve"> 各赛项的安全管理，除了可以采取必要的安全隔离措施外，应严格遵守国家相关法律法规，保护个人隐私和人身自由。</w:t>
      </w:r>
    </w:p>
    <w:p w14:paraId="5B697788">
      <w:pPr>
        <w:pStyle w:val="5"/>
        <w:ind w:firstLine="482"/>
        <w:rPr>
          <w:rFonts w:hint="eastAsia" w:ascii="仿宋" w:hAnsi="仿宋" w:eastAsia="仿宋" w:cs="仿宋"/>
        </w:rPr>
      </w:pPr>
      <w:bookmarkStart w:id="21" w:name="_Toc361563586"/>
      <w:r>
        <w:rPr>
          <w:rFonts w:hint="eastAsia" w:ascii="仿宋" w:hAnsi="仿宋" w:eastAsia="仿宋" w:cs="仿宋"/>
        </w:rPr>
        <w:t>（三）参赛队责任</w:t>
      </w:r>
      <w:bookmarkEnd w:id="21"/>
    </w:p>
    <w:p w14:paraId="71D61E3F">
      <w:pPr>
        <w:ind w:firstLine="480"/>
        <w:rPr>
          <w:rFonts w:hint="eastAsia" w:ascii="仿宋" w:hAnsi="仿宋" w:eastAsia="仿宋" w:cs="仿宋"/>
        </w:rPr>
      </w:pPr>
      <w:r>
        <w:rPr>
          <w:rFonts w:hint="eastAsia" w:ascii="仿宋" w:hAnsi="仿宋" w:eastAsia="仿宋" w:cs="仿宋"/>
        </w:rPr>
        <w:t>1.各学校组织参赛队时，须安排为参赛选手、领队、指导教师等人员购买大赛期间的人身意外伤害保险。</w:t>
      </w:r>
    </w:p>
    <w:p w14:paraId="28CF6956">
      <w:pPr>
        <w:ind w:firstLine="480"/>
        <w:rPr>
          <w:rFonts w:hint="eastAsia" w:ascii="仿宋" w:hAnsi="仿宋" w:eastAsia="仿宋" w:cs="仿宋"/>
        </w:rPr>
      </w:pPr>
      <w:r>
        <w:rPr>
          <w:rFonts w:hint="eastAsia" w:ascii="仿宋" w:hAnsi="仿宋" w:eastAsia="仿宋" w:cs="仿宋"/>
        </w:rPr>
        <w:t>2.各学校参赛队组成后，须制定相关管理制度，并对所有选手、指导教师进行安全教育。</w:t>
      </w:r>
    </w:p>
    <w:p w14:paraId="50D622AE">
      <w:pPr>
        <w:ind w:firstLine="480"/>
        <w:rPr>
          <w:rFonts w:hint="eastAsia" w:ascii="仿宋" w:hAnsi="仿宋" w:eastAsia="仿宋" w:cs="仿宋"/>
        </w:rPr>
      </w:pPr>
      <w:r>
        <w:rPr>
          <w:rFonts w:hint="eastAsia" w:ascii="仿宋" w:hAnsi="仿宋" w:eastAsia="仿宋" w:cs="仿宋"/>
        </w:rPr>
        <w:t>3.各参赛队伍须加强对参与比赛人员的安全管理，实现与赛场安全管理的对接。</w:t>
      </w:r>
    </w:p>
    <w:p w14:paraId="2D6B0A52">
      <w:pPr>
        <w:pStyle w:val="5"/>
        <w:ind w:firstLine="482"/>
        <w:rPr>
          <w:rFonts w:hint="eastAsia" w:ascii="仿宋" w:hAnsi="仿宋" w:eastAsia="仿宋" w:cs="仿宋"/>
        </w:rPr>
      </w:pPr>
      <w:bookmarkStart w:id="22" w:name="_Toc361563587"/>
      <w:r>
        <w:rPr>
          <w:rFonts w:hint="eastAsia" w:ascii="仿宋" w:hAnsi="仿宋" w:eastAsia="仿宋" w:cs="仿宋"/>
        </w:rPr>
        <w:t>（四）应急处理</w:t>
      </w:r>
      <w:bookmarkEnd w:id="22"/>
    </w:p>
    <w:p w14:paraId="1A454CAF">
      <w:pPr>
        <w:ind w:firstLine="480"/>
        <w:rPr>
          <w:rFonts w:hint="eastAsia" w:ascii="仿宋" w:hAnsi="仿宋" w:eastAsia="仿宋" w:cs="仿宋"/>
        </w:rPr>
      </w:pPr>
      <w:r>
        <w:rPr>
          <w:rFonts w:hint="eastAsia" w:ascii="仿宋" w:hAnsi="仿宋" w:eastAsia="仿宋" w:cs="仿宋"/>
        </w:rPr>
        <w:t>比赛期间发生意外事故，发现者应第一时间报告赛项专家组长，同时采取措施避免事态扩大，立即启动预案予以解决并报告组委会。赛项出现重大安全问题可以停赛，应向组委会报告详细情况。</w:t>
      </w:r>
    </w:p>
    <w:p w14:paraId="47CE2362">
      <w:pPr>
        <w:pStyle w:val="5"/>
        <w:ind w:firstLine="482"/>
        <w:rPr>
          <w:rFonts w:hint="eastAsia" w:ascii="仿宋" w:hAnsi="仿宋" w:eastAsia="仿宋" w:cs="仿宋"/>
        </w:rPr>
      </w:pPr>
      <w:bookmarkStart w:id="23" w:name="_Toc361563588"/>
      <w:r>
        <w:rPr>
          <w:rFonts w:hint="eastAsia" w:ascii="仿宋" w:hAnsi="仿宋" w:eastAsia="仿宋" w:cs="仿宋"/>
        </w:rPr>
        <w:t>（五）处罚措施</w:t>
      </w:r>
      <w:bookmarkEnd w:id="23"/>
    </w:p>
    <w:p w14:paraId="200ED8DF">
      <w:pPr>
        <w:ind w:firstLine="480"/>
        <w:rPr>
          <w:rFonts w:hint="eastAsia" w:ascii="仿宋" w:hAnsi="仿宋" w:eastAsia="仿宋" w:cs="仿宋"/>
        </w:rPr>
      </w:pPr>
      <w:r>
        <w:rPr>
          <w:rFonts w:hint="eastAsia" w:ascii="仿宋" w:hAnsi="仿宋" w:eastAsia="仿宋" w:cs="仿宋"/>
        </w:rPr>
        <w:t>1.因参赛队伍原因造成重大安全事故的，取消其获奖资格。</w:t>
      </w:r>
    </w:p>
    <w:p w14:paraId="263A0291">
      <w:pPr>
        <w:ind w:firstLine="480"/>
        <w:rPr>
          <w:rFonts w:hint="eastAsia" w:ascii="仿宋" w:hAnsi="仿宋" w:eastAsia="仿宋" w:cs="仿宋"/>
        </w:rPr>
      </w:pPr>
      <w:r>
        <w:rPr>
          <w:rFonts w:hint="eastAsia" w:ascii="仿宋" w:hAnsi="仿宋" w:eastAsia="仿宋" w:cs="仿宋"/>
        </w:rPr>
        <w:t>2.参赛队伍有发生重大安全事故隐患，经赛场工作人员提示、警告无效的，可取消其继续比赛的资格。</w:t>
      </w:r>
    </w:p>
    <w:p w14:paraId="4E7FFA6C">
      <w:pPr>
        <w:ind w:firstLine="480"/>
        <w:rPr>
          <w:rFonts w:hint="eastAsia" w:ascii="仿宋" w:hAnsi="仿宋" w:eastAsia="仿宋" w:cs="仿宋"/>
        </w:rPr>
      </w:pPr>
      <w:r>
        <w:rPr>
          <w:rFonts w:hint="eastAsia" w:ascii="仿宋" w:hAnsi="仿宋" w:eastAsia="仿宋" w:cs="仿宋"/>
        </w:rPr>
        <w:t>3.赛场工作人员违规，按照相应的制度追究责任。情节恶劣并造成重大安全事故的，由司法机关追究相应法律责任。</w:t>
      </w:r>
    </w:p>
    <w:p w14:paraId="452716FF">
      <w:pPr>
        <w:pStyle w:val="3"/>
        <w:ind w:firstLine="562"/>
        <w:rPr>
          <w:rFonts w:hint="eastAsia" w:ascii="仿宋" w:hAnsi="仿宋" w:eastAsia="仿宋" w:cs="仿宋"/>
        </w:rPr>
      </w:pPr>
      <w:bookmarkStart w:id="24" w:name="_Toc9656"/>
      <w:r>
        <w:rPr>
          <w:rFonts w:hint="eastAsia" w:ascii="仿宋" w:hAnsi="仿宋" w:eastAsia="仿宋" w:cs="仿宋"/>
        </w:rPr>
        <w:t>十四、竞赛须知</w:t>
      </w:r>
      <w:bookmarkEnd w:id="24"/>
    </w:p>
    <w:p w14:paraId="3350208F">
      <w:pPr>
        <w:pStyle w:val="5"/>
        <w:ind w:firstLine="482"/>
        <w:rPr>
          <w:rFonts w:hint="eastAsia" w:ascii="仿宋" w:hAnsi="仿宋" w:eastAsia="仿宋" w:cs="仿宋"/>
        </w:rPr>
      </w:pPr>
      <w:r>
        <w:rPr>
          <w:rFonts w:hint="eastAsia" w:ascii="仿宋" w:hAnsi="仿宋" w:eastAsia="仿宋" w:cs="仿宋"/>
        </w:rPr>
        <w:t>（一）参赛队须知</w:t>
      </w:r>
    </w:p>
    <w:p w14:paraId="793FCD77">
      <w:pPr>
        <w:ind w:firstLine="480"/>
        <w:rPr>
          <w:rFonts w:hint="eastAsia" w:ascii="仿宋" w:hAnsi="仿宋" w:eastAsia="仿宋" w:cs="仿宋"/>
        </w:rPr>
      </w:pPr>
      <w:r>
        <w:rPr>
          <w:rFonts w:hint="eastAsia" w:ascii="仿宋" w:hAnsi="仿宋" w:eastAsia="仿宋" w:cs="仿宋"/>
        </w:rPr>
        <w:t>1.参赛队名称统一使用规定的代表队名称。</w:t>
      </w:r>
    </w:p>
    <w:p w14:paraId="1BB9DAF6">
      <w:pPr>
        <w:ind w:firstLine="480"/>
        <w:rPr>
          <w:rFonts w:hint="eastAsia" w:ascii="仿宋" w:hAnsi="仿宋" w:eastAsia="仿宋" w:cs="仿宋"/>
          <w:color w:val="auto"/>
          <w:highlight w:val="none"/>
        </w:rPr>
      </w:pPr>
      <w:r>
        <w:rPr>
          <w:rFonts w:hint="eastAsia" w:ascii="仿宋" w:hAnsi="仿宋" w:eastAsia="仿宋" w:cs="仿宋"/>
        </w:rPr>
        <w:t>2.参赛队员在报名获得审核确认后，原则上不再更换，如筹备过程中，选手因故不能参赛，所在学校需出具书面说明并按相关规定补充人员并接受审核；竞赛开始后，参赛队不得更换参赛队员，</w:t>
      </w:r>
      <w:r>
        <w:rPr>
          <w:rFonts w:hint="eastAsia" w:ascii="仿宋" w:hAnsi="仿宋" w:eastAsia="仿宋" w:cs="仿宋"/>
          <w:color w:val="auto"/>
          <w:highlight w:val="none"/>
        </w:rPr>
        <w:t>（允许缺员比赛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但不得少于2人</w:t>
      </w:r>
      <w:r>
        <w:rPr>
          <w:rFonts w:hint="eastAsia" w:ascii="仿宋" w:hAnsi="仿宋" w:eastAsia="仿宋" w:cs="仿宋"/>
          <w:color w:val="auto"/>
          <w:highlight w:val="none"/>
        </w:rPr>
        <w:t>）。</w:t>
      </w:r>
    </w:p>
    <w:p w14:paraId="1982C10C">
      <w:pPr>
        <w:ind w:firstLine="480"/>
        <w:rPr>
          <w:rFonts w:hint="eastAsia" w:ascii="仿宋" w:hAnsi="仿宋" w:eastAsia="仿宋" w:cs="仿宋"/>
        </w:rPr>
      </w:pPr>
      <w:r>
        <w:rPr>
          <w:rFonts w:hint="eastAsia" w:ascii="仿宋" w:hAnsi="仿宋" w:eastAsia="仿宋" w:cs="仿宋"/>
        </w:rPr>
        <w:t>3.参赛队按照大赛赛程安排凭大赛组委会颁发的参赛证和有效身份证件参加比赛及相关活动。</w:t>
      </w:r>
    </w:p>
    <w:p w14:paraId="20BCFB00">
      <w:pPr>
        <w:ind w:firstLine="480"/>
        <w:rPr>
          <w:rFonts w:hint="eastAsia" w:ascii="仿宋" w:hAnsi="仿宋" w:eastAsia="仿宋" w:cs="仿宋"/>
        </w:rPr>
      </w:pPr>
      <w:r>
        <w:rPr>
          <w:rFonts w:hint="eastAsia" w:ascii="仿宋" w:hAnsi="仿宋" w:eastAsia="仿宋" w:cs="仿宋"/>
        </w:rPr>
        <w:t>4.各参赛队统一安排参加比赛前熟悉场地环境的活动。</w:t>
      </w:r>
    </w:p>
    <w:p w14:paraId="0FDABD05">
      <w:pPr>
        <w:ind w:firstLine="480"/>
        <w:rPr>
          <w:rFonts w:hint="eastAsia" w:ascii="仿宋" w:hAnsi="仿宋" w:eastAsia="仿宋" w:cs="仿宋"/>
        </w:rPr>
      </w:pPr>
      <w:r>
        <w:rPr>
          <w:rFonts w:hint="eastAsia" w:ascii="仿宋" w:hAnsi="仿宋" w:eastAsia="仿宋" w:cs="仿宋"/>
        </w:rPr>
        <w:t>5.各参赛队准时参加赛前领队会，领队会上举行抽签仪式抽取场次号。</w:t>
      </w:r>
    </w:p>
    <w:p w14:paraId="4953940D">
      <w:pPr>
        <w:ind w:firstLine="480"/>
        <w:rPr>
          <w:rFonts w:hint="eastAsia" w:ascii="仿宋" w:hAnsi="仿宋" w:eastAsia="仿宋" w:cs="仿宋"/>
        </w:rPr>
      </w:pPr>
      <w:r>
        <w:rPr>
          <w:rFonts w:hint="eastAsia" w:ascii="仿宋" w:hAnsi="仿宋" w:eastAsia="仿宋" w:cs="仿宋"/>
        </w:rPr>
        <w:t>6.各参赛队要注意饮食卫生，防止食物中毒。</w:t>
      </w:r>
    </w:p>
    <w:p w14:paraId="2C52A709">
      <w:pPr>
        <w:ind w:firstLine="480"/>
        <w:rPr>
          <w:rFonts w:hint="eastAsia" w:ascii="仿宋" w:hAnsi="仿宋" w:eastAsia="仿宋" w:cs="仿宋"/>
        </w:rPr>
      </w:pPr>
      <w:r>
        <w:rPr>
          <w:rFonts w:hint="eastAsia" w:ascii="仿宋" w:hAnsi="仿宋" w:eastAsia="仿宋" w:cs="仿宋"/>
        </w:rPr>
        <w:t>7.各参赛队要发扬良好道德风尚，听从指挥，服从裁判，不弄虚作假。</w:t>
      </w:r>
    </w:p>
    <w:p w14:paraId="4D2B95F3">
      <w:pPr>
        <w:pStyle w:val="5"/>
        <w:ind w:firstLine="482"/>
        <w:rPr>
          <w:rFonts w:hint="eastAsia" w:ascii="仿宋" w:hAnsi="仿宋" w:eastAsia="仿宋" w:cs="仿宋"/>
        </w:rPr>
      </w:pPr>
      <w:r>
        <w:rPr>
          <w:rFonts w:hint="eastAsia" w:ascii="仿宋" w:hAnsi="仿宋" w:eastAsia="仿宋" w:cs="仿宋"/>
        </w:rPr>
        <w:t>（二）指导</w:t>
      </w:r>
      <w:r>
        <w:rPr>
          <w:rFonts w:hint="eastAsia" w:ascii="仿宋" w:hAnsi="仿宋" w:eastAsia="仿宋" w:cs="仿宋"/>
          <w:lang w:val="en-US" w:eastAsia="zh-CN"/>
        </w:rPr>
        <w:t>教师</w:t>
      </w:r>
      <w:r>
        <w:rPr>
          <w:rFonts w:hint="eastAsia" w:ascii="仿宋" w:hAnsi="仿宋" w:eastAsia="仿宋" w:cs="仿宋"/>
        </w:rPr>
        <w:t>须知</w:t>
      </w:r>
    </w:p>
    <w:p w14:paraId="16617104">
      <w:pPr>
        <w:ind w:firstLine="480"/>
        <w:rPr>
          <w:rFonts w:hint="eastAsia" w:ascii="仿宋" w:hAnsi="仿宋" w:eastAsia="仿宋" w:cs="仿宋"/>
        </w:rPr>
      </w:pPr>
      <w:r>
        <w:rPr>
          <w:rFonts w:hint="eastAsia" w:ascii="仿宋" w:hAnsi="仿宋" w:eastAsia="仿宋" w:cs="仿宋"/>
        </w:rPr>
        <w:t>1.各指导老师要发扬良好道德风尚，听从指挥，服从裁判，不弄虚作假。指导老师经报名、审核后确定，一经确定不得更换。</w:t>
      </w:r>
    </w:p>
    <w:p w14:paraId="11751D3A">
      <w:pPr>
        <w:ind w:firstLine="480"/>
        <w:rPr>
          <w:rFonts w:hint="eastAsia" w:ascii="仿宋" w:hAnsi="仿宋" w:eastAsia="仿宋" w:cs="仿宋"/>
        </w:rPr>
      </w:pPr>
      <w:r>
        <w:rPr>
          <w:rFonts w:hint="eastAsia" w:ascii="仿宋" w:hAnsi="仿宋" w:eastAsia="仿宋" w:cs="仿宋"/>
        </w:rPr>
        <w:t>2.对申诉的仲裁结果，领队和指导老师应带头服从和执行，还应说服选手服从和执行。</w:t>
      </w:r>
    </w:p>
    <w:p w14:paraId="08B85785">
      <w:pPr>
        <w:ind w:firstLine="480"/>
        <w:rPr>
          <w:rFonts w:hint="eastAsia" w:ascii="仿宋" w:hAnsi="仿宋" w:eastAsia="仿宋" w:cs="仿宋"/>
        </w:rPr>
      </w:pPr>
      <w:r>
        <w:rPr>
          <w:rFonts w:hint="eastAsia" w:ascii="仿宋" w:hAnsi="仿宋" w:eastAsia="仿宋" w:cs="仿宋"/>
        </w:rPr>
        <w:t>3.指导老师应认真研究和掌握本赛项比赛的技术规则和赛场要求，指导选手做好赛前的一切准备工作。</w:t>
      </w:r>
    </w:p>
    <w:p w14:paraId="390F32E7">
      <w:pPr>
        <w:ind w:firstLine="480"/>
        <w:rPr>
          <w:rFonts w:hint="eastAsia" w:ascii="仿宋" w:hAnsi="仿宋" w:eastAsia="仿宋" w:cs="仿宋"/>
        </w:rPr>
      </w:pPr>
      <w:r>
        <w:rPr>
          <w:rFonts w:hint="eastAsia" w:ascii="仿宋" w:hAnsi="仿宋" w:eastAsia="仿宋" w:cs="仿宋"/>
        </w:rPr>
        <w:t>4.领队和指导老师应在赛后做好技术总结和工作总结。</w:t>
      </w:r>
    </w:p>
    <w:p w14:paraId="22689176">
      <w:pPr>
        <w:pStyle w:val="5"/>
        <w:ind w:firstLine="482"/>
        <w:rPr>
          <w:rFonts w:hint="eastAsia" w:ascii="仿宋" w:hAnsi="仿宋" w:eastAsia="仿宋" w:cs="仿宋"/>
        </w:rPr>
      </w:pPr>
      <w:r>
        <w:rPr>
          <w:rFonts w:hint="eastAsia" w:ascii="仿宋" w:hAnsi="仿宋" w:eastAsia="仿宋" w:cs="仿宋"/>
        </w:rPr>
        <w:t>（三）参赛选手须知</w:t>
      </w:r>
    </w:p>
    <w:p w14:paraId="23378DDE">
      <w:pPr>
        <w:ind w:firstLine="480"/>
        <w:rPr>
          <w:rFonts w:hint="eastAsia" w:ascii="仿宋" w:hAnsi="仿宋" w:eastAsia="仿宋" w:cs="仿宋"/>
        </w:rPr>
      </w:pPr>
      <w:r>
        <w:rPr>
          <w:rFonts w:hint="eastAsia" w:ascii="仿宋" w:hAnsi="仿宋" w:eastAsia="仿宋" w:cs="仿宋"/>
        </w:rPr>
        <w:t>1.参赛选手应遵守比赛规则，尊重裁判和赛场工作人员，自觉遵守赛场秩序，服从裁判的管理。</w:t>
      </w:r>
    </w:p>
    <w:p w14:paraId="1860C5F9">
      <w:pPr>
        <w:ind w:firstLine="480"/>
        <w:rPr>
          <w:rFonts w:hint="eastAsia" w:ascii="仿宋" w:hAnsi="仿宋" w:eastAsia="仿宋" w:cs="仿宋"/>
        </w:rPr>
      </w:pPr>
      <w:r>
        <w:rPr>
          <w:rFonts w:hint="eastAsia" w:ascii="仿宋" w:hAnsi="仿宋" w:eastAsia="仿宋" w:cs="仿宋"/>
        </w:rPr>
        <w:t>2.参赛选手应佩戴参赛证，带齐身份证、注册的学生证。在赛场的着装，应符合职业要求。在赛场的表现，应体现自己良好的职业习惯和职业素养。</w:t>
      </w:r>
    </w:p>
    <w:p w14:paraId="4F2A99A0">
      <w:pPr>
        <w:ind w:firstLine="480"/>
        <w:rPr>
          <w:rFonts w:hint="eastAsia" w:ascii="仿宋" w:hAnsi="仿宋" w:eastAsia="仿宋" w:cs="仿宋"/>
        </w:rPr>
      </w:pPr>
      <w:r>
        <w:rPr>
          <w:rFonts w:hint="eastAsia" w:ascii="仿宋" w:hAnsi="仿宋" w:eastAsia="仿宋" w:cs="仿宋"/>
        </w:rPr>
        <w:t>3.进入赛场前须将手机等通讯工具交赛场相关人员保管，不能带入赛场。未经检验的工具、电子储存器件和其他不允许带入赛场物品，一律不能进入赛场。</w:t>
      </w:r>
    </w:p>
    <w:p w14:paraId="0BA4417E">
      <w:pPr>
        <w:ind w:firstLine="480"/>
        <w:rPr>
          <w:rFonts w:hint="eastAsia" w:ascii="仿宋" w:hAnsi="仿宋" w:eastAsia="仿宋" w:cs="仿宋"/>
        </w:rPr>
      </w:pPr>
      <w:r>
        <w:rPr>
          <w:rFonts w:hint="eastAsia" w:ascii="仿宋" w:hAnsi="仿宋" w:eastAsia="仿宋" w:cs="仿宋"/>
        </w:rPr>
        <w:t>4.比赛过程中不准互相交谈，不得大声喧哗；不得有影响其他选手比赛的行为，不准有旁窥、夹带等作弊行为。</w:t>
      </w:r>
    </w:p>
    <w:p w14:paraId="1A46BA4C">
      <w:pPr>
        <w:ind w:firstLine="480"/>
        <w:rPr>
          <w:rFonts w:hint="eastAsia" w:ascii="仿宋" w:hAnsi="仿宋" w:eastAsia="仿宋" w:cs="仿宋"/>
        </w:rPr>
      </w:pPr>
      <w:r>
        <w:rPr>
          <w:rFonts w:hint="eastAsia" w:ascii="仿宋" w:hAnsi="仿宋" w:eastAsia="仿宋" w:cs="仿宋"/>
        </w:rPr>
        <w:t>5.参赛选手在比赛的过程中，应遵守安全操作规程，文明的操作。通电调试设备时，应经现场裁判许可，在技术人员监护下进行。</w:t>
      </w:r>
    </w:p>
    <w:p w14:paraId="21E70111">
      <w:pPr>
        <w:ind w:firstLine="480"/>
        <w:rPr>
          <w:rFonts w:hint="eastAsia" w:ascii="仿宋" w:hAnsi="仿宋" w:eastAsia="仿宋" w:cs="仿宋"/>
        </w:rPr>
      </w:pPr>
      <w:r>
        <w:rPr>
          <w:rFonts w:hint="eastAsia" w:ascii="仿宋" w:hAnsi="仿宋" w:eastAsia="仿宋" w:cs="仿宋"/>
        </w:rPr>
        <w:t>6.需要更换元器件、补充耗材时，应向现场裁判报告，并在赛场记录表上填写更换元器件、耗材名称、规格和型号和数量，更换原因，核实从报告到更换（补充）完成的时间并签工位号确认，以便补时。更换的元器件或补充的耗材，现场裁判和技术人员检验后，若与填写的更换原因不符，将从比赛成绩中扣分。</w:t>
      </w:r>
    </w:p>
    <w:p w14:paraId="455BE118">
      <w:pPr>
        <w:ind w:firstLine="480"/>
        <w:rPr>
          <w:rFonts w:hint="eastAsia" w:ascii="仿宋" w:hAnsi="仿宋" w:eastAsia="仿宋" w:cs="仿宋"/>
        </w:rPr>
      </w:pPr>
      <w:r>
        <w:rPr>
          <w:rFonts w:hint="eastAsia" w:ascii="仿宋" w:hAnsi="仿宋" w:eastAsia="仿宋" w:cs="仿宋"/>
        </w:rPr>
        <w:t>7.连接电路、检查设备不能带电操作；通电调试设备前，应先检查电路并记录，确定正确无误后，才能在裁判或技术人员批准后通电。调试设备过程中，因电路问题或操作不当，引起跳闸或熔体熔断，要酌情扣分。</w:t>
      </w:r>
    </w:p>
    <w:p w14:paraId="2EEF198A">
      <w:pPr>
        <w:ind w:firstLine="480"/>
        <w:rPr>
          <w:rFonts w:hint="eastAsia" w:ascii="仿宋" w:hAnsi="仿宋" w:eastAsia="仿宋" w:cs="仿宋"/>
        </w:rPr>
      </w:pPr>
      <w:r>
        <w:rPr>
          <w:rFonts w:hint="eastAsia" w:ascii="仿宋" w:hAnsi="仿宋" w:eastAsia="仿宋" w:cs="仿宋"/>
        </w:rPr>
        <w:t>8.安装调试过程，工具使用、操作方法要符合规范。因工具选择和使用不当，造成设备、器材、工具损坏、工伤事故或影响他人比赛，要酌情扣分。</w:t>
      </w:r>
    </w:p>
    <w:p w14:paraId="7371735E">
      <w:pPr>
        <w:ind w:firstLine="480"/>
        <w:rPr>
          <w:rFonts w:hint="eastAsia" w:ascii="仿宋" w:hAnsi="仿宋" w:eastAsia="仿宋" w:cs="仿宋"/>
        </w:rPr>
      </w:pPr>
      <w:r>
        <w:rPr>
          <w:rFonts w:hint="eastAsia" w:ascii="仿宋" w:hAnsi="仿宋" w:eastAsia="仿宋" w:cs="仿宋"/>
        </w:rPr>
        <w:t>9.比赛过程中需要去洗手间，应报告现场裁判，由裁判或赛场工作人员陪同离开赛场。</w:t>
      </w:r>
    </w:p>
    <w:p w14:paraId="6121BF9D">
      <w:pPr>
        <w:ind w:firstLine="480"/>
        <w:rPr>
          <w:rFonts w:hint="eastAsia" w:ascii="仿宋" w:hAnsi="仿宋" w:eastAsia="仿宋" w:cs="仿宋"/>
        </w:rPr>
      </w:pPr>
      <w:r>
        <w:rPr>
          <w:rFonts w:hint="eastAsia" w:ascii="仿宋" w:hAnsi="仿宋" w:eastAsia="仿宋" w:cs="仿宋"/>
        </w:rPr>
        <w:t>10.完成比赛任务后，需要在比赛结束前离开赛场，需向现场裁判示意，在赛场记录上填写离场时间并签工位号确认后，方可离开赛场到指定区域等候评分，离开赛场后不可再次进入。未完成比赛任务，因病或其他原因需要终止比赛离开赛场，需经裁判长同意，在赛场记录表的相应栏目填写离场原因、离场时间并签工位号确认后，方可离开；离开后，不能再次进入赛场。</w:t>
      </w:r>
    </w:p>
    <w:p w14:paraId="371EA3DF">
      <w:pPr>
        <w:ind w:firstLine="480"/>
        <w:rPr>
          <w:rFonts w:hint="eastAsia" w:ascii="仿宋" w:hAnsi="仿宋" w:eastAsia="仿宋" w:cs="仿宋"/>
        </w:rPr>
      </w:pPr>
      <w:r>
        <w:rPr>
          <w:rFonts w:hint="eastAsia" w:ascii="仿宋" w:hAnsi="仿宋" w:eastAsia="仿宋" w:cs="仿宋"/>
        </w:rPr>
        <w:t>11.裁判长发出停止比赛的指令，选手（包括需要补时的选手）应立即停止操作进入通道，在现场裁判的指挥下离开赛场到达指定的区域等候评分。需要补时的选手在离场后，由现场裁判召唤进场补时。</w:t>
      </w:r>
    </w:p>
    <w:p w14:paraId="48092B62">
      <w:pPr>
        <w:ind w:firstLine="480"/>
        <w:rPr>
          <w:rFonts w:hint="eastAsia" w:ascii="仿宋" w:hAnsi="仿宋" w:eastAsia="仿宋" w:cs="仿宋"/>
        </w:rPr>
      </w:pPr>
      <w:r>
        <w:rPr>
          <w:rFonts w:hint="eastAsia" w:ascii="仿宋" w:hAnsi="仿宋" w:eastAsia="仿宋" w:cs="仿宋"/>
        </w:rPr>
        <w:t>12.赛场工作人员叫到工位号、在等待评分的选手，应迅速进入赛场，与评分裁判一道完成比赛成绩评定。在评分过程中，选手应配合评分裁判，按要求进行设备的操作；可与裁判沟通，解释设备运行中的问题；不可与裁判争辩、争分，影响评分。</w:t>
      </w:r>
    </w:p>
    <w:p w14:paraId="6F5ECA05">
      <w:pPr>
        <w:ind w:firstLine="480"/>
        <w:rPr>
          <w:rFonts w:hint="eastAsia" w:ascii="仿宋" w:hAnsi="仿宋" w:eastAsia="仿宋" w:cs="仿宋"/>
        </w:rPr>
      </w:pPr>
      <w:r>
        <w:rPr>
          <w:rFonts w:hint="eastAsia" w:ascii="仿宋" w:hAnsi="仿宋" w:eastAsia="仿宋" w:cs="仿宋"/>
        </w:rPr>
        <w:t>13.如对裁判员的执裁有异议，可在2小时内由领队向赛项仲裁组以书面形式提出</w:t>
      </w:r>
      <w:r>
        <w:rPr>
          <w:rFonts w:hint="eastAsia" w:ascii="仿宋" w:hAnsi="仿宋" w:eastAsia="仿宋" w:cs="仿宋"/>
          <w:lang w:val="en-US" w:eastAsia="zh-CN"/>
        </w:rPr>
        <w:t>申诉</w:t>
      </w:r>
      <w:r>
        <w:rPr>
          <w:rFonts w:hint="eastAsia" w:ascii="仿宋" w:hAnsi="仿宋" w:eastAsia="仿宋" w:cs="仿宋"/>
        </w:rPr>
        <w:t>。</w:t>
      </w:r>
    </w:p>
    <w:p w14:paraId="3744388C">
      <w:pPr>
        <w:ind w:firstLine="480"/>
        <w:rPr>
          <w:rFonts w:hint="eastAsia" w:ascii="仿宋" w:hAnsi="仿宋" w:eastAsia="仿宋" w:cs="仿宋"/>
        </w:rPr>
      </w:pPr>
      <w:r>
        <w:rPr>
          <w:rFonts w:hint="eastAsia" w:ascii="仿宋" w:hAnsi="仿宋" w:eastAsia="仿宋" w:cs="仿宋"/>
        </w:rPr>
        <w:t>14.遇突发事件，立即报告裁判和赛场工作人员，按赛场裁判和工作人员的指令行动。</w:t>
      </w:r>
    </w:p>
    <w:p w14:paraId="71859A32">
      <w:pPr>
        <w:pStyle w:val="5"/>
        <w:ind w:firstLine="482"/>
        <w:rPr>
          <w:rFonts w:hint="eastAsia" w:ascii="仿宋" w:hAnsi="仿宋" w:eastAsia="仿宋" w:cs="仿宋"/>
        </w:rPr>
      </w:pPr>
      <w:r>
        <w:rPr>
          <w:rFonts w:hint="eastAsia" w:ascii="仿宋" w:hAnsi="仿宋" w:eastAsia="仿宋" w:cs="仿宋"/>
        </w:rPr>
        <w:t>（四）工作人员须知</w:t>
      </w:r>
    </w:p>
    <w:p w14:paraId="78980C21">
      <w:pPr>
        <w:ind w:firstLine="480"/>
        <w:rPr>
          <w:rFonts w:hint="eastAsia" w:ascii="仿宋" w:hAnsi="仿宋" w:eastAsia="仿宋" w:cs="仿宋"/>
        </w:rPr>
      </w:pPr>
      <w:r>
        <w:rPr>
          <w:rFonts w:hint="eastAsia" w:ascii="仿宋" w:hAnsi="仿宋" w:eastAsia="仿宋" w:cs="仿宋"/>
        </w:rPr>
        <w:t>1.工作人员必须服从赛项组委会统一指挥，佩戴工作人员标识，认真履行职责，做好服务赛场、服务选手的工作。</w:t>
      </w:r>
    </w:p>
    <w:p w14:paraId="2BD284C1">
      <w:pPr>
        <w:ind w:firstLine="480"/>
        <w:rPr>
          <w:rFonts w:hint="eastAsia" w:ascii="仿宋" w:hAnsi="仿宋" w:eastAsia="仿宋" w:cs="仿宋"/>
        </w:rPr>
      </w:pPr>
      <w:r>
        <w:rPr>
          <w:rFonts w:hint="eastAsia" w:ascii="仿宋" w:hAnsi="仿宋" w:eastAsia="仿宋" w:cs="仿宋"/>
        </w:rPr>
        <w:t>2.工作人员按照分工准时上岗，不得擅自离岗，应认真履行各自的工作职责，保证竞赛工作的顺利进行。</w:t>
      </w:r>
    </w:p>
    <w:p w14:paraId="6B5571F2">
      <w:pPr>
        <w:ind w:firstLine="480"/>
        <w:rPr>
          <w:rFonts w:hint="eastAsia" w:ascii="仿宋" w:hAnsi="仿宋" w:eastAsia="仿宋" w:cs="仿宋"/>
        </w:rPr>
      </w:pPr>
      <w:r>
        <w:rPr>
          <w:rFonts w:hint="eastAsia" w:ascii="仿宋" w:hAnsi="仿宋" w:eastAsia="仿宋" w:cs="仿宋"/>
        </w:rPr>
        <w:t>3.工作人员应在规定的区域内工作，未经许可，不得擅自进入竞赛场地。如需进场，需经过裁判长同意，核准证件，有裁判跟随入场。</w:t>
      </w:r>
    </w:p>
    <w:p w14:paraId="12A6D58A">
      <w:pPr>
        <w:ind w:firstLine="480"/>
        <w:rPr>
          <w:rFonts w:hint="eastAsia" w:ascii="仿宋" w:hAnsi="仿宋" w:eastAsia="仿宋" w:cs="仿宋"/>
        </w:rPr>
      </w:pPr>
      <w:r>
        <w:rPr>
          <w:rFonts w:hint="eastAsia" w:ascii="仿宋" w:hAnsi="仿宋" w:eastAsia="仿宋" w:cs="仿宋"/>
        </w:rPr>
        <w:t>4.如遇突发事件，须及时向裁判长报告，同时做好疏导工作，避免重大事故发生，确保竞赛圆满成功。</w:t>
      </w:r>
    </w:p>
    <w:p w14:paraId="526C8ADD">
      <w:pPr>
        <w:ind w:firstLine="480"/>
        <w:rPr>
          <w:rFonts w:hint="eastAsia" w:ascii="仿宋" w:hAnsi="仿宋" w:eastAsia="仿宋" w:cs="仿宋"/>
        </w:rPr>
      </w:pPr>
      <w:r>
        <w:rPr>
          <w:rFonts w:hint="eastAsia" w:ascii="仿宋" w:hAnsi="仿宋" w:eastAsia="仿宋" w:cs="仿宋"/>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554DB009">
      <w:pPr>
        <w:pStyle w:val="5"/>
        <w:ind w:firstLine="482"/>
        <w:rPr>
          <w:rFonts w:hint="eastAsia" w:ascii="仿宋" w:hAnsi="仿宋" w:eastAsia="仿宋" w:cs="仿宋"/>
        </w:rPr>
      </w:pPr>
      <w:bookmarkStart w:id="25" w:name="_Toc331270114"/>
      <w:r>
        <w:rPr>
          <w:rFonts w:hint="eastAsia" w:ascii="仿宋" w:hAnsi="仿宋" w:eastAsia="仿宋" w:cs="仿宋"/>
        </w:rPr>
        <w:t>（五）裁判员</w:t>
      </w:r>
      <w:bookmarkEnd w:id="25"/>
      <w:r>
        <w:rPr>
          <w:rFonts w:hint="eastAsia" w:ascii="仿宋" w:hAnsi="仿宋" w:eastAsia="仿宋" w:cs="仿宋"/>
        </w:rPr>
        <w:t>须知</w:t>
      </w:r>
    </w:p>
    <w:p w14:paraId="29DF5C79">
      <w:pPr>
        <w:ind w:firstLine="480"/>
        <w:rPr>
          <w:rFonts w:hint="eastAsia" w:ascii="仿宋" w:hAnsi="仿宋" w:eastAsia="仿宋" w:cs="仿宋"/>
        </w:rPr>
      </w:pPr>
      <w:r>
        <w:rPr>
          <w:rFonts w:hint="eastAsia" w:ascii="仿宋" w:hAnsi="仿宋" w:eastAsia="仿宋" w:cs="仿宋"/>
        </w:rPr>
        <w:t>1.裁判员执裁前应参加培训，了解比赛任务及其要求、考核的知识与技能，认真学习评分标准，理解评分表各评价内容和标准。不参加培训的裁判员，取消执裁资格。</w:t>
      </w:r>
    </w:p>
    <w:p w14:paraId="35EBFB5C">
      <w:pPr>
        <w:ind w:firstLine="480"/>
        <w:rPr>
          <w:rFonts w:hint="eastAsia" w:ascii="仿宋" w:hAnsi="仿宋" w:eastAsia="仿宋" w:cs="仿宋"/>
        </w:rPr>
      </w:pPr>
      <w:r>
        <w:rPr>
          <w:rFonts w:hint="eastAsia" w:ascii="仿宋" w:hAnsi="仿宋" w:eastAsia="仿宋" w:cs="仿宋"/>
        </w:rPr>
        <w:t>2.裁判员执裁期间，统一佩戴裁判员标识，举止文明礼貌，接受参赛人员的监督。</w:t>
      </w:r>
    </w:p>
    <w:p w14:paraId="288232F7">
      <w:pPr>
        <w:ind w:firstLine="480"/>
        <w:rPr>
          <w:rFonts w:hint="eastAsia" w:ascii="仿宋" w:hAnsi="仿宋" w:eastAsia="仿宋" w:cs="仿宋"/>
        </w:rPr>
      </w:pPr>
      <w:r>
        <w:rPr>
          <w:rFonts w:hint="eastAsia" w:ascii="仿宋" w:hAnsi="仿宋" w:eastAsia="仿宋" w:cs="仿宋"/>
        </w:rPr>
        <w:t>3.遵守执裁纪律，履行裁判职责，执行竞赛规则，信守裁判承诺书的各项承诺。服从赛项专家组和裁判长的领导。按照分工开展工作，始终坚守工作岗位，不得擅自离岗。</w:t>
      </w:r>
    </w:p>
    <w:p w14:paraId="44694DAC">
      <w:pPr>
        <w:ind w:firstLine="480"/>
        <w:rPr>
          <w:rFonts w:hint="eastAsia" w:ascii="仿宋" w:hAnsi="仿宋" w:eastAsia="仿宋" w:cs="仿宋"/>
        </w:rPr>
      </w:pPr>
      <w:r>
        <w:rPr>
          <w:rFonts w:hint="eastAsia" w:ascii="仿宋" w:hAnsi="仿宋" w:eastAsia="仿宋" w:cs="仿宋"/>
        </w:rPr>
        <w:t>4.裁判员有维护赛场秩序、执行赛场纪律的责任，也有保证参赛选手安全的责任。时刻注意参赛选手操作安全的问题，制止违反安全操作的行为，防止安全事故的出现。</w:t>
      </w:r>
    </w:p>
    <w:p w14:paraId="69716499">
      <w:pPr>
        <w:ind w:firstLine="480"/>
        <w:rPr>
          <w:rFonts w:hint="eastAsia" w:ascii="仿宋" w:hAnsi="仿宋" w:eastAsia="仿宋" w:cs="仿宋"/>
        </w:rPr>
      </w:pPr>
      <w:r>
        <w:rPr>
          <w:rFonts w:hint="eastAsia" w:ascii="仿宋" w:hAnsi="仿宋" w:eastAsia="仿宋" w:cs="仿宋"/>
        </w:rPr>
        <w:t>5.裁判员不得有任何影响参赛选手比赛的行为，不得向参赛选手暗示或解答与竞赛有关的问题，不得指导、帮助选手完成比赛任务。</w:t>
      </w:r>
    </w:p>
    <w:p w14:paraId="603ED8CC">
      <w:pPr>
        <w:ind w:firstLine="480"/>
        <w:rPr>
          <w:rFonts w:hint="eastAsia" w:ascii="仿宋" w:hAnsi="仿宋" w:eastAsia="仿宋" w:cs="仿宋"/>
        </w:rPr>
      </w:pPr>
      <w:r>
        <w:rPr>
          <w:rFonts w:hint="eastAsia" w:ascii="仿宋" w:hAnsi="仿宋" w:eastAsia="仿宋" w:cs="仿宋"/>
        </w:rPr>
        <w:t>6.公平公正的对待每一位参赛选手，不能有亲近与疏远、热情与冷淡差别。</w:t>
      </w:r>
    </w:p>
    <w:p w14:paraId="10BB4C0F">
      <w:pPr>
        <w:ind w:firstLine="480"/>
        <w:rPr>
          <w:rFonts w:hint="eastAsia" w:ascii="仿宋" w:hAnsi="仿宋" w:eastAsia="仿宋" w:cs="仿宋"/>
        </w:rPr>
      </w:pPr>
      <w:r>
        <w:rPr>
          <w:rFonts w:hint="eastAsia" w:ascii="仿宋" w:hAnsi="仿宋" w:eastAsia="仿宋" w:cs="仿宋"/>
        </w:rPr>
        <w:t>7.选手有检查设备、更换元器件或零件、补充耗材的要求时应予以满足。对更换的元器件要与赛场技术人员一道进行检测，判断选手更换的元器件的情况；检查设备或更换元器件应在赛场记录表上记录更换元器件或补充耗材的名称与型号、要求更换到更换完毕的用时、要求更换的原因、对更换的元器件检测结果，并要求参赛选手签工位号确认。</w:t>
      </w:r>
    </w:p>
    <w:p w14:paraId="5F11B99A">
      <w:pPr>
        <w:ind w:firstLine="480"/>
        <w:rPr>
          <w:rFonts w:hint="eastAsia" w:ascii="仿宋" w:hAnsi="仿宋" w:eastAsia="仿宋" w:cs="仿宋"/>
        </w:rPr>
      </w:pPr>
      <w:r>
        <w:rPr>
          <w:rFonts w:hint="eastAsia" w:ascii="仿宋" w:hAnsi="仿宋" w:eastAsia="仿宋" w:cs="仿宋"/>
        </w:rPr>
        <w:t>8.赛场中选手出现的所有问题如：违反赛场纪律、违反安全操作规程、提前离开赛场等，都应在赛场记录表上记录，并要求学生签工位号确认。</w:t>
      </w:r>
    </w:p>
    <w:p w14:paraId="128F9C67">
      <w:pPr>
        <w:ind w:firstLine="480"/>
        <w:rPr>
          <w:rFonts w:hint="eastAsia" w:ascii="仿宋" w:hAnsi="仿宋" w:eastAsia="仿宋" w:cs="仿宋"/>
        </w:rPr>
      </w:pPr>
      <w:r>
        <w:rPr>
          <w:rFonts w:hint="eastAsia" w:ascii="仿宋" w:hAnsi="仿宋" w:eastAsia="仿宋" w:cs="仿宋"/>
        </w:rPr>
        <w:t>9.严格执行竞赛项目评分标准，做到公平、公正、真实、准确，杜绝随意打分；对评分表的理解和宽严尺度把握有分歧时，请示裁判长解决。严禁利用工作之便，弄虚作假、徇私舞弊。</w:t>
      </w:r>
    </w:p>
    <w:p w14:paraId="254DAEEB">
      <w:pPr>
        <w:ind w:firstLine="480"/>
        <w:rPr>
          <w:rFonts w:hint="eastAsia" w:ascii="仿宋" w:hAnsi="仿宋" w:eastAsia="仿宋" w:cs="仿宋"/>
        </w:rPr>
      </w:pPr>
      <w:r>
        <w:rPr>
          <w:rFonts w:hint="eastAsia" w:ascii="仿宋" w:hAnsi="仿宋" w:eastAsia="仿宋" w:cs="仿宋"/>
        </w:rPr>
        <w:t>10.竞赛期间，因裁判人员工作不负责任，造成竞赛程序无法继续进行或评判结果不真实的情况，由赛项组委会视情节轻重，给予通报批评或停止裁判资格，并通知其所在单位做出相应处理。</w:t>
      </w:r>
    </w:p>
    <w:p w14:paraId="73E4C041">
      <w:pPr>
        <w:pStyle w:val="3"/>
        <w:ind w:firstLine="562"/>
        <w:rPr>
          <w:rFonts w:hint="eastAsia" w:ascii="仿宋" w:hAnsi="仿宋" w:eastAsia="仿宋" w:cs="仿宋"/>
        </w:rPr>
      </w:pPr>
      <w:bookmarkStart w:id="26" w:name="_Toc27786"/>
      <w:r>
        <w:rPr>
          <w:rFonts w:hint="eastAsia" w:ascii="仿宋" w:hAnsi="仿宋" w:eastAsia="仿宋" w:cs="仿宋"/>
        </w:rPr>
        <w:t>十五、申诉与仲裁</w:t>
      </w:r>
      <w:bookmarkEnd w:id="26"/>
    </w:p>
    <w:p w14:paraId="1429B234">
      <w:pPr>
        <w:ind w:firstLine="424" w:firstLineChars="177"/>
        <w:rPr>
          <w:rFonts w:hint="eastAsia" w:ascii="仿宋" w:hAnsi="仿宋" w:eastAsia="仿宋" w:cs="仿宋"/>
        </w:rPr>
      </w:pPr>
      <w:r>
        <w:rPr>
          <w:rFonts w:hint="eastAsia" w:ascii="仿宋" w:hAnsi="仿宋" w:eastAsia="仿宋" w:cs="仿宋"/>
        </w:rPr>
        <w:t>（一）各参赛队对不符合赛项规程规定的设备、工具、材料、计算机软硬件、竞赛执裁、赛场管理及工作人员的不规范行为等，可向赛项仲裁组提出申诉。</w:t>
      </w:r>
    </w:p>
    <w:p w14:paraId="4E32B8D7">
      <w:pPr>
        <w:ind w:firstLine="424" w:firstLineChars="177"/>
        <w:rPr>
          <w:rFonts w:hint="eastAsia" w:ascii="仿宋" w:hAnsi="仿宋" w:eastAsia="仿宋" w:cs="仿宋"/>
        </w:rPr>
      </w:pPr>
      <w:r>
        <w:rPr>
          <w:rFonts w:hint="eastAsia" w:ascii="仿宋" w:hAnsi="仿宋" w:eastAsia="仿宋" w:cs="仿宋"/>
        </w:rPr>
        <w:t>（二）申诉主体为参赛队领队。</w:t>
      </w:r>
    </w:p>
    <w:p w14:paraId="1C9BD49C">
      <w:pPr>
        <w:ind w:firstLine="424" w:firstLineChars="177"/>
        <w:rPr>
          <w:rFonts w:hint="eastAsia" w:ascii="仿宋" w:hAnsi="仿宋" w:eastAsia="仿宋" w:cs="仿宋"/>
        </w:rPr>
      </w:pPr>
      <w:r>
        <w:rPr>
          <w:rFonts w:hint="eastAsia" w:ascii="仿宋" w:hAnsi="仿宋" w:eastAsia="仿宋" w:cs="仿宋"/>
        </w:rPr>
        <w:t>（三）申诉启动时，参赛队以该队领队签字同意的书面报告的形式递交赛项仲裁组。报告应对申诉事件的现象、发生时间、涉及人员、申诉依据等进行充分、实事求是的叙述。非书面申诉不予受理。</w:t>
      </w:r>
    </w:p>
    <w:p w14:paraId="73BE1C68">
      <w:pPr>
        <w:ind w:firstLine="424" w:firstLineChars="177"/>
        <w:rPr>
          <w:rFonts w:hint="eastAsia" w:ascii="仿宋" w:hAnsi="仿宋" w:eastAsia="仿宋" w:cs="仿宋"/>
        </w:rPr>
      </w:pPr>
      <w:r>
        <w:rPr>
          <w:rFonts w:hint="eastAsia" w:ascii="仿宋" w:hAnsi="仿宋" w:eastAsia="仿宋" w:cs="仿宋"/>
        </w:rPr>
        <w:t>（四）提出申诉应在赛项比赛结束后2小时内提出。超过2小时不予受理。</w:t>
      </w:r>
    </w:p>
    <w:p w14:paraId="67478002">
      <w:pPr>
        <w:ind w:firstLine="424" w:firstLineChars="177"/>
        <w:rPr>
          <w:rFonts w:hint="eastAsia" w:ascii="仿宋" w:hAnsi="仿宋" w:eastAsia="仿宋" w:cs="仿宋"/>
        </w:rPr>
      </w:pPr>
      <w:r>
        <w:rPr>
          <w:rFonts w:hint="eastAsia" w:ascii="仿宋" w:hAnsi="仿宋" w:eastAsia="仿宋" w:cs="仿宋"/>
        </w:rPr>
        <w:t>（五）赛项仲裁组在接到申诉报告后的2小时内组织复议，并及时将复议结果以书面形式告知申诉方。申诉方对复议结果仍有异议，可由领队向大赛仲裁工作组提出申诉。大赛仲裁工作组的仲裁结果为最终结果。</w:t>
      </w:r>
    </w:p>
    <w:p w14:paraId="103E5BAD">
      <w:pPr>
        <w:ind w:firstLine="424" w:firstLineChars="177"/>
        <w:rPr>
          <w:rFonts w:hint="eastAsia" w:ascii="仿宋" w:hAnsi="仿宋" w:eastAsia="仿宋" w:cs="仿宋"/>
        </w:rPr>
      </w:pPr>
      <w:r>
        <w:rPr>
          <w:rFonts w:hint="eastAsia" w:ascii="仿宋" w:hAnsi="仿宋" w:eastAsia="仿宋" w:cs="仿宋"/>
        </w:rPr>
        <w:t>（六）申诉方不得以任何理由拒绝接收仲裁结果；不得以任何理由采取过激行为扰乱赛场秩序。仲裁结果由申诉人签收，不能代收；如在约定时间和地点申诉人离开，视为自行放弃申诉。</w:t>
      </w:r>
    </w:p>
    <w:p w14:paraId="26DC7CD5">
      <w:pPr>
        <w:ind w:firstLine="424" w:firstLineChars="177"/>
        <w:rPr>
          <w:rFonts w:hint="eastAsia" w:ascii="仿宋" w:hAnsi="仿宋" w:eastAsia="仿宋" w:cs="仿宋"/>
        </w:rPr>
      </w:pPr>
      <w:r>
        <w:rPr>
          <w:rFonts w:hint="eastAsia" w:ascii="仿宋" w:hAnsi="仿宋" w:eastAsia="仿宋" w:cs="仿宋"/>
        </w:rPr>
        <w:t>（七）申诉方可随时提出放弃申诉。</w:t>
      </w:r>
    </w:p>
    <w:p w14:paraId="4040C21E">
      <w:pPr>
        <w:pStyle w:val="3"/>
        <w:ind w:firstLine="562"/>
        <w:rPr>
          <w:rFonts w:hint="eastAsia" w:ascii="仿宋" w:hAnsi="仿宋" w:eastAsia="仿宋" w:cs="仿宋"/>
        </w:rPr>
      </w:pPr>
      <w:bookmarkStart w:id="27" w:name="_Toc23415"/>
      <w:r>
        <w:rPr>
          <w:rFonts w:hint="eastAsia" w:ascii="仿宋" w:hAnsi="仿宋" w:eastAsia="仿宋" w:cs="仿宋"/>
        </w:rPr>
        <w:t>十六、竞赛观摩</w:t>
      </w:r>
      <w:bookmarkEnd w:id="27"/>
    </w:p>
    <w:p w14:paraId="73E5724F">
      <w:pPr>
        <w:rPr>
          <w:rFonts w:hint="eastAsia" w:ascii="仿宋" w:hAnsi="仿宋" w:eastAsia="仿宋" w:cs="仿宋"/>
        </w:rPr>
      </w:pPr>
      <w:r>
        <w:rPr>
          <w:rFonts w:hint="eastAsia" w:ascii="仿宋" w:hAnsi="仿宋" w:eastAsia="仿宋" w:cs="仿宋"/>
        </w:rPr>
        <w:t xml:space="preserve">（一）竞赛设指定观摩区，安排特定时间有序观摩。观摩观众佩戴由大赛组委会签发的相应证件方可进入观摩区。 </w:t>
      </w:r>
    </w:p>
    <w:p w14:paraId="794D4CD0">
      <w:pPr>
        <w:rPr>
          <w:rFonts w:hint="eastAsia" w:ascii="仿宋" w:hAnsi="仿宋" w:eastAsia="仿宋" w:cs="仿宋"/>
        </w:rPr>
      </w:pPr>
      <w:r>
        <w:rPr>
          <w:rFonts w:hint="eastAsia" w:ascii="仿宋" w:hAnsi="仿宋" w:eastAsia="仿宋" w:cs="仿宋"/>
        </w:rPr>
        <w:t>（二）观摩过程中不得违反</w:t>
      </w:r>
      <w:r>
        <w:rPr>
          <w:rFonts w:hint="eastAsia" w:ascii="仿宋" w:hAnsi="仿宋" w:eastAsia="仿宋" w:cs="仿宋"/>
          <w:lang w:val="en-US" w:eastAsia="zh-CN"/>
        </w:rPr>
        <w:t>河北</w:t>
      </w:r>
      <w:r>
        <w:rPr>
          <w:rFonts w:hint="eastAsia" w:ascii="仿宋" w:hAnsi="仿宋" w:eastAsia="仿宋" w:cs="仿宋"/>
        </w:rPr>
        <w:t>省职业院校技能大赛规定的各项纪律，全程不得以任何形式干扰参赛选手比赛。</w:t>
      </w:r>
    </w:p>
    <w:p w14:paraId="3FC7BFEE">
      <w:pPr>
        <w:rPr>
          <w:rFonts w:hint="eastAsia" w:ascii="仿宋" w:hAnsi="仿宋" w:eastAsia="仿宋" w:cs="仿宋"/>
        </w:rPr>
      </w:pPr>
      <w:r>
        <w:rPr>
          <w:rFonts w:hint="eastAsia" w:ascii="仿宋" w:hAnsi="仿宋" w:eastAsia="仿宋" w:cs="仿宋"/>
        </w:rPr>
        <w:t>（三）观摩期间，若违反有关规定或影响选手竞赛的，严重违纪者除本人被逐出观摩场地外，还将视情况严重程度对所在代表队的选手的成绩进行扣分直至取消比赛资格。</w:t>
      </w:r>
    </w:p>
    <w:p w14:paraId="76FB133C">
      <w:pPr>
        <w:pStyle w:val="3"/>
        <w:ind w:firstLine="562"/>
        <w:rPr>
          <w:rFonts w:hint="eastAsia" w:ascii="仿宋" w:hAnsi="仿宋" w:eastAsia="仿宋" w:cs="仿宋"/>
        </w:rPr>
      </w:pPr>
      <w:bookmarkStart w:id="28" w:name="_Toc16949"/>
      <w:r>
        <w:rPr>
          <w:rFonts w:hint="eastAsia" w:ascii="仿宋" w:hAnsi="仿宋" w:eastAsia="仿宋" w:cs="仿宋"/>
        </w:rPr>
        <w:t>十七、</w:t>
      </w:r>
      <w:bookmarkEnd w:id="28"/>
      <w:bookmarkStart w:id="29" w:name="_Toc14938"/>
      <w:bookmarkStart w:id="30" w:name="_Toc459385090"/>
      <w:bookmarkStart w:id="31" w:name="_Toc311115278"/>
      <w:r>
        <w:rPr>
          <w:rFonts w:hint="eastAsia" w:ascii="仿宋" w:hAnsi="仿宋" w:eastAsia="仿宋" w:cs="仿宋"/>
        </w:rPr>
        <w:t>其他</w:t>
      </w:r>
      <w:bookmarkEnd w:id="29"/>
    </w:p>
    <w:p w14:paraId="5A33DF33">
      <w:pPr>
        <w:ind w:firstLine="480"/>
        <w:rPr>
          <w:rFonts w:hint="eastAsia" w:ascii="仿宋" w:hAnsi="仿宋" w:eastAsia="仿宋" w:cs="仿宋"/>
        </w:rPr>
      </w:pPr>
      <w:r>
        <w:rPr>
          <w:rFonts w:hint="eastAsia" w:ascii="仿宋" w:hAnsi="仿宋" w:eastAsia="仿宋" w:cs="仿宋"/>
        </w:rPr>
        <w:t>1.参赛选手及相关工作人员，由赛项承办院校赛统一安排食宿，费用自理。</w:t>
      </w:r>
    </w:p>
    <w:p w14:paraId="1B2B6E37">
      <w:pPr>
        <w:ind w:firstLine="480"/>
      </w:pPr>
      <w:r>
        <w:rPr>
          <w:rFonts w:hint="eastAsia" w:ascii="仿宋" w:hAnsi="仿宋" w:eastAsia="仿宋" w:cs="仿宋"/>
        </w:rPr>
        <w:t>2.本技术文件的最终解释权归大赛组织委员会</w:t>
      </w:r>
      <w:bookmarkEnd w:id="30"/>
      <w:bookmarkEnd w:id="31"/>
      <w:r>
        <w:rPr>
          <w:rFonts w:hint="eastAsia" w:ascii="仿宋" w:hAnsi="仿宋" w:eastAsia="仿宋" w:cs="仿宋"/>
        </w:rPr>
        <w:t>。</w:t>
      </w:r>
    </w:p>
    <w:p w14:paraId="5EF87E6A"/>
    <w:p w14:paraId="70A00A24"/>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8537">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908D3">
                          <w:pPr>
                            <w:pStyle w:val="11"/>
                            <w:rPr>
                              <w:rStyle w:val="22"/>
                            </w:rPr>
                          </w:pPr>
                          <w:r>
                            <w:fldChar w:fldCharType="begin"/>
                          </w:r>
                          <w:r>
                            <w:rPr>
                              <w:rStyle w:val="22"/>
                            </w:rPr>
                            <w:instrText xml:space="preserve">PAGE  </w:instrText>
                          </w:r>
                          <w:r>
                            <w:fldChar w:fldCharType="separate"/>
                          </w:r>
                          <w:r>
                            <w:rPr>
                              <w:rStyle w:val="22"/>
                            </w:rP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3908D3">
                    <w:pPr>
                      <w:pStyle w:val="11"/>
                      <w:rPr>
                        <w:rStyle w:val="22"/>
                      </w:rPr>
                    </w:pPr>
                    <w:r>
                      <w:fldChar w:fldCharType="begin"/>
                    </w:r>
                    <w:r>
                      <w:rPr>
                        <w:rStyle w:val="22"/>
                      </w:rPr>
                      <w:instrText xml:space="preserve">PAGE  </w:instrText>
                    </w:r>
                    <w:r>
                      <w:fldChar w:fldCharType="separate"/>
                    </w:r>
                    <w:r>
                      <w:rPr>
                        <w:rStyle w:val="22"/>
                      </w:rP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CCE35">
    <w:pPr>
      <w:pStyle w:val="12"/>
      <w:pBdr>
        <w:bottom w:val="none" w:color="auto" w:sz="0" w:space="1"/>
      </w:pBdr>
      <w:tabs>
        <w:tab w:val="left" w:pos="550"/>
      </w:tabs>
      <w:jc w:val="left"/>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6492C"/>
    <w:rsid w:val="07B65C4B"/>
    <w:rsid w:val="0E3F5C9D"/>
    <w:rsid w:val="140D5380"/>
    <w:rsid w:val="1B7C0FF5"/>
    <w:rsid w:val="212E7835"/>
    <w:rsid w:val="21D10A83"/>
    <w:rsid w:val="2273589B"/>
    <w:rsid w:val="24A7157E"/>
    <w:rsid w:val="26275078"/>
    <w:rsid w:val="2D272DE8"/>
    <w:rsid w:val="315E61B6"/>
    <w:rsid w:val="35486EA8"/>
    <w:rsid w:val="37781747"/>
    <w:rsid w:val="3AE42A27"/>
    <w:rsid w:val="3B057A43"/>
    <w:rsid w:val="41D6428B"/>
    <w:rsid w:val="48E74C13"/>
    <w:rsid w:val="520D5CCC"/>
    <w:rsid w:val="67624D08"/>
    <w:rsid w:val="72867F90"/>
    <w:rsid w:val="7CDF1A88"/>
    <w:rsid w:val="7E64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宋体"/>
      <w:kern w:val="2"/>
      <w:sz w:val="24"/>
      <w:szCs w:val="22"/>
      <w:lang w:val="en-US" w:eastAsia="zh-CN" w:bidi="ar-SA"/>
    </w:rPr>
  </w:style>
  <w:style w:type="paragraph" w:styleId="2">
    <w:name w:val="heading 1"/>
    <w:basedOn w:val="1"/>
    <w:next w:val="1"/>
    <w:link w:val="24"/>
    <w:qFormat/>
    <w:uiPriority w:val="99"/>
    <w:pPr>
      <w:keepNext/>
      <w:keepLines/>
      <w:spacing w:line="240" w:lineRule="auto"/>
      <w:ind w:firstLine="0" w:firstLineChars="0"/>
      <w:jc w:val="center"/>
      <w:outlineLvl w:val="0"/>
    </w:pPr>
    <w:rPr>
      <w:rFonts w:eastAsia="黑体"/>
      <w:b/>
      <w:bCs/>
      <w:kern w:val="44"/>
      <w:sz w:val="32"/>
      <w:szCs w:val="44"/>
    </w:rPr>
  </w:style>
  <w:style w:type="paragraph" w:styleId="3">
    <w:name w:val="heading 2"/>
    <w:basedOn w:val="4"/>
    <w:next w:val="1"/>
    <w:link w:val="25"/>
    <w:qFormat/>
    <w:uiPriority w:val="9"/>
    <w:pPr>
      <w:keepNext/>
      <w:keepLines/>
      <w:spacing w:line="240" w:lineRule="auto"/>
      <w:outlineLvl w:val="1"/>
    </w:pPr>
    <w:rPr>
      <w:rFonts w:eastAsia="仿宋_GB2312" w:cs="宋体"/>
      <w:b/>
      <w:bCs/>
      <w:sz w:val="28"/>
      <w:szCs w:val="32"/>
    </w:rPr>
  </w:style>
  <w:style w:type="paragraph" w:styleId="5">
    <w:name w:val="heading 3"/>
    <w:basedOn w:val="1"/>
    <w:next w:val="1"/>
    <w:link w:val="26"/>
    <w:qFormat/>
    <w:uiPriority w:val="0"/>
    <w:pPr>
      <w:keepNext/>
      <w:keepLines/>
      <w:outlineLvl w:val="2"/>
    </w:pPr>
    <w:rPr>
      <w:b/>
      <w:bCs/>
      <w:szCs w:val="32"/>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rPr>
  </w:style>
  <w:style w:type="paragraph" w:styleId="6">
    <w:name w:val="Normal Indent"/>
    <w:basedOn w:val="1"/>
    <w:qFormat/>
    <w:uiPriority w:val="0"/>
    <w:pPr>
      <w:ind w:firstLine="420" w:firstLineChars="200"/>
    </w:pPr>
  </w:style>
  <w:style w:type="paragraph" w:styleId="7">
    <w:name w:val="annotation text"/>
    <w:basedOn w:val="1"/>
    <w:link w:val="36"/>
    <w:qFormat/>
    <w:uiPriority w:val="99"/>
    <w:pPr>
      <w:jc w:val="left"/>
    </w:pPr>
  </w:style>
  <w:style w:type="paragraph" w:styleId="8">
    <w:name w:val="Body Text"/>
    <w:basedOn w:val="1"/>
    <w:qFormat/>
    <w:uiPriority w:val="0"/>
    <w:pPr>
      <w:spacing w:after="120"/>
    </w:pPr>
  </w:style>
  <w:style w:type="paragraph" w:styleId="9">
    <w:name w:val="Plain Text"/>
    <w:basedOn w:val="1"/>
    <w:link w:val="31"/>
    <w:qFormat/>
    <w:uiPriority w:val="0"/>
    <w:pPr>
      <w:spacing w:line="240" w:lineRule="auto"/>
      <w:ind w:firstLine="0" w:firstLineChars="0"/>
    </w:pPr>
    <w:rPr>
      <w:rFonts w:ascii="宋体" w:hAnsi="Courier New" w:eastAsia="宋体" w:cs="Courier New"/>
      <w:sz w:val="21"/>
      <w:szCs w:val="21"/>
    </w:rPr>
  </w:style>
  <w:style w:type="paragraph" w:styleId="10">
    <w:name w:val="Balloon Text"/>
    <w:basedOn w:val="1"/>
    <w:link w:val="29"/>
    <w:qFormat/>
    <w:uiPriority w:val="99"/>
    <w:pPr>
      <w:spacing w:line="240" w:lineRule="auto"/>
      <w:ind w:firstLine="0" w:firstLineChars="0"/>
    </w:pPr>
    <w:rPr>
      <w:rFonts w:ascii="Calibri" w:hAnsi="Calibri" w:eastAsia="宋体"/>
      <w:sz w:val="18"/>
      <w:szCs w:val="18"/>
    </w:rPr>
  </w:style>
  <w:style w:type="paragraph" w:styleId="11">
    <w:name w:val="footer"/>
    <w:basedOn w:val="1"/>
    <w:link w:val="35"/>
    <w:qFormat/>
    <w:uiPriority w:val="0"/>
    <w:pPr>
      <w:tabs>
        <w:tab w:val="center" w:pos="4153"/>
        <w:tab w:val="right" w:pos="8306"/>
      </w:tabs>
      <w:snapToGrid w:val="0"/>
      <w:spacing w:line="240" w:lineRule="auto"/>
      <w:ind w:firstLine="0" w:firstLineChars="0"/>
      <w:jc w:val="left"/>
    </w:pPr>
    <w:rPr>
      <w:rFonts w:eastAsia="宋体" w:cs="Times New Roman"/>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spacing w:line="240" w:lineRule="auto"/>
      <w:ind w:firstLine="0" w:firstLineChars="0"/>
      <w:jc w:val="center"/>
    </w:pPr>
    <w:rPr>
      <w:rFonts w:eastAsia="宋体"/>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link w:val="43"/>
    <w:qFormat/>
    <w:uiPriority w:val="99"/>
    <w:pPr>
      <w:spacing w:line="240" w:lineRule="auto"/>
      <w:ind w:firstLine="0" w:firstLineChars="0"/>
    </w:pPr>
    <w:rPr>
      <w:rFonts w:ascii="Courier New" w:hAnsi="Courier New" w:eastAsia="宋体" w:cs="Courier New"/>
      <w:sz w:val="20"/>
      <w:szCs w:val="20"/>
    </w:rPr>
  </w:style>
  <w:style w:type="paragraph" w:styleId="16">
    <w:name w:val="Title"/>
    <w:basedOn w:val="1"/>
    <w:next w:val="1"/>
    <w:link w:val="27"/>
    <w:qFormat/>
    <w:uiPriority w:val="10"/>
    <w:pPr>
      <w:ind w:firstLine="0" w:firstLineChars="0"/>
      <w:outlineLvl w:val="0"/>
    </w:pPr>
    <w:rPr>
      <w:rFonts w:cs="宋体"/>
      <w:bCs/>
      <w:szCs w:val="32"/>
    </w:rPr>
  </w:style>
  <w:style w:type="paragraph" w:styleId="17">
    <w:name w:val="annotation subject"/>
    <w:basedOn w:val="7"/>
    <w:next w:val="7"/>
    <w:link w:val="34"/>
    <w:qFormat/>
    <w:uiPriority w:val="0"/>
    <w:pPr>
      <w:spacing w:line="240" w:lineRule="auto"/>
      <w:ind w:firstLine="0" w:firstLineChars="0"/>
    </w:pPr>
    <w:rPr>
      <w:rFonts w:ascii="Calibri" w:hAnsi="Calibri" w:eastAsia="宋体"/>
      <w:sz w:val="21"/>
      <w:szCs w:val="24"/>
    </w:rPr>
  </w:style>
  <w:style w:type="table" w:styleId="19">
    <w:name w:val="Table Grid"/>
    <w:basedOn w:val="1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22"/>
    <w:rPr>
      <w:b/>
      <w:bCs/>
    </w:rPr>
  </w:style>
  <w:style w:type="character" w:styleId="22">
    <w:name w:val="page number"/>
    <w:basedOn w:val="20"/>
    <w:qFormat/>
    <w:uiPriority w:val="0"/>
  </w:style>
  <w:style w:type="character" w:styleId="23">
    <w:name w:val="annotation reference"/>
    <w:qFormat/>
    <w:uiPriority w:val="99"/>
    <w:rPr>
      <w:sz w:val="21"/>
      <w:szCs w:val="21"/>
    </w:rPr>
  </w:style>
  <w:style w:type="character" w:customStyle="1" w:styleId="24">
    <w:name w:val="标题 1 字符"/>
    <w:basedOn w:val="20"/>
    <w:link w:val="2"/>
    <w:qFormat/>
    <w:uiPriority w:val="99"/>
    <w:rPr>
      <w:rFonts w:ascii="Times New Roman" w:hAnsi="Times New Roman" w:eastAsia="黑体"/>
      <w:b/>
      <w:bCs/>
      <w:kern w:val="44"/>
      <w:sz w:val="32"/>
      <w:szCs w:val="44"/>
    </w:rPr>
  </w:style>
  <w:style w:type="character" w:customStyle="1" w:styleId="25">
    <w:name w:val="标题 2 字符"/>
    <w:basedOn w:val="20"/>
    <w:link w:val="3"/>
    <w:qFormat/>
    <w:uiPriority w:val="9"/>
    <w:rPr>
      <w:rFonts w:ascii="Times New Roman" w:hAnsi="Times New Roman" w:eastAsia="仿宋_GB2312" w:cs="宋体"/>
      <w:b/>
      <w:bCs/>
      <w:sz w:val="28"/>
      <w:szCs w:val="32"/>
    </w:rPr>
  </w:style>
  <w:style w:type="character" w:customStyle="1" w:styleId="26">
    <w:name w:val="标题 3 字符"/>
    <w:basedOn w:val="20"/>
    <w:link w:val="5"/>
    <w:qFormat/>
    <w:uiPriority w:val="0"/>
    <w:rPr>
      <w:rFonts w:ascii="Times New Roman" w:hAnsi="Times New Roman" w:eastAsia="仿宋"/>
      <w:b/>
      <w:bCs/>
      <w:sz w:val="24"/>
      <w:szCs w:val="32"/>
    </w:rPr>
  </w:style>
  <w:style w:type="character" w:customStyle="1" w:styleId="27">
    <w:name w:val="标题 字符"/>
    <w:basedOn w:val="20"/>
    <w:link w:val="16"/>
    <w:qFormat/>
    <w:uiPriority w:val="10"/>
    <w:rPr>
      <w:rFonts w:ascii="Times New Roman" w:hAnsi="Times New Roman" w:eastAsia="仿宋" w:cs="宋体"/>
      <w:bCs/>
      <w:sz w:val="24"/>
      <w:szCs w:val="32"/>
    </w:rPr>
  </w:style>
  <w:style w:type="character" w:customStyle="1" w:styleId="28">
    <w:name w:val="页眉 字符"/>
    <w:link w:val="12"/>
    <w:qFormat/>
    <w:uiPriority w:val="99"/>
    <w:rPr>
      <w:rFonts w:ascii="Times New Roman" w:hAnsi="Times New Roman"/>
      <w:sz w:val="18"/>
      <w:szCs w:val="18"/>
    </w:rPr>
  </w:style>
  <w:style w:type="character" w:customStyle="1" w:styleId="29">
    <w:name w:val="批注框文本 字符"/>
    <w:link w:val="10"/>
    <w:qFormat/>
    <w:uiPriority w:val="99"/>
    <w:rPr>
      <w:sz w:val="18"/>
      <w:szCs w:val="18"/>
    </w:rPr>
  </w:style>
  <w:style w:type="character" w:customStyle="1" w:styleId="30">
    <w:name w:val="批注文字 字符"/>
    <w:qFormat/>
    <w:uiPriority w:val="99"/>
    <w:rPr>
      <w:kern w:val="2"/>
      <w:sz w:val="21"/>
      <w:szCs w:val="24"/>
    </w:rPr>
  </w:style>
  <w:style w:type="character" w:customStyle="1" w:styleId="31">
    <w:name w:val="纯文本 字符"/>
    <w:link w:val="9"/>
    <w:qFormat/>
    <w:uiPriority w:val="0"/>
    <w:rPr>
      <w:rFonts w:ascii="宋体" w:hAnsi="Courier New" w:cs="Courier New"/>
      <w:szCs w:val="21"/>
    </w:rPr>
  </w:style>
  <w:style w:type="character" w:customStyle="1" w:styleId="32">
    <w:name w:val="5-内文 Char"/>
    <w:link w:val="33"/>
    <w:qFormat/>
    <w:uiPriority w:val="0"/>
    <w:rPr>
      <w:rFonts w:ascii="仿宋_GB2312" w:eastAsia="仿宋_GB2312"/>
      <w:sz w:val="28"/>
    </w:rPr>
  </w:style>
  <w:style w:type="paragraph" w:customStyle="1" w:styleId="33">
    <w:name w:val="5-内文"/>
    <w:basedOn w:val="1"/>
    <w:link w:val="32"/>
    <w:qFormat/>
    <w:uiPriority w:val="0"/>
    <w:pPr>
      <w:spacing w:beforeLines="25" w:line="300" w:lineRule="auto"/>
    </w:pPr>
    <w:rPr>
      <w:rFonts w:ascii="仿宋_GB2312" w:hAnsi="Calibri" w:eastAsia="仿宋_GB2312"/>
      <w:sz w:val="28"/>
    </w:rPr>
  </w:style>
  <w:style w:type="character" w:customStyle="1" w:styleId="34">
    <w:name w:val="批注主题 字符"/>
    <w:basedOn w:val="30"/>
    <w:link w:val="17"/>
    <w:qFormat/>
    <w:uiPriority w:val="0"/>
    <w:rPr>
      <w:kern w:val="2"/>
      <w:sz w:val="21"/>
      <w:szCs w:val="24"/>
    </w:rPr>
  </w:style>
  <w:style w:type="character" w:customStyle="1" w:styleId="35">
    <w:name w:val="页脚 字符"/>
    <w:link w:val="11"/>
    <w:qFormat/>
    <w:uiPriority w:val="0"/>
    <w:rPr>
      <w:rFonts w:ascii="Times New Roman" w:hAnsi="Times New Roman" w:eastAsia="宋体" w:cs="Times New Roman"/>
      <w:sz w:val="18"/>
      <w:szCs w:val="18"/>
    </w:rPr>
  </w:style>
  <w:style w:type="character" w:customStyle="1" w:styleId="36">
    <w:name w:val="批注文字 字符1"/>
    <w:basedOn w:val="20"/>
    <w:link w:val="7"/>
    <w:qFormat/>
    <w:uiPriority w:val="99"/>
    <w:rPr>
      <w:rFonts w:ascii="Times New Roman" w:hAnsi="Times New Roman" w:eastAsia="仿宋"/>
      <w:sz w:val="24"/>
    </w:rPr>
  </w:style>
  <w:style w:type="character" w:customStyle="1" w:styleId="37">
    <w:name w:val="批注主题 字符1"/>
    <w:basedOn w:val="36"/>
    <w:qFormat/>
    <w:uiPriority w:val="99"/>
    <w:rPr>
      <w:rFonts w:ascii="Times New Roman" w:hAnsi="Times New Roman" w:eastAsia="仿宋"/>
      <w:b/>
      <w:bCs/>
      <w:sz w:val="24"/>
    </w:rPr>
  </w:style>
  <w:style w:type="character" w:customStyle="1" w:styleId="38">
    <w:name w:val="页眉 字符1"/>
    <w:basedOn w:val="20"/>
    <w:qFormat/>
    <w:uiPriority w:val="99"/>
    <w:rPr>
      <w:rFonts w:ascii="Times New Roman" w:hAnsi="Times New Roman" w:eastAsia="仿宋"/>
      <w:sz w:val="18"/>
      <w:szCs w:val="18"/>
    </w:rPr>
  </w:style>
  <w:style w:type="paragraph"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批注框文本 字符1"/>
    <w:basedOn w:val="20"/>
    <w:qFormat/>
    <w:uiPriority w:val="99"/>
    <w:rPr>
      <w:rFonts w:ascii="Times New Roman" w:hAnsi="Times New Roman" w:eastAsia="仿宋"/>
      <w:sz w:val="18"/>
      <w:szCs w:val="18"/>
    </w:rPr>
  </w:style>
  <w:style w:type="character" w:customStyle="1" w:styleId="41">
    <w:name w:val="页脚 字符1"/>
    <w:basedOn w:val="20"/>
    <w:qFormat/>
    <w:uiPriority w:val="99"/>
    <w:rPr>
      <w:rFonts w:ascii="Times New Roman" w:hAnsi="Times New Roman" w:eastAsia="仿宋"/>
      <w:sz w:val="18"/>
      <w:szCs w:val="18"/>
    </w:rPr>
  </w:style>
  <w:style w:type="character" w:customStyle="1" w:styleId="42">
    <w:name w:val="纯文本 字符1"/>
    <w:basedOn w:val="20"/>
    <w:qFormat/>
    <w:uiPriority w:val="99"/>
    <w:rPr>
      <w:rFonts w:ascii="宋体" w:hAnsi="Courier New" w:cs="Courier New"/>
      <w:sz w:val="24"/>
    </w:rPr>
  </w:style>
  <w:style w:type="character" w:customStyle="1" w:styleId="43">
    <w:name w:val="HTML 预设格式 字符"/>
    <w:basedOn w:val="20"/>
    <w:link w:val="15"/>
    <w:qFormat/>
    <w:uiPriority w:val="99"/>
    <w:rPr>
      <w:rFonts w:ascii="Courier New" w:hAnsi="Courier New" w:eastAsia="宋体" w:cs="Courier New"/>
      <w:sz w:val="20"/>
      <w:szCs w:val="20"/>
    </w:rPr>
  </w:style>
  <w:style w:type="paragraph" w:styleId="44">
    <w:name w:val="Quote"/>
    <w:basedOn w:val="1"/>
    <w:next w:val="1"/>
    <w:link w:val="45"/>
    <w:qFormat/>
    <w:uiPriority w:val="99"/>
    <w:pPr>
      <w:spacing w:before="200" w:after="160" w:line="240" w:lineRule="auto"/>
      <w:ind w:left="864" w:right="864" w:firstLine="0" w:firstLineChars="0"/>
      <w:jc w:val="center"/>
    </w:pPr>
    <w:rPr>
      <w:rFonts w:eastAsia="宋体" w:cs="Times New Roman"/>
      <w:i/>
      <w:iCs/>
      <w:color w:val="404040"/>
      <w:sz w:val="21"/>
      <w:szCs w:val="24"/>
    </w:rPr>
  </w:style>
  <w:style w:type="character" w:customStyle="1" w:styleId="45">
    <w:name w:val="引用 字符"/>
    <w:basedOn w:val="20"/>
    <w:link w:val="44"/>
    <w:qFormat/>
    <w:uiPriority w:val="99"/>
    <w:rPr>
      <w:rFonts w:ascii="Times New Roman" w:hAnsi="Times New Roman" w:eastAsia="宋体" w:cs="Times New Roman"/>
      <w:i/>
      <w:iCs/>
      <w:color w:val="404040"/>
      <w:szCs w:val="24"/>
    </w:rPr>
  </w:style>
  <w:style w:type="table" w:customStyle="1" w:styleId="46">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Body text|1"/>
    <w:basedOn w:val="1"/>
    <w:qFormat/>
    <w:uiPriority w:val="0"/>
    <w:pPr>
      <w:spacing w:line="391" w:lineRule="auto"/>
      <w:ind w:firstLine="400"/>
    </w:pPr>
    <w:rPr>
      <w:rFonts w:ascii="宋体" w:hAnsi="宋体" w:eastAsia="宋体" w:cs="宋体"/>
      <w:sz w:val="30"/>
      <w:szCs w:val="30"/>
      <w:lang w:val="zh-TW" w:eastAsia="zh-TW" w:bidi="zh-TW"/>
    </w:rPr>
  </w:style>
  <w:style w:type="paragraph" w:customStyle="1" w:styleId="48">
    <w:name w:val="Table Text"/>
    <w:basedOn w:val="1"/>
    <w:qFormat/>
    <w:uiPriority w:val="0"/>
    <w:rPr>
      <w:rFonts w:ascii="宋体" w:hAnsi="宋体" w:eastAsia="宋体" w:cs="宋体"/>
      <w:sz w:val="18"/>
      <w:szCs w:val="18"/>
      <w:lang w:val="en-US" w:eastAsia="en-US" w:bidi="ar-SA"/>
    </w:rPr>
  </w:style>
  <w:style w:type="table" w:customStyle="1" w:styleId="4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5470</Words>
  <Characters>5913</Characters>
  <Paragraphs>582</Paragraphs>
  <TotalTime>3</TotalTime>
  <ScaleCrop>false</ScaleCrop>
  <LinksUpToDate>false</LinksUpToDate>
  <CharactersWithSpaces>6043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2019-10-06T07:13:00Z</dcterms:created>
  <dc:creator>xiongxinjuan</dc:creator>
  <cp:lastModifiedBy>范婉莹</cp:lastModifiedBy>
  <dcterms:modified xsi:type="dcterms:W3CDTF">2025-12-09T06:16:46Z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7E324F14D18442FD91DC4AF310815EE1_13</vt:lpwstr>
  </property>
  <property fmtid="{D5CDD505-2E9C-101B-9397-08002B2CF9AE}" pid="4" name="KSOTemplateDocerSaveRecord">
    <vt:lpwstr>eyJoZGlkIjoiMTM1MGE3MzljNWQzNzMyNDFiN2MzYTVjNTBiMzU4YTYiLCJ1c2VySWQiOiI2MjgwNjI4MjMifQ==</vt:lpwstr>
  </property>
</Properties>
</file>