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106273">
      <w:pPr>
        <w:jc w:val="center"/>
        <w:rPr>
          <w:b/>
          <w:bCs/>
          <w:sz w:val="40"/>
          <w:szCs w:val="40"/>
        </w:rPr>
      </w:pPr>
      <w:r>
        <w:rPr>
          <w:b/>
          <w:bCs/>
          <w:sz w:val="40"/>
          <w:szCs w:val="40"/>
        </w:rPr>
        <w:t>202</w:t>
      </w:r>
      <w:r>
        <w:rPr>
          <w:rFonts w:hint="eastAsia"/>
          <w:b/>
          <w:bCs/>
          <w:sz w:val="40"/>
          <w:szCs w:val="40"/>
        </w:rPr>
        <w:t>6年河北省职业院校技能大赛</w:t>
      </w:r>
    </w:p>
    <w:p w14:paraId="1E9DC054">
      <w:pPr>
        <w:jc w:val="center"/>
        <w:rPr>
          <w:b/>
          <w:bCs/>
          <w:sz w:val="40"/>
          <w:szCs w:val="40"/>
        </w:rPr>
      </w:pPr>
      <w:r>
        <w:rPr>
          <w:rFonts w:hint="eastAsia"/>
          <w:b/>
          <w:bCs/>
          <w:sz w:val="40"/>
          <w:szCs w:val="40"/>
        </w:rPr>
        <w:t>高职组“工业软件开发技术”赛项规程</w:t>
      </w:r>
    </w:p>
    <w:p w14:paraId="24E8153C">
      <w:pPr>
        <w:pStyle w:val="2"/>
      </w:pPr>
      <w:r>
        <w:rPr>
          <w:rFonts w:hint="eastAsia"/>
        </w:rPr>
        <w:t>一、赛项名称</w:t>
      </w:r>
    </w:p>
    <w:p w14:paraId="7683538B">
      <w:pPr>
        <w:ind w:firstLine="480" w:firstLineChars="200"/>
      </w:pPr>
      <w:r>
        <w:rPr>
          <w:rFonts w:hint="eastAsia"/>
        </w:rPr>
        <w:t>赛项名称：工业软件开发技术</w:t>
      </w:r>
    </w:p>
    <w:p w14:paraId="2728F6E8">
      <w:pPr>
        <w:ind w:firstLine="480" w:firstLineChars="200"/>
      </w:pPr>
      <w:r>
        <w:rPr>
          <w:rFonts w:hint="eastAsia"/>
        </w:rPr>
        <w:t>赛项组别：高职组</w:t>
      </w:r>
    </w:p>
    <w:p w14:paraId="6994DC0C">
      <w:pPr>
        <w:ind w:firstLine="480" w:firstLineChars="200"/>
      </w:pPr>
      <w:r>
        <w:rPr>
          <w:rFonts w:hint="eastAsia"/>
        </w:rPr>
        <w:t>竞赛形式：团体赛</w:t>
      </w:r>
    </w:p>
    <w:p w14:paraId="0ECABA4A">
      <w:pPr>
        <w:ind w:firstLine="480" w:firstLineChars="200"/>
      </w:pPr>
      <w:r>
        <w:rPr>
          <w:rFonts w:hint="eastAsia"/>
        </w:rPr>
        <w:t>赛项专业大类：电子与信息大类</w:t>
      </w:r>
    </w:p>
    <w:p w14:paraId="12595B03">
      <w:pPr>
        <w:pStyle w:val="2"/>
      </w:pPr>
      <w:r>
        <w:rPr>
          <w:rFonts w:hint="eastAsia"/>
        </w:rPr>
        <w:t>二、竞赛目的</w:t>
      </w:r>
    </w:p>
    <w:p w14:paraId="0905496D">
      <w:pPr>
        <w:ind w:firstLine="480" w:firstLineChars="200"/>
      </w:pPr>
      <w:r>
        <w:rPr>
          <w:rFonts w:hint="eastAsia"/>
        </w:rPr>
        <w:t>近年来，国内工业软件产业规模占全球比重小，但增长率远高于全球水平，流程行业生产制造类工业软件国产化应用已相对成熟。95%的研发设计类工业软件依赖进口，生产制造类工业软件占据50%的国内市场，经营管理软件占有国内70%的市场份额，70%的运维服务类工业软件依赖进口，工业APP的出现加速了工业知识的积累，促进工业向数字化、网络化、智能化发展。工业软件在技术趋势方面逐步走向集成化、平台化、智能化；开发模式逐步走向标准化、开放化、生态化；市场应用逐步走向工程化、大型化、复杂化；服务方式逐步走向定制化、柔性化、服务化。</w:t>
      </w:r>
    </w:p>
    <w:p w14:paraId="2ADE8B14">
      <w:pPr>
        <w:ind w:firstLine="480" w:firstLineChars="200"/>
      </w:pPr>
      <w:r>
        <w:rPr>
          <w:rFonts w:hint="eastAsia"/>
        </w:rPr>
        <w:t>针对国家制造2025等国家战略中，工业软件相关岗位人才需求迫切，本赛项开设，旨在丰富完善学习领域课程建设，使人才培养更贴近岗位实际，提升相关专业服务社会和促进行业发展能力。赛项基于当前工业软件技术领域主流技术和现行业务流程设计，全面检验参赛选手的工程实践能力和创新能力，推进教学过程与生产过程对接、课程内容与职业标准对接、专业设置与产业需求对接，促进职普融通、产教融合、科教融汇，引领专业建设和教学改革。竞赛不仅提升参赛学生的能力，而且通过校企岗位轮转等机制强化竞赛成果转化，促进相关教材、资源、师资、认证、实习就业等方面的全方位建设，满足产教协同育人目标，为国家战略规划提供工业软件领域高素质技能型人才。</w:t>
      </w:r>
    </w:p>
    <w:p w14:paraId="368A45C0">
      <w:pPr>
        <w:pStyle w:val="2"/>
      </w:pPr>
      <w:r>
        <w:rPr>
          <w:rFonts w:hint="eastAsia"/>
        </w:rPr>
        <w:t>三、竞赛内容</w:t>
      </w:r>
    </w:p>
    <w:p w14:paraId="71A2952A">
      <w:pPr>
        <w:ind w:firstLine="480" w:firstLineChars="200"/>
      </w:pPr>
      <w:r>
        <w:t>竞赛分为</w:t>
      </w:r>
      <w:r>
        <w:rPr>
          <w:rFonts w:hint="eastAsia"/>
        </w:rPr>
        <w:t>技能比拼环节和展示汇报环节两个环节</w:t>
      </w:r>
      <w:r>
        <w:t>，总分100分</w:t>
      </w:r>
      <w:r>
        <w:rPr>
          <w:rFonts w:hint="eastAsia"/>
        </w:rPr>
        <w:t>。其中技能比拼环节占比80%，竞赛时间240分钟；展示汇报环节占比20%，每支队伍竞赛时间10分钟。</w:t>
      </w:r>
    </w:p>
    <w:p w14:paraId="054151DD">
      <w:pPr>
        <w:ind w:firstLine="482" w:firstLineChars="200"/>
        <w:rPr>
          <w:b/>
          <w:bCs/>
        </w:rPr>
      </w:pPr>
      <w:r>
        <w:rPr>
          <w:rFonts w:hint="eastAsia"/>
          <w:b/>
          <w:bCs/>
        </w:rPr>
        <w:t>（一）技能比拼环节</w:t>
      </w:r>
    </w:p>
    <w:p w14:paraId="35EE4A73">
      <w:pPr>
        <w:ind w:firstLine="480" w:firstLineChars="200"/>
      </w:pPr>
      <w:r>
        <w:rPr>
          <w:rFonts w:hint="eastAsia"/>
        </w:rPr>
        <w:t>技能比拼环节涉及两个模块，参赛队在240分钟内完成两个模块的竞赛内容，内容详见表1：</w:t>
      </w:r>
    </w:p>
    <w:p w14:paraId="11AAFC57">
      <w:pPr>
        <w:jc w:val="center"/>
        <w:rPr>
          <w:b/>
          <w:bCs/>
        </w:rPr>
      </w:pPr>
      <w:r>
        <w:rPr>
          <w:rFonts w:hint="eastAsia"/>
          <w:b/>
          <w:bCs/>
        </w:rPr>
        <w:t>表1  技能比拼环节竞赛内容</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86"/>
        <w:gridCol w:w="2736"/>
        <w:gridCol w:w="4258"/>
      </w:tblGrid>
      <w:tr w14:paraId="0ADE0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6" w:type="dxa"/>
            <w:vAlign w:val="center"/>
          </w:tcPr>
          <w:p w14:paraId="679F51EC">
            <w:pPr>
              <w:jc w:val="center"/>
              <w:rPr>
                <w:b/>
                <w:bCs/>
                <w:sz w:val="22"/>
                <w:szCs w:val="22"/>
              </w:rPr>
            </w:pPr>
            <w:r>
              <w:rPr>
                <w:rFonts w:hint="eastAsia"/>
                <w:b/>
                <w:bCs/>
                <w:sz w:val="22"/>
                <w:szCs w:val="22"/>
              </w:rPr>
              <w:t>模块</w:t>
            </w:r>
          </w:p>
        </w:tc>
        <w:tc>
          <w:tcPr>
            <w:tcW w:w="2736" w:type="dxa"/>
            <w:vAlign w:val="center"/>
          </w:tcPr>
          <w:p w14:paraId="6616AD0A">
            <w:pPr>
              <w:jc w:val="center"/>
              <w:rPr>
                <w:b/>
                <w:bCs/>
                <w:sz w:val="22"/>
                <w:szCs w:val="22"/>
              </w:rPr>
            </w:pPr>
            <w:r>
              <w:rPr>
                <w:rFonts w:hint="eastAsia"/>
                <w:b/>
                <w:bCs/>
                <w:sz w:val="22"/>
                <w:szCs w:val="22"/>
              </w:rPr>
              <w:t>相关知识</w:t>
            </w:r>
          </w:p>
        </w:tc>
        <w:tc>
          <w:tcPr>
            <w:tcW w:w="4258" w:type="dxa"/>
            <w:vAlign w:val="center"/>
          </w:tcPr>
          <w:p w14:paraId="0EF93E77">
            <w:pPr>
              <w:jc w:val="center"/>
              <w:rPr>
                <w:b/>
                <w:bCs/>
                <w:sz w:val="22"/>
                <w:szCs w:val="22"/>
              </w:rPr>
            </w:pPr>
            <w:r>
              <w:rPr>
                <w:rFonts w:hint="eastAsia"/>
                <w:b/>
                <w:bCs/>
                <w:sz w:val="22"/>
                <w:szCs w:val="22"/>
              </w:rPr>
              <w:t>技能要求</w:t>
            </w:r>
          </w:p>
        </w:tc>
      </w:tr>
      <w:tr w14:paraId="7C19F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6" w:type="dxa"/>
          </w:tcPr>
          <w:p w14:paraId="0309B163">
            <w:pPr>
              <w:rPr>
                <w:sz w:val="21"/>
                <w:szCs w:val="21"/>
              </w:rPr>
            </w:pPr>
            <w:r>
              <w:rPr>
                <w:rFonts w:hint="eastAsia"/>
                <w:sz w:val="21"/>
                <w:szCs w:val="21"/>
              </w:rPr>
              <w:t>模块一：工业数据可视化开发</w:t>
            </w:r>
          </w:p>
        </w:tc>
        <w:tc>
          <w:tcPr>
            <w:tcW w:w="2736" w:type="dxa"/>
          </w:tcPr>
          <w:p w14:paraId="25E6E068">
            <w:pPr>
              <w:rPr>
                <w:sz w:val="21"/>
                <w:szCs w:val="21"/>
              </w:rPr>
            </w:pPr>
            <w:r>
              <w:rPr>
                <w:rFonts w:hint="eastAsia"/>
                <w:sz w:val="21"/>
                <w:szCs w:val="21"/>
              </w:rPr>
              <w:t>数据中台</w:t>
            </w:r>
          </w:p>
          <w:p w14:paraId="253BCD87">
            <w:pPr>
              <w:rPr>
                <w:sz w:val="21"/>
                <w:szCs w:val="21"/>
              </w:rPr>
            </w:pPr>
            <w:r>
              <w:rPr>
                <w:rFonts w:hint="eastAsia"/>
                <w:sz w:val="21"/>
                <w:szCs w:val="21"/>
              </w:rPr>
              <w:t>数据采集</w:t>
            </w:r>
          </w:p>
          <w:p w14:paraId="02487310">
            <w:pPr>
              <w:rPr>
                <w:sz w:val="21"/>
                <w:szCs w:val="21"/>
              </w:rPr>
            </w:pPr>
            <w:r>
              <w:rPr>
                <w:rFonts w:hint="eastAsia"/>
                <w:sz w:val="21"/>
                <w:szCs w:val="21"/>
              </w:rPr>
              <w:t>创建项目</w:t>
            </w:r>
          </w:p>
          <w:p w14:paraId="3072D713">
            <w:pPr>
              <w:rPr>
                <w:sz w:val="21"/>
                <w:szCs w:val="21"/>
              </w:rPr>
            </w:pPr>
            <w:r>
              <w:rPr>
                <w:rFonts w:hint="eastAsia"/>
                <w:sz w:val="21"/>
                <w:szCs w:val="21"/>
              </w:rPr>
              <w:t>数据预处理</w:t>
            </w:r>
            <w:r>
              <w:rPr>
                <w:sz w:val="21"/>
                <w:szCs w:val="21"/>
              </w:rPr>
              <w:t>ETL</w:t>
            </w:r>
          </w:p>
          <w:p w14:paraId="40B1B877">
            <w:pPr>
              <w:rPr>
                <w:sz w:val="21"/>
                <w:szCs w:val="21"/>
              </w:rPr>
            </w:pPr>
            <w:r>
              <w:rPr>
                <w:rFonts w:hint="eastAsia"/>
                <w:sz w:val="21"/>
                <w:szCs w:val="21"/>
              </w:rPr>
              <w:t>数仓建模指标分析</w:t>
            </w:r>
          </w:p>
          <w:p w14:paraId="7CFE7F6C">
            <w:pPr>
              <w:rPr>
                <w:sz w:val="21"/>
                <w:szCs w:val="21"/>
              </w:rPr>
            </w:pPr>
            <w:r>
              <w:rPr>
                <w:sz w:val="21"/>
                <w:szCs w:val="21"/>
              </w:rPr>
              <w:t>SQL</w:t>
            </w:r>
            <w:r>
              <w:rPr>
                <w:rFonts w:hint="eastAsia"/>
                <w:sz w:val="21"/>
                <w:szCs w:val="21"/>
              </w:rPr>
              <w:t>数据开发</w:t>
            </w:r>
          </w:p>
          <w:p w14:paraId="4A6B5C67">
            <w:pPr>
              <w:rPr>
                <w:sz w:val="21"/>
                <w:szCs w:val="21"/>
              </w:rPr>
            </w:pPr>
            <w:r>
              <w:rPr>
                <w:rFonts w:hint="eastAsia"/>
                <w:sz w:val="21"/>
                <w:szCs w:val="21"/>
              </w:rPr>
              <w:t>数据可视化</w:t>
            </w:r>
          </w:p>
        </w:tc>
        <w:tc>
          <w:tcPr>
            <w:tcW w:w="4258" w:type="dxa"/>
          </w:tcPr>
          <w:p w14:paraId="13C4B329">
            <w:pPr>
              <w:rPr>
                <w:sz w:val="21"/>
                <w:szCs w:val="21"/>
              </w:rPr>
            </w:pPr>
            <w:r>
              <w:rPr>
                <w:rFonts w:hint="eastAsia"/>
                <w:sz w:val="21"/>
                <w:szCs w:val="21"/>
              </w:rPr>
              <w:t>利用数据中台实现数据看板的全流程开发。包括项目创建、数据采集、</w:t>
            </w:r>
            <w:r>
              <w:rPr>
                <w:sz w:val="21"/>
                <w:szCs w:val="21"/>
              </w:rPr>
              <w:t>ETL</w:t>
            </w:r>
            <w:r>
              <w:rPr>
                <w:rFonts w:hint="eastAsia"/>
                <w:sz w:val="21"/>
                <w:szCs w:val="21"/>
              </w:rPr>
              <w:t>数据预处理、数仓建模指标分析、指标离线开发、数据结果可视化展示，完成整个数据分析流程及相关技术。</w:t>
            </w:r>
          </w:p>
        </w:tc>
      </w:tr>
      <w:tr w14:paraId="1D2A6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6" w:type="dxa"/>
          </w:tcPr>
          <w:p w14:paraId="0BA302C2">
            <w:pPr>
              <w:rPr>
                <w:sz w:val="21"/>
                <w:szCs w:val="21"/>
              </w:rPr>
            </w:pPr>
            <w:bookmarkStart w:id="0" w:name="_Hlk214273399"/>
            <w:r>
              <w:rPr>
                <w:rFonts w:hint="eastAsia"/>
                <w:sz w:val="21"/>
                <w:szCs w:val="21"/>
              </w:rPr>
              <w:t>模块二：</w:t>
            </w:r>
          </w:p>
          <w:p w14:paraId="07AD904A">
            <w:pPr>
              <w:rPr>
                <w:sz w:val="21"/>
                <w:szCs w:val="21"/>
              </w:rPr>
            </w:pPr>
            <w:r>
              <w:rPr>
                <w:rFonts w:hint="eastAsia"/>
                <w:sz w:val="21"/>
                <w:szCs w:val="21"/>
              </w:rPr>
              <w:t>工业</w:t>
            </w:r>
            <w:r>
              <w:rPr>
                <w:sz w:val="21"/>
                <w:szCs w:val="21"/>
              </w:rPr>
              <w:t>APP</w:t>
            </w:r>
            <w:r>
              <w:rPr>
                <w:rFonts w:hint="eastAsia"/>
                <w:sz w:val="21"/>
                <w:szCs w:val="21"/>
              </w:rPr>
              <w:t>设计与开发及基本技能环节</w:t>
            </w:r>
          </w:p>
        </w:tc>
        <w:tc>
          <w:tcPr>
            <w:tcW w:w="2736" w:type="dxa"/>
          </w:tcPr>
          <w:p w14:paraId="2885291F">
            <w:pPr>
              <w:rPr>
                <w:sz w:val="21"/>
                <w:szCs w:val="21"/>
              </w:rPr>
            </w:pPr>
            <w:r>
              <w:rPr>
                <w:rFonts w:hint="eastAsia"/>
                <w:sz w:val="21"/>
                <w:szCs w:val="21"/>
              </w:rPr>
              <w:t>工业</w:t>
            </w:r>
            <w:r>
              <w:rPr>
                <w:sz w:val="21"/>
                <w:szCs w:val="21"/>
              </w:rPr>
              <w:t>APP</w:t>
            </w:r>
            <w:r>
              <w:rPr>
                <w:rFonts w:hint="eastAsia"/>
                <w:sz w:val="21"/>
                <w:szCs w:val="21"/>
              </w:rPr>
              <w:t>低代码开发基础</w:t>
            </w:r>
          </w:p>
          <w:p w14:paraId="1787539F">
            <w:pPr>
              <w:rPr>
                <w:sz w:val="21"/>
                <w:szCs w:val="21"/>
              </w:rPr>
            </w:pPr>
            <w:r>
              <w:rPr>
                <w:rFonts w:hint="eastAsia"/>
                <w:sz w:val="21"/>
                <w:szCs w:val="21"/>
              </w:rPr>
              <w:t>工业</w:t>
            </w:r>
            <w:r>
              <w:rPr>
                <w:sz w:val="21"/>
                <w:szCs w:val="21"/>
              </w:rPr>
              <w:t>APP</w:t>
            </w:r>
            <w:r>
              <w:rPr>
                <w:rFonts w:hint="eastAsia"/>
                <w:sz w:val="21"/>
                <w:szCs w:val="21"/>
              </w:rPr>
              <w:t>低代码开发</w:t>
            </w:r>
          </w:p>
          <w:p w14:paraId="3D9FA792">
            <w:pPr>
              <w:rPr>
                <w:sz w:val="21"/>
                <w:szCs w:val="21"/>
              </w:rPr>
            </w:pPr>
            <w:r>
              <w:rPr>
                <w:rFonts w:hint="eastAsia"/>
                <w:sz w:val="21"/>
                <w:szCs w:val="21"/>
              </w:rPr>
              <w:t>工业</w:t>
            </w:r>
            <w:r>
              <w:rPr>
                <w:sz w:val="21"/>
                <w:szCs w:val="21"/>
              </w:rPr>
              <w:t>APP</w:t>
            </w:r>
            <w:r>
              <w:rPr>
                <w:rFonts w:hint="eastAsia"/>
                <w:sz w:val="21"/>
                <w:szCs w:val="21"/>
              </w:rPr>
              <w:t>生产制造</w:t>
            </w:r>
          </w:p>
          <w:p w14:paraId="30EC5758">
            <w:pPr>
              <w:rPr>
                <w:sz w:val="21"/>
                <w:szCs w:val="21"/>
              </w:rPr>
            </w:pPr>
            <w:r>
              <w:rPr>
                <w:rFonts w:hint="eastAsia"/>
                <w:sz w:val="21"/>
                <w:szCs w:val="21"/>
              </w:rPr>
              <w:t>智能</w:t>
            </w:r>
            <w:r>
              <w:rPr>
                <w:sz w:val="21"/>
                <w:szCs w:val="21"/>
              </w:rPr>
              <w:t>AIOT</w:t>
            </w:r>
            <w:r>
              <w:rPr>
                <w:rFonts w:hint="eastAsia"/>
                <w:sz w:val="21"/>
                <w:szCs w:val="21"/>
              </w:rPr>
              <w:t>应用集成开发</w:t>
            </w:r>
          </w:p>
        </w:tc>
        <w:tc>
          <w:tcPr>
            <w:tcW w:w="4258" w:type="dxa"/>
          </w:tcPr>
          <w:p w14:paraId="75DF937F">
            <w:pPr>
              <w:rPr>
                <w:sz w:val="21"/>
                <w:szCs w:val="21"/>
              </w:rPr>
            </w:pPr>
            <w:r>
              <w:rPr>
                <w:rFonts w:hint="eastAsia"/>
                <w:sz w:val="21"/>
                <w:szCs w:val="21"/>
              </w:rPr>
              <w:t>针对工业</w:t>
            </w:r>
            <w:r>
              <w:rPr>
                <w:sz w:val="21"/>
                <w:szCs w:val="21"/>
              </w:rPr>
              <w:t>APP</w:t>
            </w:r>
            <w:r>
              <w:rPr>
                <w:rFonts w:hint="eastAsia"/>
                <w:sz w:val="21"/>
                <w:szCs w:val="21"/>
              </w:rPr>
              <w:t>相关的业务模块化设计、工作流程应用设计、业务流程应用设计、报表分析应用设计等可视化开发及平台开发、运行环境的维护及分析等相关工作，并能根据工业</w:t>
            </w:r>
            <w:r>
              <w:rPr>
                <w:sz w:val="21"/>
                <w:szCs w:val="21"/>
              </w:rPr>
              <w:t>APP</w:t>
            </w:r>
            <w:r>
              <w:rPr>
                <w:rFonts w:hint="eastAsia"/>
                <w:sz w:val="21"/>
                <w:szCs w:val="21"/>
              </w:rPr>
              <w:t>业务场景的开发需求，实现</w:t>
            </w:r>
            <w:r>
              <w:rPr>
                <w:sz w:val="21"/>
                <w:szCs w:val="21"/>
              </w:rPr>
              <w:t>APP</w:t>
            </w:r>
            <w:r>
              <w:rPr>
                <w:rFonts w:hint="eastAsia"/>
                <w:sz w:val="21"/>
                <w:szCs w:val="21"/>
              </w:rPr>
              <w:t>模块的完整交互效果。</w:t>
            </w:r>
          </w:p>
        </w:tc>
      </w:tr>
      <w:bookmarkEnd w:id="0"/>
    </w:tbl>
    <w:p w14:paraId="7F0139BB">
      <w:pPr>
        <w:ind w:firstLine="482" w:firstLineChars="200"/>
        <w:rPr>
          <w:b/>
          <w:bCs/>
        </w:rPr>
      </w:pPr>
      <w:r>
        <w:rPr>
          <w:rFonts w:hint="eastAsia"/>
          <w:b/>
          <w:bCs/>
        </w:rPr>
        <w:t>（二）展示汇报环节</w:t>
      </w:r>
    </w:p>
    <w:p w14:paraId="6D10ACAC">
      <w:pPr>
        <w:ind w:firstLine="480" w:firstLineChars="200"/>
      </w:pPr>
      <w:r>
        <w:rPr>
          <w:rFonts w:hint="eastAsia"/>
        </w:rPr>
        <w:t>展示汇报环节由参赛队结合技能比拼环节的内容进行PPT汇报展示，汇报内容包括但不限于内容理解与技能解读、业务价值与创新性、团队协作实施流程、总结反思等。具体内容详见表2：</w:t>
      </w:r>
    </w:p>
    <w:p w14:paraId="33BD387F">
      <w:pPr>
        <w:jc w:val="center"/>
        <w:rPr>
          <w:b/>
          <w:bCs/>
        </w:rPr>
      </w:pPr>
      <w:r>
        <w:rPr>
          <w:rFonts w:hint="eastAsia"/>
          <w:b/>
          <w:bCs/>
        </w:rPr>
        <w:t>表2  展示汇报环节竞赛内容</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268"/>
        <w:gridCol w:w="4857"/>
      </w:tblGrid>
      <w:tr w14:paraId="2F8C3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Align w:val="center"/>
          </w:tcPr>
          <w:p w14:paraId="7D2D3D45">
            <w:pPr>
              <w:jc w:val="center"/>
              <w:rPr>
                <w:b/>
                <w:bCs/>
                <w:sz w:val="21"/>
                <w:szCs w:val="21"/>
              </w:rPr>
            </w:pPr>
            <w:r>
              <w:rPr>
                <w:rFonts w:hint="eastAsia"/>
                <w:b/>
                <w:bCs/>
                <w:sz w:val="21"/>
                <w:szCs w:val="21"/>
              </w:rPr>
              <w:t>汇报内容</w:t>
            </w:r>
          </w:p>
        </w:tc>
        <w:tc>
          <w:tcPr>
            <w:tcW w:w="2268" w:type="dxa"/>
            <w:vAlign w:val="center"/>
          </w:tcPr>
          <w:p w14:paraId="4B9477CD">
            <w:pPr>
              <w:jc w:val="center"/>
              <w:rPr>
                <w:b/>
                <w:bCs/>
                <w:sz w:val="21"/>
                <w:szCs w:val="21"/>
              </w:rPr>
            </w:pPr>
            <w:r>
              <w:rPr>
                <w:rFonts w:hint="eastAsia"/>
                <w:b/>
                <w:bCs/>
                <w:sz w:val="21"/>
                <w:szCs w:val="21"/>
              </w:rPr>
              <w:t>核心考察</w:t>
            </w:r>
            <w:r>
              <w:rPr>
                <w:b/>
                <w:bCs/>
                <w:sz w:val="21"/>
                <w:szCs w:val="21"/>
              </w:rPr>
              <w:t>点</w:t>
            </w:r>
          </w:p>
        </w:tc>
        <w:tc>
          <w:tcPr>
            <w:tcW w:w="4857" w:type="dxa"/>
            <w:vAlign w:val="center"/>
          </w:tcPr>
          <w:p w14:paraId="19C4D781">
            <w:pPr>
              <w:jc w:val="center"/>
              <w:rPr>
                <w:b/>
                <w:bCs/>
                <w:sz w:val="21"/>
                <w:szCs w:val="21"/>
              </w:rPr>
            </w:pPr>
            <w:r>
              <w:rPr>
                <w:b/>
                <w:bCs/>
                <w:sz w:val="21"/>
                <w:szCs w:val="21"/>
              </w:rPr>
              <w:t>具体描述与展示建议</w:t>
            </w:r>
          </w:p>
        </w:tc>
      </w:tr>
      <w:tr w14:paraId="12085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restart"/>
          </w:tcPr>
          <w:p w14:paraId="310611D1">
            <w:pPr>
              <w:rPr>
                <w:sz w:val="21"/>
                <w:szCs w:val="21"/>
              </w:rPr>
            </w:pPr>
            <w:r>
              <w:rPr>
                <w:sz w:val="21"/>
                <w:szCs w:val="21"/>
              </w:rPr>
              <w:t>一、内容理解与技能解读</w:t>
            </w:r>
          </w:p>
        </w:tc>
        <w:tc>
          <w:tcPr>
            <w:tcW w:w="2268" w:type="dxa"/>
          </w:tcPr>
          <w:p w14:paraId="50E659BD">
            <w:pPr>
              <w:rPr>
                <w:sz w:val="21"/>
                <w:szCs w:val="21"/>
              </w:rPr>
            </w:pPr>
            <w:r>
              <w:rPr>
                <w:rFonts w:hint="eastAsia"/>
                <w:sz w:val="21"/>
                <w:szCs w:val="21"/>
              </w:rPr>
              <w:t>1</w:t>
            </w:r>
            <w:r>
              <w:rPr>
                <w:sz w:val="21"/>
                <w:szCs w:val="21"/>
              </w:rPr>
              <w:t>.关键技术点掌握</w:t>
            </w:r>
          </w:p>
        </w:tc>
        <w:tc>
          <w:tcPr>
            <w:tcW w:w="4857" w:type="dxa"/>
          </w:tcPr>
          <w:p w14:paraId="300D8732">
            <w:pPr>
              <w:rPr>
                <w:sz w:val="21"/>
                <w:szCs w:val="21"/>
              </w:rPr>
            </w:pPr>
            <w:r>
              <w:rPr>
                <w:sz w:val="21"/>
                <w:szCs w:val="21"/>
              </w:rPr>
              <w:t>对数据中台、SQL开发、ETL工具、可视化工具等关键技术有实际操作说明</w:t>
            </w:r>
            <w:r>
              <w:rPr>
                <w:rFonts w:hint="eastAsia"/>
                <w:sz w:val="21"/>
                <w:szCs w:val="21"/>
              </w:rPr>
              <w:t>，</w:t>
            </w:r>
            <w:r>
              <w:rPr>
                <w:sz w:val="21"/>
                <w:szCs w:val="21"/>
              </w:rPr>
              <w:t>展示代码/配置片段。</w:t>
            </w:r>
          </w:p>
        </w:tc>
      </w:tr>
      <w:tr w14:paraId="4852B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continue"/>
          </w:tcPr>
          <w:p w14:paraId="64722A10">
            <w:pPr>
              <w:rPr>
                <w:sz w:val="21"/>
                <w:szCs w:val="21"/>
              </w:rPr>
            </w:pPr>
          </w:p>
        </w:tc>
        <w:tc>
          <w:tcPr>
            <w:tcW w:w="2268" w:type="dxa"/>
          </w:tcPr>
          <w:p w14:paraId="0AC49284">
            <w:pPr>
              <w:rPr>
                <w:sz w:val="21"/>
                <w:szCs w:val="21"/>
              </w:rPr>
            </w:pPr>
            <w:r>
              <w:rPr>
                <w:rFonts w:hint="eastAsia"/>
                <w:sz w:val="21"/>
                <w:szCs w:val="21"/>
              </w:rPr>
              <w:t>2</w:t>
            </w:r>
            <w:r>
              <w:rPr>
                <w:sz w:val="21"/>
                <w:szCs w:val="21"/>
              </w:rPr>
              <w:t>.工业场景结合能力</w:t>
            </w:r>
          </w:p>
        </w:tc>
        <w:tc>
          <w:tcPr>
            <w:tcW w:w="4857" w:type="dxa"/>
          </w:tcPr>
          <w:p w14:paraId="3235783E">
            <w:pPr>
              <w:rPr>
                <w:sz w:val="21"/>
                <w:szCs w:val="21"/>
              </w:rPr>
            </w:pPr>
            <w:r>
              <w:rPr>
                <w:sz w:val="21"/>
                <w:szCs w:val="21"/>
              </w:rPr>
              <w:t>将技术流程与工业场景结合，说明技术如何解决实际业务问题。</w:t>
            </w:r>
          </w:p>
        </w:tc>
      </w:tr>
      <w:tr w14:paraId="7F5B4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14:paraId="2805B97C">
            <w:pPr>
              <w:rPr>
                <w:sz w:val="21"/>
                <w:szCs w:val="21"/>
              </w:rPr>
            </w:pPr>
            <w:r>
              <w:rPr>
                <w:sz w:val="21"/>
                <w:szCs w:val="21"/>
              </w:rPr>
              <w:t>二、</w:t>
            </w:r>
            <w:r>
              <w:rPr>
                <w:rFonts w:hint="eastAsia"/>
                <w:sz w:val="21"/>
                <w:szCs w:val="21"/>
              </w:rPr>
              <w:t>业务价值与创新性</w:t>
            </w:r>
          </w:p>
        </w:tc>
        <w:tc>
          <w:tcPr>
            <w:tcW w:w="2268" w:type="dxa"/>
          </w:tcPr>
          <w:p w14:paraId="7EA9A30F">
            <w:pPr>
              <w:rPr>
                <w:sz w:val="21"/>
                <w:szCs w:val="21"/>
              </w:rPr>
            </w:pPr>
            <w:r>
              <w:rPr>
                <w:rFonts w:hint="eastAsia"/>
                <w:sz w:val="21"/>
                <w:szCs w:val="21"/>
              </w:rPr>
              <w:t>1</w:t>
            </w:r>
            <w:r>
              <w:rPr>
                <w:sz w:val="21"/>
                <w:szCs w:val="21"/>
              </w:rPr>
              <w:t>.业务价值与创新性</w:t>
            </w:r>
          </w:p>
        </w:tc>
        <w:tc>
          <w:tcPr>
            <w:tcW w:w="4857" w:type="dxa"/>
          </w:tcPr>
          <w:p w14:paraId="4CE16E8F">
            <w:pPr>
              <w:rPr>
                <w:sz w:val="21"/>
                <w:szCs w:val="21"/>
              </w:rPr>
            </w:pPr>
            <w:r>
              <w:rPr>
                <w:sz w:val="21"/>
                <w:szCs w:val="21"/>
              </w:rPr>
              <w:t>明确说明项目对工业效率、成本、决策等方面的价值，突出创新点。</w:t>
            </w:r>
          </w:p>
        </w:tc>
      </w:tr>
      <w:tr w14:paraId="01C7C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restart"/>
          </w:tcPr>
          <w:p w14:paraId="6B5B34AC">
            <w:pPr>
              <w:rPr>
                <w:sz w:val="21"/>
                <w:szCs w:val="21"/>
              </w:rPr>
            </w:pPr>
            <w:r>
              <w:rPr>
                <w:sz w:val="21"/>
                <w:szCs w:val="21"/>
              </w:rPr>
              <w:t>三、专业表达与团队协作</w:t>
            </w:r>
          </w:p>
        </w:tc>
        <w:tc>
          <w:tcPr>
            <w:tcW w:w="2268" w:type="dxa"/>
          </w:tcPr>
          <w:p w14:paraId="25009901">
            <w:pPr>
              <w:rPr>
                <w:sz w:val="21"/>
                <w:szCs w:val="21"/>
              </w:rPr>
            </w:pPr>
            <w:r>
              <w:rPr>
                <w:sz w:val="21"/>
                <w:szCs w:val="21"/>
              </w:rPr>
              <w:t>1.表达清晰性与逻辑性</w:t>
            </w:r>
          </w:p>
        </w:tc>
        <w:tc>
          <w:tcPr>
            <w:tcW w:w="4857" w:type="dxa"/>
          </w:tcPr>
          <w:p w14:paraId="22FA9235">
            <w:pPr>
              <w:rPr>
                <w:sz w:val="21"/>
                <w:szCs w:val="21"/>
              </w:rPr>
            </w:pPr>
            <w:r>
              <w:rPr>
                <w:sz w:val="21"/>
                <w:szCs w:val="21"/>
              </w:rPr>
              <w:t>展示时语言流畅、逻辑清晰</w:t>
            </w:r>
            <w:r>
              <w:rPr>
                <w:rFonts w:hint="eastAsia"/>
                <w:sz w:val="21"/>
                <w:szCs w:val="21"/>
              </w:rPr>
              <w:t>。</w:t>
            </w:r>
          </w:p>
        </w:tc>
      </w:tr>
      <w:tr w14:paraId="15BA4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continue"/>
          </w:tcPr>
          <w:p w14:paraId="67868B13">
            <w:pPr>
              <w:rPr>
                <w:sz w:val="21"/>
                <w:szCs w:val="21"/>
              </w:rPr>
            </w:pPr>
          </w:p>
        </w:tc>
        <w:tc>
          <w:tcPr>
            <w:tcW w:w="2268" w:type="dxa"/>
          </w:tcPr>
          <w:p w14:paraId="2F923D82">
            <w:pPr>
              <w:rPr>
                <w:sz w:val="21"/>
                <w:szCs w:val="21"/>
              </w:rPr>
            </w:pPr>
            <w:r>
              <w:rPr>
                <w:sz w:val="21"/>
                <w:szCs w:val="21"/>
              </w:rPr>
              <w:t>2.团队角色与协作体现</w:t>
            </w:r>
          </w:p>
        </w:tc>
        <w:tc>
          <w:tcPr>
            <w:tcW w:w="4857" w:type="dxa"/>
          </w:tcPr>
          <w:p w14:paraId="184E7A66">
            <w:pPr>
              <w:rPr>
                <w:sz w:val="21"/>
                <w:szCs w:val="21"/>
              </w:rPr>
            </w:pPr>
            <w:r>
              <w:rPr>
                <w:sz w:val="21"/>
                <w:szCs w:val="21"/>
              </w:rPr>
              <w:t>明确说明团队成员分工，体现协作流程与沟通效率。</w:t>
            </w:r>
          </w:p>
        </w:tc>
      </w:tr>
      <w:tr w14:paraId="27965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restart"/>
          </w:tcPr>
          <w:p w14:paraId="26BCD095">
            <w:pPr>
              <w:rPr>
                <w:sz w:val="21"/>
                <w:szCs w:val="21"/>
              </w:rPr>
            </w:pPr>
            <w:r>
              <w:rPr>
                <w:sz w:val="21"/>
                <w:szCs w:val="21"/>
              </w:rPr>
              <w:t>四、现场展示与综合素养</w:t>
            </w:r>
          </w:p>
        </w:tc>
        <w:tc>
          <w:tcPr>
            <w:tcW w:w="2268" w:type="dxa"/>
          </w:tcPr>
          <w:p w14:paraId="349A9FFF">
            <w:pPr>
              <w:rPr>
                <w:sz w:val="21"/>
                <w:szCs w:val="21"/>
              </w:rPr>
            </w:pPr>
            <w:r>
              <w:rPr>
                <w:sz w:val="21"/>
                <w:szCs w:val="21"/>
              </w:rPr>
              <w:t>1.展示内容组织与呈现效果</w:t>
            </w:r>
          </w:p>
        </w:tc>
        <w:tc>
          <w:tcPr>
            <w:tcW w:w="4857" w:type="dxa"/>
          </w:tcPr>
          <w:p w14:paraId="2AF8D87F">
            <w:pPr>
              <w:rPr>
                <w:sz w:val="21"/>
                <w:szCs w:val="21"/>
              </w:rPr>
            </w:pPr>
            <w:r>
              <w:rPr>
                <w:sz w:val="21"/>
                <w:szCs w:val="21"/>
              </w:rPr>
              <w:t>展示结构清晰、重点突出，</w:t>
            </w:r>
            <w:r>
              <w:rPr>
                <w:rFonts w:hint="eastAsia"/>
                <w:sz w:val="21"/>
                <w:szCs w:val="21"/>
              </w:rPr>
              <w:t>呈现过程和结果完整</w:t>
            </w:r>
            <w:r>
              <w:rPr>
                <w:sz w:val="21"/>
                <w:szCs w:val="21"/>
              </w:rPr>
              <w:t>。</w:t>
            </w:r>
          </w:p>
        </w:tc>
      </w:tr>
      <w:tr w14:paraId="0AB4D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continue"/>
          </w:tcPr>
          <w:p w14:paraId="4DC76056">
            <w:pPr>
              <w:rPr>
                <w:sz w:val="21"/>
                <w:szCs w:val="21"/>
              </w:rPr>
            </w:pPr>
          </w:p>
        </w:tc>
        <w:tc>
          <w:tcPr>
            <w:tcW w:w="2268" w:type="dxa"/>
          </w:tcPr>
          <w:p w14:paraId="74C7AA91">
            <w:pPr>
              <w:rPr>
                <w:sz w:val="21"/>
                <w:szCs w:val="21"/>
              </w:rPr>
            </w:pPr>
            <w:r>
              <w:rPr>
                <w:sz w:val="21"/>
                <w:szCs w:val="21"/>
              </w:rPr>
              <w:t>2.综合素养与职业表现</w:t>
            </w:r>
          </w:p>
        </w:tc>
        <w:tc>
          <w:tcPr>
            <w:tcW w:w="4857" w:type="dxa"/>
          </w:tcPr>
          <w:p w14:paraId="2AE76906">
            <w:pPr>
              <w:rPr>
                <w:sz w:val="21"/>
                <w:szCs w:val="21"/>
              </w:rPr>
            </w:pPr>
            <w:r>
              <w:rPr>
                <w:sz w:val="21"/>
                <w:szCs w:val="21"/>
              </w:rPr>
              <w:t>展示过程中体现良好的台风、时间控制能力、团队配合意识，展现职业态度与综合素养。</w:t>
            </w:r>
          </w:p>
        </w:tc>
      </w:tr>
    </w:tbl>
    <w:p w14:paraId="56C8D940">
      <w:pPr>
        <w:ind w:firstLine="480" w:firstLineChars="200"/>
      </w:pPr>
      <w:r>
        <w:rPr>
          <w:rFonts w:hint="eastAsia"/>
        </w:rPr>
        <w:t>展示汇报环节</w:t>
      </w:r>
      <w:r>
        <w:t>每支队伍时间不超过</w:t>
      </w:r>
      <w:r>
        <w:rPr>
          <w:rFonts w:hint="eastAsia"/>
        </w:rPr>
        <w:t>10</w:t>
      </w:r>
      <w:r>
        <w:t>分钟，</w:t>
      </w:r>
      <w:r>
        <w:rPr>
          <w:rFonts w:hint="eastAsia"/>
        </w:rPr>
        <w:t>展示</w:t>
      </w:r>
      <w:r>
        <w:t>过程中，不得透露所在学校、城市，</w:t>
      </w:r>
      <w:r>
        <w:rPr>
          <w:rFonts w:hint="eastAsia"/>
        </w:rPr>
        <w:t>ppt</w:t>
      </w:r>
      <w:r>
        <w:t>文件中不出现学校名称、LOGO、所在城市等信息，每支队伍自行决定汇报人。</w:t>
      </w:r>
    </w:p>
    <w:p w14:paraId="7243420A">
      <w:pPr>
        <w:pStyle w:val="2"/>
      </w:pPr>
      <w:r>
        <w:rPr>
          <w:rFonts w:hint="eastAsia"/>
        </w:rPr>
        <w:t>四、竞赛方式</w:t>
      </w:r>
    </w:p>
    <w:p w14:paraId="19497903">
      <w:pPr>
        <w:ind w:firstLine="480" w:firstLineChars="200"/>
      </w:pPr>
      <w:r>
        <w:t>1.</w:t>
      </w:r>
      <w:r>
        <w:rPr>
          <w:rFonts w:hint="eastAsia"/>
        </w:rPr>
        <w:t>本赛项为</w:t>
      </w:r>
      <w:r>
        <w:rPr>
          <w:rFonts w:hint="eastAsia" w:ascii="仿宋_GB2312" w:hAnsi="宋体" w:eastAsia="仿宋_GB2312"/>
        </w:rPr>
        <w:t>线下比赛，</w:t>
      </w:r>
      <w:r>
        <w:rPr>
          <w:rFonts w:hint="eastAsia"/>
        </w:rPr>
        <w:t>团体赛，参赛组别为高职组。</w:t>
      </w:r>
    </w:p>
    <w:p w14:paraId="32B439D6">
      <w:pPr>
        <w:ind w:firstLine="480" w:firstLineChars="200"/>
      </w:pPr>
      <w:r>
        <w:t>2.</w:t>
      </w:r>
      <w:r>
        <w:rPr>
          <w:rFonts w:hint="eastAsia"/>
        </w:rPr>
        <w:t>竞赛由各校自行组队参赛。每所学校不超过</w:t>
      </w:r>
      <w:r>
        <w:t>2</w:t>
      </w:r>
      <w:r>
        <w:rPr>
          <w:rFonts w:hint="eastAsia"/>
        </w:rPr>
        <w:t>支参赛队，每支参赛队参赛选手</w:t>
      </w:r>
      <w:r>
        <w:t>2</w:t>
      </w:r>
      <w:r>
        <w:rPr>
          <w:rFonts w:hint="eastAsia"/>
        </w:rPr>
        <w:t>名，每支参赛队指导教师不超过</w:t>
      </w:r>
      <w:r>
        <w:t>2</w:t>
      </w:r>
      <w:r>
        <w:rPr>
          <w:rFonts w:hint="eastAsia"/>
        </w:rPr>
        <w:t>名。</w:t>
      </w:r>
    </w:p>
    <w:p w14:paraId="471BA71A">
      <w:pPr>
        <w:pStyle w:val="2"/>
      </w:pPr>
      <w:r>
        <w:rPr>
          <w:rFonts w:hint="eastAsia"/>
        </w:rPr>
        <w:t>五、竞赛流程</w:t>
      </w:r>
    </w:p>
    <w:p w14:paraId="0AE65A8E">
      <w:pPr>
        <w:ind w:firstLine="482" w:firstLineChars="200"/>
        <w:rPr>
          <w:b/>
          <w:bCs/>
        </w:rPr>
      </w:pPr>
      <w:r>
        <w:rPr>
          <w:rFonts w:hint="eastAsia"/>
          <w:b/>
          <w:bCs/>
        </w:rPr>
        <w:t>（一）竞赛时间安排</w:t>
      </w:r>
    </w:p>
    <w:p w14:paraId="422C9F5A">
      <w:pPr>
        <w:jc w:val="center"/>
        <w:rPr>
          <w:b/>
          <w:bCs/>
        </w:rPr>
      </w:pPr>
      <w:r>
        <w:rPr>
          <w:rFonts w:hint="eastAsia"/>
          <w:b/>
          <w:bCs/>
        </w:rPr>
        <w:t>表3</w:t>
      </w:r>
      <w:r>
        <w:rPr>
          <w:b/>
          <w:bCs/>
        </w:rPr>
        <w:t xml:space="preserve">  </w:t>
      </w:r>
      <w:r>
        <w:rPr>
          <w:rFonts w:hint="eastAsia"/>
          <w:b/>
          <w:bCs/>
        </w:rPr>
        <w:t>竞赛时间表</w:t>
      </w:r>
    </w:p>
    <w:p w14:paraId="44EA0827">
      <w:pPr>
        <w:spacing w:line="119" w:lineRule="exact"/>
      </w:pPr>
    </w:p>
    <w:tbl>
      <w:tblPr>
        <w:tblStyle w:val="19"/>
        <w:tblW w:w="852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77"/>
        <w:gridCol w:w="1895"/>
        <w:gridCol w:w="5156"/>
      </w:tblGrid>
      <w:tr w14:paraId="5F9618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477" w:type="dxa"/>
            <w:tcBorders>
              <w:bottom w:val="single" w:color="auto" w:sz="4" w:space="0"/>
            </w:tcBorders>
            <w:vAlign w:val="center"/>
          </w:tcPr>
          <w:p w14:paraId="61478C71">
            <w:pPr>
              <w:pStyle w:val="20"/>
              <w:spacing w:before="40" w:line="219" w:lineRule="auto"/>
              <w:jc w:val="center"/>
              <w:rPr>
                <w:rFonts w:hint="eastAsia"/>
                <w:b/>
                <w:bCs/>
                <w:sz w:val="21"/>
                <w:szCs w:val="21"/>
              </w:rPr>
            </w:pPr>
            <w:r>
              <w:rPr>
                <w:rFonts w:hint="eastAsia"/>
                <w:b/>
                <w:bCs/>
                <w:spacing w:val="-14"/>
                <w:sz w:val="21"/>
                <w:szCs w:val="21"/>
              </w:rPr>
              <w:t>日期</w:t>
            </w:r>
          </w:p>
        </w:tc>
        <w:tc>
          <w:tcPr>
            <w:tcW w:w="1895" w:type="dxa"/>
            <w:vAlign w:val="center"/>
          </w:tcPr>
          <w:p w14:paraId="10E3C7CF">
            <w:pPr>
              <w:pStyle w:val="20"/>
              <w:spacing w:before="40" w:line="219" w:lineRule="auto"/>
              <w:jc w:val="center"/>
              <w:rPr>
                <w:rFonts w:hint="eastAsia"/>
                <w:b/>
                <w:bCs/>
                <w:sz w:val="21"/>
                <w:szCs w:val="21"/>
              </w:rPr>
            </w:pPr>
            <w:r>
              <w:rPr>
                <w:rFonts w:hint="eastAsia"/>
                <w:b/>
                <w:bCs/>
                <w:spacing w:val="-8"/>
                <w:sz w:val="21"/>
                <w:szCs w:val="21"/>
              </w:rPr>
              <w:t>时间</w:t>
            </w:r>
          </w:p>
        </w:tc>
        <w:tc>
          <w:tcPr>
            <w:tcW w:w="5156" w:type="dxa"/>
            <w:vAlign w:val="center"/>
          </w:tcPr>
          <w:p w14:paraId="0D75143D">
            <w:pPr>
              <w:pStyle w:val="20"/>
              <w:spacing w:before="40" w:line="218" w:lineRule="auto"/>
              <w:jc w:val="center"/>
              <w:rPr>
                <w:rFonts w:hint="eastAsia"/>
                <w:b/>
                <w:bCs/>
                <w:sz w:val="21"/>
                <w:szCs w:val="21"/>
              </w:rPr>
            </w:pPr>
            <w:r>
              <w:rPr>
                <w:rFonts w:hint="eastAsia"/>
                <w:b/>
                <w:bCs/>
                <w:spacing w:val="-11"/>
                <w:sz w:val="21"/>
                <w:szCs w:val="21"/>
              </w:rPr>
              <w:t>内容</w:t>
            </w:r>
          </w:p>
        </w:tc>
      </w:tr>
      <w:tr w14:paraId="2E412A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477" w:type="dxa"/>
            <w:vMerge w:val="restart"/>
            <w:tcBorders>
              <w:top w:val="single" w:color="auto" w:sz="4" w:space="0"/>
              <w:left w:val="single" w:color="auto" w:sz="4" w:space="0"/>
              <w:right w:val="single" w:color="auto" w:sz="4" w:space="0"/>
            </w:tcBorders>
            <w:vAlign w:val="center"/>
          </w:tcPr>
          <w:p w14:paraId="1C47928B">
            <w:pPr>
              <w:jc w:val="center"/>
              <w:rPr>
                <w:rFonts w:ascii="仿宋" w:cs="仿宋"/>
                <w:color w:val="EE0000"/>
                <w:sz w:val="21"/>
                <w:szCs w:val="21"/>
              </w:rPr>
            </w:pPr>
            <w:r>
              <w:rPr>
                <w:rFonts w:hint="eastAsia" w:ascii="仿宋" w:hAnsi="仿宋" w:cs="仿宋"/>
                <w:color w:val="auto"/>
                <w:sz w:val="21"/>
                <w:szCs w:val="21"/>
              </w:rPr>
              <w:t>12月2</w:t>
            </w:r>
            <w:r>
              <w:rPr>
                <w:rFonts w:hint="eastAsia" w:ascii="仿宋" w:hAnsi="仿宋" w:cs="仿宋"/>
                <w:color w:val="auto"/>
                <w:sz w:val="21"/>
                <w:szCs w:val="21"/>
                <w:lang w:val="en-US" w:eastAsia="zh-CN"/>
              </w:rPr>
              <w:t>6</w:t>
            </w:r>
            <w:r>
              <w:rPr>
                <w:rFonts w:hint="eastAsia" w:ascii="仿宋" w:hAnsi="仿宋" w:cs="仿宋"/>
                <w:color w:val="auto"/>
                <w:sz w:val="21"/>
                <w:szCs w:val="21"/>
              </w:rPr>
              <w:t>日</w:t>
            </w:r>
          </w:p>
        </w:tc>
        <w:tc>
          <w:tcPr>
            <w:tcW w:w="1895" w:type="dxa"/>
            <w:tcBorders>
              <w:left w:val="single" w:color="auto" w:sz="4" w:space="0"/>
            </w:tcBorders>
            <w:vAlign w:val="center"/>
          </w:tcPr>
          <w:p w14:paraId="00CDB2CB">
            <w:pPr>
              <w:jc w:val="center"/>
              <w:rPr>
                <w:rFonts w:ascii="仿宋" w:cs="仿宋"/>
                <w:sz w:val="21"/>
                <w:szCs w:val="21"/>
              </w:rPr>
            </w:pPr>
            <w:r>
              <w:rPr>
                <w:rFonts w:ascii="仿宋" w:hAnsi="仿宋" w:cs="仿宋"/>
                <w:sz w:val="21"/>
                <w:szCs w:val="21"/>
              </w:rPr>
              <w:t>1</w:t>
            </w:r>
            <w:r>
              <w:rPr>
                <w:rFonts w:hint="eastAsia" w:ascii="仿宋" w:hAnsi="仿宋" w:cs="仿宋"/>
                <w:sz w:val="21"/>
                <w:szCs w:val="21"/>
                <w:lang w:val="en-US" w:eastAsia="zh-CN"/>
              </w:rPr>
              <w:t>5</w:t>
            </w:r>
            <w:r>
              <w:rPr>
                <w:rFonts w:ascii="仿宋" w:hAnsi="仿宋" w:cs="仿宋"/>
                <w:sz w:val="21"/>
                <w:szCs w:val="21"/>
              </w:rPr>
              <w:t xml:space="preserve">:00 </w:t>
            </w:r>
            <w:r>
              <w:rPr>
                <w:rFonts w:hint="eastAsia" w:ascii="仿宋" w:hAnsi="仿宋" w:cs="仿宋"/>
                <w:sz w:val="21"/>
                <w:szCs w:val="21"/>
              </w:rPr>
              <w:t>之前</w:t>
            </w:r>
          </w:p>
        </w:tc>
        <w:tc>
          <w:tcPr>
            <w:tcW w:w="5156" w:type="dxa"/>
            <w:vAlign w:val="center"/>
          </w:tcPr>
          <w:p w14:paraId="6E50D67B">
            <w:pPr>
              <w:jc w:val="center"/>
              <w:rPr>
                <w:rFonts w:ascii="仿宋" w:cs="仿宋"/>
                <w:sz w:val="21"/>
                <w:szCs w:val="21"/>
              </w:rPr>
            </w:pPr>
            <w:bookmarkStart w:id="3" w:name="_GoBack"/>
            <w:bookmarkEnd w:id="3"/>
            <w:r>
              <w:rPr>
                <w:rFonts w:hint="eastAsia" w:ascii="仿宋" w:hAnsi="仿宋" w:cs="仿宋"/>
                <w:sz w:val="21"/>
                <w:szCs w:val="21"/>
              </w:rPr>
              <w:t>各参赛队报到</w:t>
            </w:r>
          </w:p>
        </w:tc>
      </w:tr>
      <w:tr w14:paraId="1D92EC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477" w:type="dxa"/>
            <w:vMerge w:val="continue"/>
            <w:tcBorders>
              <w:left w:val="single" w:color="auto" w:sz="4" w:space="0"/>
              <w:right w:val="single" w:color="auto" w:sz="4" w:space="0"/>
            </w:tcBorders>
            <w:vAlign w:val="center"/>
          </w:tcPr>
          <w:p w14:paraId="1507E1E4">
            <w:pPr>
              <w:jc w:val="center"/>
              <w:rPr>
                <w:rFonts w:ascii="仿宋" w:cs="仿宋"/>
                <w:color w:val="EE0000"/>
                <w:sz w:val="21"/>
                <w:szCs w:val="21"/>
              </w:rPr>
            </w:pPr>
          </w:p>
        </w:tc>
        <w:tc>
          <w:tcPr>
            <w:tcW w:w="1895" w:type="dxa"/>
            <w:tcBorders>
              <w:left w:val="single" w:color="auto" w:sz="4" w:space="0"/>
            </w:tcBorders>
            <w:vAlign w:val="center"/>
          </w:tcPr>
          <w:p w14:paraId="6A71B18E">
            <w:pPr>
              <w:jc w:val="center"/>
              <w:rPr>
                <w:rFonts w:ascii="仿宋" w:cs="仿宋"/>
                <w:sz w:val="21"/>
                <w:szCs w:val="21"/>
              </w:rPr>
            </w:pPr>
            <w:r>
              <w:rPr>
                <w:rFonts w:ascii="仿宋" w:hAnsi="仿宋" w:cs="仿宋"/>
                <w:sz w:val="21"/>
                <w:szCs w:val="21"/>
              </w:rPr>
              <w:t>15:00—16:00</w:t>
            </w:r>
          </w:p>
        </w:tc>
        <w:tc>
          <w:tcPr>
            <w:tcW w:w="5156" w:type="dxa"/>
            <w:vAlign w:val="center"/>
          </w:tcPr>
          <w:p w14:paraId="26B58A9A">
            <w:pPr>
              <w:jc w:val="center"/>
              <w:rPr>
                <w:rFonts w:ascii="仿宋" w:cs="仿宋"/>
                <w:sz w:val="21"/>
                <w:szCs w:val="21"/>
              </w:rPr>
            </w:pPr>
            <w:r>
              <w:rPr>
                <w:rFonts w:hint="eastAsia" w:ascii="仿宋" w:hAnsi="仿宋" w:cs="仿宋"/>
                <w:sz w:val="21"/>
                <w:szCs w:val="21"/>
              </w:rPr>
              <w:t>赛前领队会，抽取各参赛队抽签号（一次加密）</w:t>
            </w:r>
          </w:p>
        </w:tc>
      </w:tr>
      <w:tr w14:paraId="01B380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477" w:type="dxa"/>
            <w:vMerge w:val="continue"/>
            <w:tcBorders>
              <w:left w:val="single" w:color="auto" w:sz="4" w:space="0"/>
              <w:bottom w:val="single" w:color="auto" w:sz="4" w:space="0"/>
              <w:right w:val="single" w:color="auto" w:sz="4" w:space="0"/>
            </w:tcBorders>
            <w:vAlign w:val="center"/>
          </w:tcPr>
          <w:p w14:paraId="288D4059">
            <w:pPr>
              <w:jc w:val="center"/>
              <w:rPr>
                <w:rFonts w:ascii="仿宋" w:cs="仿宋"/>
                <w:color w:val="EE0000"/>
                <w:sz w:val="21"/>
                <w:szCs w:val="21"/>
              </w:rPr>
            </w:pPr>
          </w:p>
        </w:tc>
        <w:tc>
          <w:tcPr>
            <w:tcW w:w="1895" w:type="dxa"/>
            <w:tcBorders>
              <w:left w:val="single" w:color="auto" w:sz="4" w:space="0"/>
            </w:tcBorders>
            <w:vAlign w:val="center"/>
          </w:tcPr>
          <w:p w14:paraId="4DEA57F8">
            <w:pPr>
              <w:jc w:val="center"/>
              <w:rPr>
                <w:rFonts w:ascii="仿宋" w:cs="仿宋"/>
                <w:sz w:val="21"/>
                <w:szCs w:val="21"/>
              </w:rPr>
            </w:pPr>
            <w:r>
              <w:rPr>
                <w:rFonts w:ascii="仿宋" w:hAnsi="仿宋" w:cs="仿宋"/>
                <w:sz w:val="21"/>
                <w:szCs w:val="21"/>
              </w:rPr>
              <w:t>16:00—16:30</w:t>
            </w:r>
          </w:p>
        </w:tc>
        <w:tc>
          <w:tcPr>
            <w:tcW w:w="5156" w:type="dxa"/>
            <w:vAlign w:val="center"/>
          </w:tcPr>
          <w:p w14:paraId="323DA36E">
            <w:pPr>
              <w:jc w:val="center"/>
              <w:rPr>
                <w:rFonts w:ascii="仿宋" w:cs="仿宋"/>
                <w:sz w:val="21"/>
                <w:szCs w:val="21"/>
              </w:rPr>
            </w:pPr>
            <w:r>
              <w:rPr>
                <w:rFonts w:hint="eastAsia" w:ascii="仿宋" w:hAnsi="仿宋" w:cs="仿宋"/>
                <w:sz w:val="21"/>
                <w:szCs w:val="21"/>
              </w:rPr>
              <w:t>参赛队熟悉比赛场地</w:t>
            </w:r>
          </w:p>
        </w:tc>
      </w:tr>
      <w:tr w14:paraId="51FBC3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477" w:type="dxa"/>
            <w:vMerge w:val="restart"/>
            <w:vAlign w:val="center"/>
          </w:tcPr>
          <w:p w14:paraId="5E5E9AF7">
            <w:pPr>
              <w:jc w:val="center"/>
              <w:rPr>
                <w:rFonts w:ascii="仿宋" w:cs="仿宋"/>
                <w:color w:val="EE0000"/>
                <w:sz w:val="21"/>
                <w:szCs w:val="21"/>
              </w:rPr>
            </w:pPr>
            <w:r>
              <w:rPr>
                <w:rFonts w:hint="eastAsia" w:ascii="仿宋" w:cs="仿宋"/>
                <w:color w:val="auto"/>
                <w:sz w:val="21"/>
                <w:szCs w:val="21"/>
              </w:rPr>
              <w:t>12月2</w:t>
            </w:r>
            <w:r>
              <w:rPr>
                <w:rFonts w:hint="eastAsia" w:ascii="仿宋" w:cs="仿宋"/>
                <w:color w:val="auto"/>
                <w:sz w:val="21"/>
                <w:szCs w:val="21"/>
                <w:lang w:val="en-US" w:eastAsia="zh-CN"/>
              </w:rPr>
              <w:t>7</w:t>
            </w:r>
            <w:r>
              <w:rPr>
                <w:rFonts w:hint="eastAsia" w:ascii="仿宋" w:cs="仿宋"/>
                <w:color w:val="auto"/>
                <w:sz w:val="21"/>
                <w:szCs w:val="21"/>
              </w:rPr>
              <w:t>日</w:t>
            </w:r>
          </w:p>
        </w:tc>
        <w:tc>
          <w:tcPr>
            <w:tcW w:w="1895" w:type="dxa"/>
            <w:vAlign w:val="center"/>
          </w:tcPr>
          <w:p w14:paraId="6E6BDA6F">
            <w:pPr>
              <w:jc w:val="center"/>
              <w:rPr>
                <w:rFonts w:ascii="仿宋" w:cs="仿宋"/>
                <w:sz w:val="21"/>
                <w:szCs w:val="21"/>
              </w:rPr>
            </w:pPr>
            <w:r>
              <w:rPr>
                <w:rFonts w:ascii="仿宋" w:hAnsi="仿宋" w:cs="仿宋"/>
                <w:sz w:val="21"/>
                <w:szCs w:val="21"/>
              </w:rPr>
              <w:t>0</w:t>
            </w:r>
            <w:r>
              <w:rPr>
                <w:rFonts w:hint="eastAsia" w:ascii="仿宋" w:hAnsi="仿宋" w:cs="仿宋"/>
                <w:sz w:val="21"/>
                <w:szCs w:val="21"/>
              </w:rPr>
              <w:t>7</w:t>
            </w:r>
            <w:r>
              <w:rPr>
                <w:rFonts w:ascii="仿宋" w:hAnsi="仿宋" w:cs="仿宋"/>
                <w:sz w:val="21"/>
                <w:szCs w:val="21"/>
              </w:rPr>
              <w:t>:</w:t>
            </w:r>
            <w:r>
              <w:rPr>
                <w:rFonts w:hint="eastAsia" w:ascii="仿宋" w:hAnsi="仿宋" w:cs="仿宋"/>
                <w:sz w:val="21"/>
                <w:szCs w:val="21"/>
              </w:rPr>
              <w:t>0</w:t>
            </w:r>
            <w:r>
              <w:rPr>
                <w:rFonts w:ascii="仿宋" w:cs="仿宋"/>
                <w:sz w:val="21"/>
                <w:szCs w:val="21"/>
              </w:rPr>
              <w:t>0</w:t>
            </w:r>
            <w:r>
              <w:rPr>
                <w:rFonts w:ascii="仿宋" w:hAnsi="仿宋" w:cs="仿宋"/>
                <w:sz w:val="21"/>
                <w:szCs w:val="21"/>
              </w:rPr>
              <w:t>—</w:t>
            </w:r>
            <w:r>
              <w:rPr>
                <w:rFonts w:ascii="仿宋" w:cs="仿宋"/>
                <w:sz w:val="21"/>
                <w:szCs w:val="21"/>
              </w:rPr>
              <w:t>0</w:t>
            </w:r>
            <w:r>
              <w:rPr>
                <w:rFonts w:hint="eastAsia" w:ascii="仿宋" w:hAnsi="仿宋" w:cs="仿宋"/>
                <w:sz w:val="21"/>
                <w:szCs w:val="21"/>
              </w:rPr>
              <w:t>7</w:t>
            </w:r>
            <w:r>
              <w:rPr>
                <w:rFonts w:ascii="仿宋" w:hAnsi="仿宋" w:cs="仿宋"/>
                <w:sz w:val="21"/>
                <w:szCs w:val="21"/>
              </w:rPr>
              <w:t>:</w:t>
            </w:r>
            <w:r>
              <w:rPr>
                <w:rFonts w:hint="eastAsia" w:ascii="仿宋" w:hAnsi="仿宋" w:cs="仿宋"/>
                <w:sz w:val="21"/>
                <w:szCs w:val="21"/>
              </w:rPr>
              <w:t>30</w:t>
            </w:r>
          </w:p>
        </w:tc>
        <w:tc>
          <w:tcPr>
            <w:tcW w:w="5156" w:type="dxa"/>
            <w:vAlign w:val="center"/>
          </w:tcPr>
          <w:p w14:paraId="3AA7C9F6">
            <w:pPr>
              <w:jc w:val="center"/>
              <w:rPr>
                <w:rFonts w:ascii="仿宋" w:cs="仿宋"/>
                <w:sz w:val="21"/>
                <w:szCs w:val="21"/>
              </w:rPr>
            </w:pPr>
            <w:r>
              <w:rPr>
                <w:rFonts w:hint="eastAsia" w:ascii="仿宋" w:hAnsi="仿宋" w:cs="仿宋"/>
                <w:sz w:val="21"/>
                <w:szCs w:val="21"/>
              </w:rPr>
              <w:t>赛场检录</w:t>
            </w:r>
          </w:p>
        </w:tc>
      </w:tr>
      <w:tr w14:paraId="527FAE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477" w:type="dxa"/>
            <w:vMerge w:val="continue"/>
            <w:vAlign w:val="center"/>
          </w:tcPr>
          <w:p w14:paraId="42788307">
            <w:pPr>
              <w:jc w:val="center"/>
              <w:rPr>
                <w:rFonts w:ascii="仿宋" w:cs="仿宋"/>
                <w:sz w:val="21"/>
                <w:szCs w:val="21"/>
              </w:rPr>
            </w:pPr>
          </w:p>
        </w:tc>
        <w:tc>
          <w:tcPr>
            <w:tcW w:w="1895" w:type="dxa"/>
            <w:vAlign w:val="center"/>
          </w:tcPr>
          <w:p w14:paraId="2447816E">
            <w:pPr>
              <w:jc w:val="center"/>
              <w:rPr>
                <w:rFonts w:ascii="仿宋" w:cs="仿宋"/>
                <w:sz w:val="21"/>
                <w:szCs w:val="21"/>
              </w:rPr>
            </w:pPr>
            <w:r>
              <w:rPr>
                <w:rFonts w:ascii="仿宋" w:cs="仿宋"/>
                <w:sz w:val="21"/>
                <w:szCs w:val="21"/>
              </w:rPr>
              <w:t>0</w:t>
            </w:r>
            <w:r>
              <w:rPr>
                <w:rFonts w:hint="eastAsia" w:ascii="仿宋" w:hAnsi="仿宋" w:cs="仿宋"/>
                <w:sz w:val="21"/>
                <w:szCs w:val="21"/>
              </w:rPr>
              <w:t>7</w:t>
            </w:r>
            <w:r>
              <w:rPr>
                <w:rFonts w:ascii="仿宋" w:hAnsi="仿宋" w:cs="仿宋"/>
                <w:sz w:val="21"/>
                <w:szCs w:val="21"/>
              </w:rPr>
              <w:t>:</w:t>
            </w:r>
            <w:r>
              <w:rPr>
                <w:rFonts w:hint="eastAsia" w:ascii="仿宋" w:cs="仿宋"/>
                <w:sz w:val="21"/>
                <w:szCs w:val="21"/>
              </w:rPr>
              <w:t>3</w:t>
            </w:r>
            <w:r>
              <w:rPr>
                <w:rFonts w:ascii="仿宋" w:cs="仿宋"/>
                <w:sz w:val="21"/>
                <w:szCs w:val="21"/>
              </w:rPr>
              <w:t>0</w:t>
            </w:r>
            <w:r>
              <w:rPr>
                <w:rFonts w:ascii="仿宋" w:hAnsi="仿宋" w:cs="仿宋"/>
                <w:sz w:val="21"/>
                <w:szCs w:val="21"/>
              </w:rPr>
              <w:t>—</w:t>
            </w:r>
            <w:r>
              <w:rPr>
                <w:rFonts w:ascii="仿宋" w:cs="仿宋"/>
                <w:sz w:val="21"/>
                <w:szCs w:val="21"/>
              </w:rPr>
              <w:t>0</w:t>
            </w:r>
            <w:r>
              <w:rPr>
                <w:rFonts w:hint="eastAsia" w:ascii="仿宋" w:hAnsi="仿宋" w:cs="仿宋"/>
                <w:sz w:val="21"/>
                <w:szCs w:val="21"/>
              </w:rPr>
              <w:t>7</w:t>
            </w:r>
            <w:r>
              <w:rPr>
                <w:rFonts w:ascii="仿宋" w:hAnsi="仿宋" w:cs="仿宋"/>
                <w:sz w:val="21"/>
                <w:szCs w:val="21"/>
              </w:rPr>
              <w:t>:</w:t>
            </w:r>
            <w:r>
              <w:rPr>
                <w:rFonts w:hint="eastAsia" w:ascii="仿宋" w:hAnsi="仿宋" w:cs="仿宋"/>
                <w:sz w:val="21"/>
                <w:szCs w:val="21"/>
              </w:rPr>
              <w:t>4</w:t>
            </w:r>
            <w:r>
              <w:rPr>
                <w:rFonts w:ascii="仿宋" w:hAnsi="仿宋" w:cs="仿宋"/>
                <w:sz w:val="21"/>
                <w:szCs w:val="21"/>
              </w:rPr>
              <w:t>5</w:t>
            </w:r>
          </w:p>
        </w:tc>
        <w:tc>
          <w:tcPr>
            <w:tcW w:w="5156" w:type="dxa"/>
            <w:vAlign w:val="center"/>
          </w:tcPr>
          <w:p w14:paraId="663D234A">
            <w:pPr>
              <w:jc w:val="center"/>
              <w:rPr>
                <w:rFonts w:ascii="仿宋" w:cs="仿宋"/>
                <w:sz w:val="21"/>
                <w:szCs w:val="21"/>
              </w:rPr>
            </w:pPr>
            <w:r>
              <w:rPr>
                <w:rFonts w:hint="eastAsia" w:ascii="仿宋" w:hAnsi="仿宋" w:cs="仿宋"/>
                <w:sz w:val="21"/>
                <w:szCs w:val="21"/>
              </w:rPr>
              <w:t>参赛队抽取赛位号（二次加密）</w:t>
            </w:r>
          </w:p>
        </w:tc>
      </w:tr>
      <w:tr w14:paraId="7EF86F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477" w:type="dxa"/>
            <w:vMerge w:val="continue"/>
            <w:vAlign w:val="center"/>
          </w:tcPr>
          <w:p w14:paraId="07662978">
            <w:pPr>
              <w:jc w:val="center"/>
              <w:rPr>
                <w:rFonts w:ascii="仿宋" w:cs="仿宋"/>
                <w:sz w:val="21"/>
                <w:szCs w:val="21"/>
              </w:rPr>
            </w:pPr>
          </w:p>
        </w:tc>
        <w:tc>
          <w:tcPr>
            <w:tcW w:w="1895" w:type="dxa"/>
            <w:vAlign w:val="center"/>
          </w:tcPr>
          <w:p w14:paraId="755187A1">
            <w:pPr>
              <w:jc w:val="center"/>
              <w:rPr>
                <w:rFonts w:ascii="仿宋" w:cs="仿宋"/>
                <w:sz w:val="21"/>
                <w:szCs w:val="21"/>
              </w:rPr>
            </w:pPr>
            <w:r>
              <w:rPr>
                <w:rFonts w:ascii="仿宋" w:cs="仿宋"/>
                <w:sz w:val="21"/>
                <w:szCs w:val="21"/>
              </w:rPr>
              <w:t>0</w:t>
            </w:r>
            <w:r>
              <w:rPr>
                <w:rFonts w:hint="eastAsia" w:ascii="仿宋" w:hAnsi="仿宋" w:cs="仿宋"/>
                <w:sz w:val="21"/>
                <w:szCs w:val="21"/>
              </w:rPr>
              <w:t>7</w:t>
            </w:r>
            <w:r>
              <w:rPr>
                <w:rFonts w:ascii="仿宋" w:hAnsi="仿宋" w:cs="仿宋"/>
                <w:sz w:val="21"/>
                <w:szCs w:val="21"/>
              </w:rPr>
              <w:t>:</w:t>
            </w:r>
            <w:r>
              <w:rPr>
                <w:rFonts w:hint="eastAsia" w:ascii="仿宋" w:hAnsi="仿宋" w:cs="仿宋"/>
                <w:sz w:val="21"/>
                <w:szCs w:val="21"/>
              </w:rPr>
              <w:t>4</w:t>
            </w:r>
            <w:r>
              <w:rPr>
                <w:rFonts w:ascii="仿宋" w:hAnsi="仿宋" w:cs="仿宋"/>
                <w:sz w:val="21"/>
                <w:szCs w:val="21"/>
              </w:rPr>
              <w:t>5—0</w:t>
            </w:r>
            <w:r>
              <w:rPr>
                <w:rFonts w:hint="eastAsia" w:ascii="仿宋" w:hAnsi="仿宋" w:cs="仿宋"/>
                <w:sz w:val="21"/>
                <w:szCs w:val="21"/>
              </w:rPr>
              <w:t>8</w:t>
            </w:r>
            <w:r>
              <w:rPr>
                <w:rFonts w:ascii="仿宋" w:hAnsi="仿宋" w:cs="仿宋"/>
                <w:sz w:val="21"/>
                <w:szCs w:val="21"/>
              </w:rPr>
              <w:t>:</w:t>
            </w:r>
            <w:r>
              <w:rPr>
                <w:rFonts w:hint="eastAsia" w:ascii="仿宋" w:hAnsi="仿宋" w:cs="仿宋"/>
                <w:sz w:val="21"/>
                <w:szCs w:val="21"/>
              </w:rPr>
              <w:t>0</w:t>
            </w:r>
            <w:r>
              <w:rPr>
                <w:rFonts w:ascii="仿宋" w:cs="仿宋"/>
                <w:sz w:val="21"/>
                <w:szCs w:val="21"/>
              </w:rPr>
              <w:t>0</w:t>
            </w:r>
          </w:p>
        </w:tc>
        <w:tc>
          <w:tcPr>
            <w:tcW w:w="5156" w:type="dxa"/>
            <w:vAlign w:val="center"/>
          </w:tcPr>
          <w:p w14:paraId="53CD1DAE">
            <w:pPr>
              <w:jc w:val="center"/>
              <w:rPr>
                <w:rFonts w:ascii="仿宋" w:cs="仿宋"/>
                <w:sz w:val="21"/>
                <w:szCs w:val="21"/>
              </w:rPr>
            </w:pPr>
            <w:r>
              <w:rPr>
                <w:rFonts w:hint="eastAsia" w:ascii="仿宋" w:hAnsi="仿宋" w:cs="仿宋"/>
                <w:sz w:val="21"/>
                <w:szCs w:val="21"/>
              </w:rPr>
              <w:t>参赛队进入比赛赛位，检查软硬件、题目发放</w:t>
            </w:r>
          </w:p>
        </w:tc>
      </w:tr>
      <w:tr w14:paraId="3B8B58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477" w:type="dxa"/>
            <w:vMerge w:val="continue"/>
            <w:vAlign w:val="center"/>
          </w:tcPr>
          <w:p w14:paraId="1BCD2E4C">
            <w:pPr>
              <w:jc w:val="center"/>
              <w:rPr>
                <w:rFonts w:ascii="仿宋" w:cs="仿宋"/>
                <w:sz w:val="21"/>
                <w:szCs w:val="21"/>
              </w:rPr>
            </w:pPr>
          </w:p>
        </w:tc>
        <w:tc>
          <w:tcPr>
            <w:tcW w:w="1895" w:type="dxa"/>
            <w:vAlign w:val="center"/>
          </w:tcPr>
          <w:p w14:paraId="2975C84B">
            <w:pPr>
              <w:jc w:val="center"/>
              <w:rPr>
                <w:rFonts w:ascii="仿宋" w:cs="仿宋"/>
                <w:sz w:val="21"/>
                <w:szCs w:val="21"/>
              </w:rPr>
            </w:pPr>
            <w:r>
              <w:rPr>
                <w:rFonts w:ascii="仿宋" w:hAnsi="仿宋" w:cs="仿宋"/>
                <w:sz w:val="21"/>
                <w:szCs w:val="21"/>
              </w:rPr>
              <w:t>0</w:t>
            </w:r>
            <w:r>
              <w:rPr>
                <w:rFonts w:hint="eastAsia" w:ascii="仿宋" w:hAnsi="仿宋" w:cs="仿宋"/>
                <w:sz w:val="21"/>
                <w:szCs w:val="21"/>
              </w:rPr>
              <w:t>8</w:t>
            </w:r>
            <w:r>
              <w:rPr>
                <w:rFonts w:ascii="仿宋" w:hAnsi="仿宋" w:cs="仿宋"/>
                <w:sz w:val="21"/>
                <w:szCs w:val="21"/>
              </w:rPr>
              <w:t>:</w:t>
            </w:r>
            <w:r>
              <w:rPr>
                <w:rFonts w:hint="eastAsia" w:ascii="仿宋" w:hAnsi="仿宋" w:cs="仿宋"/>
                <w:sz w:val="21"/>
                <w:szCs w:val="21"/>
              </w:rPr>
              <w:t>0</w:t>
            </w:r>
            <w:r>
              <w:rPr>
                <w:rFonts w:ascii="仿宋" w:cs="仿宋"/>
                <w:sz w:val="21"/>
                <w:szCs w:val="21"/>
              </w:rPr>
              <w:t>0</w:t>
            </w:r>
            <w:r>
              <w:rPr>
                <w:rFonts w:ascii="仿宋" w:hAnsi="仿宋" w:cs="仿宋"/>
                <w:sz w:val="21"/>
                <w:szCs w:val="21"/>
              </w:rPr>
              <w:t>—12:</w:t>
            </w:r>
            <w:r>
              <w:rPr>
                <w:rFonts w:hint="eastAsia" w:ascii="仿宋" w:cs="仿宋"/>
                <w:sz w:val="21"/>
                <w:szCs w:val="21"/>
              </w:rPr>
              <w:t>0</w:t>
            </w:r>
            <w:r>
              <w:rPr>
                <w:rFonts w:ascii="仿宋" w:cs="仿宋"/>
                <w:sz w:val="21"/>
                <w:szCs w:val="21"/>
              </w:rPr>
              <w:t>0</w:t>
            </w:r>
          </w:p>
        </w:tc>
        <w:tc>
          <w:tcPr>
            <w:tcW w:w="5156" w:type="dxa"/>
            <w:vAlign w:val="center"/>
          </w:tcPr>
          <w:p w14:paraId="26919EF1">
            <w:pPr>
              <w:jc w:val="center"/>
              <w:rPr>
                <w:rFonts w:ascii="仿宋" w:cs="仿宋"/>
                <w:sz w:val="21"/>
                <w:szCs w:val="21"/>
              </w:rPr>
            </w:pPr>
            <w:r>
              <w:rPr>
                <w:rFonts w:hint="eastAsia" w:ascii="仿宋" w:hAnsi="仿宋" w:cs="仿宋"/>
                <w:sz w:val="21"/>
                <w:szCs w:val="21"/>
              </w:rPr>
              <w:t>技能比拼环节竞赛</w:t>
            </w:r>
          </w:p>
        </w:tc>
      </w:tr>
      <w:tr w14:paraId="3E36C5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1477" w:type="dxa"/>
            <w:vMerge w:val="continue"/>
            <w:vAlign w:val="center"/>
          </w:tcPr>
          <w:p w14:paraId="6BC1600D">
            <w:pPr>
              <w:jc w:val="center"/>
              <w:rPr>
                <w:rFonts w:ascii="仿宋" w:cs="仿宋"/>
                <w:sz w:val="21"/>
                <w:szCs w:val="21"/>
              </w:rPr>
            </w:pPr>
          </w:p>
        </w:tc>
        <w:tc>
          <w:tcPr>
            <w:tcW w:w="1895" w:type="dxa"/>
            <w:vAlign w:val="center"/>
          </w:tcPr>
          <w:p w14:paraId="748EC00A">
            <w:pPr>
              <w:jc w:val="center"/>
              <w:rPr>
                <w:rFonts w:ascii="仿宋" w:cs="仿宋"/>
                <w:sz w:val="21"/>
                <w:szCs w:val="21"/>
              </w:rPr>
            </w:pPr>
            <w:r>
              <w:rPr>
                <w:rFonts w:ascii="仿宋" w:hAnsi="仿宋" w:cs="仿宋"/>
                <w:sz w:val="21"/>
                <w:szCs w:val="21"/>
              </w:rPr>
              <w:t>12:</w:t>
            </w:r>
            <w:r>
              <w:rPr>
                <w:rFonts w:hint="eastAsia" w:ascii="仿宋" w:cs="仿宋"/>
                <w:sz w:val="21"/>
                <w:szCs w:val="21"/>
              </w:rPr>
              <w:t>0</w:t>
            </w:r>
            <w:r>
              <w:rPr>
                <w:rFonts w:ascii="仿宋" w:cs="仿宋"/>
                <w:sz w:val="21"/>
                <w:szCs w:val="21"/>
              </w:rPr>
              <w:t>0</w:t>
            </w:r>
            <w:r>
              <w:rPr>
                <w:rFonts w:ascii="仿宋" w:hAnsi="仿宋" w:cs="仿宋"/>
                <w:sz w:val="21"/>
                <w:szCs w:val="21"/>
              </w:rPr>
              <w:t>—1</w:t>
            </w:r>
            <w:r>
              <w:rPr>
                <w:rFonts w:hint="eastAsia" w:ascii="仿宋" w:hAnsi="仿宋" w:cs="仿宋"/>
                <w:sz w:val="21"/>
                <w:szCs w:val="21"/>
              </w:rPr>
              <w:t>3</w:t>
            </w:r>
            <w:r>
              <w:rPr>
                <w:rFonts w:ascii="仿宋" w:hAnsi="仿宋" w:cs="仿宋"/>
                <w:sz w:val="21"/>
                <w:szCs w:val="21"/>
              </w:rPr>
              <w:t>:</w:t>
            </w:r>
            <w:r>
              <w:rPr>
                <w:rFonts w:hint="eastAsia" w:ascii="仿宋" w:hAnsi="仿宋" w:cs="仿宋"/>
                <w:sz w:val="21"/>
                <w:szCs w:val="21"/>
              </w:rPr>
              <w:t>00</w:t>
            </w:r>
          </w:p>
        </w:tc>
        <w:tc>
          <w:tcPr>
            <w:tcW w:w="5156" w:type="dxa"/>
            <w:vAlign w:val="center"/>
          </w:tcPr>
          <w:p w14:paraId="236A4070">
            <w:pPr>
              <w:jc w:val="center"/>
              <w:rPr>
                <w:rFonts w:ascii="仿宋" w:cs="仿宋"/>
                <w:sz w:val="21"/>
                <w:szCs w:val="21"/>
              </w:rPr>
            </w:pPr>
            <w:r>
              <w:rPr>
                <w:rFonts w:hint="eastAsia" w:ascii="仿宋" w:hAnsi="仿宋" w:cs="仿宋"/>
                <w:sz w:val="21"/>
                <w:szCs w:val="21"/>
              </w:rPr>
              <w:t>午餐</w:t>
            </w:r>
          </w:p>
        </w:tc>
      </w:tr>
      <w:tr w14:paraId="30E124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477" w:type="dxa"/>
            <w:vMerge w:val="continue"/>
            <w:vAlign w:val="center"/>
          </w:tcPr>
          <w:p w14:paraId="5641D8E4">
            <w:pPr>
              <w:jc w:val="center"/>
              <w:rPr>
                <w:rFonts w:ascii="仿宋" w:cs="仿宋"/>
                <w:sz w:val="21"/>
                <w:szCs w:val="21"/>
              </w:rPr>
            </w:pPr>
          </w:p>
        </w:tc>
        <w:tc>
          <w:tcPr>
            <w:tcW w:w="1895" w:type="dxa"/>
            <w:vAlign w:val="center"/>
          </w:tcPr>
          <w:p w14:paraId="372A964B">
            <w:pPr>
              <w:jc w:val="center"/>
              <w:rPr>
                <w:rFonts w:ascii="仿宋" w:cs="仿宋"/>
                <w:sz w:val="21"/>
                <w:szCs w:val="21"/>
              </w:rPr>
            </w:pPr>
            <w:r>
              <w:rPr>
                <w:rFonts w:ascii="仿宋" w:hAnsi="仿宋" w:cs="仿宋"/>
                <w:sz w:val="21"/>
                <w:szCs w:val="21"/>
              </w:rPr>
              <w:t>13:</w:t>
            </w:r>
            <w:r>
              <w:rPr>
                <w:rFonts w:hint="eastAsia" w:ascii="仿宋" w:hAnsi="仿宋" w:cs="仿宋"/>
                <w:sz w:val="21"/>
                <w:szCs w:val="21"/>
              </w:rPr>
              <w:t>0</w:t>
            </w:r>
            <w:r>
              <w:rPr>
                <w:rFonts w:ascii="仿宋" w:cs="仿宋"/>
                <w:sz w:val="21"/>
                <w:szCs w:val="21"/>
              </w:rPr>
              <w:t>0</w:t>
            </w:r>
            <w:r>
              <w:rPr>
                <w:rFonts w:ascii="仿宋" w:hAnsi="仿宋" w:cs="仿宋"/>
                <w:sz w:val="21"/>
                <w:szCs w:val="21"/>
              </w:rPr>
              <w:t>—1</w:t>
            </w:r>
            <w:r>
              <w:rPr>
                <w:rFonts w:hint="eastAsia" w:ascii="仿宋" w:hAnsi="仿宋" w:cs="仿宋"/>
                <w:sz w:val="21"/>
                <w:szCs w:val="21"/>
              </w:rPr>
              <w:t>6</w:t>
            </w:r>
            <w:r>
              <w:rPr>
                <w:rFonts w:ascii="仿宋" w:hAnsi="仿宋" w:cs="仿宋"/>
                <w:sz w:val="21"/>
                <w:szCs w:val="21"/>
              </w:rPr>
              <w:t>:</w:t>
            </w:r>
            <w:r>
              <w:rPr>
                <w:rFonts w:hint="eastAsia" w:ascii="仿宋" w:hAnsi="仿宋" w:cs="仿宋"/>
                <w:sz w:val="21"/>
                <w:szCs w:val="21"/>
              </w:rPr>
              <w:t>0</w:t>
            </w:r>
            <w:r>
              <w:rPr>
                <w:rFonts w:ascii="仿宋" w:hAnsi="仿宋" w:cs="仿宋"/>
                <w:sz w:val="21"/>
                <w:szCs w:val="21"/>
              </w:rPr>
              <w:t>0</w:t>
            </w:r>
          </w:p>
        </w:tc>
        <w:tc>
          <w:tcPr>
            <w:tcW w:w="5156" w:type="dxa"/>
            <w:vAlign w:val="center"/>
          </w:tcPr>
          <w:p w14:paraId="77D4918F">
            <w:pPr>
              <w:jc w:val="center"/>
              <w:rPr>
                <w:rFonts w:ascii="仿宋" w:cs="仿宋"/>
                <w:sz w:val="21"/>
                <w:szCs w:val="21"/>
              </w:rPr>
            </w:pPr>
            <w:r>
              <w:rPr>
                <w:rFonts w:hint="eastAsia" w:ascii="仿宋" w:hAnsi="仿宋" w:cs="仿宋"/>
                <w:sz w:val="21"/>
                <w:szCs w:val="21"/>
              </w:rPr>
              <w:t>展示汇报环节竞赛</w:t>
            </w:r>
          </w:p>
        </w:tc>
      </w:tr>
      <w:tr w14:paraId="0E2029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8" w:hRule="atLeast"/>
        </w:trPr>
        <w:tc>
          <w:tcPr>
            <w:tcW w:w="1477" w:type="dxa"/>
            <w:vMerge w:val="continue"/>
            <w:tcBorders>
              <w:bottom w:val="single" w:color="auto" w:sz="4" w:space="0"/>
            </w:tcBorders>
            <w:vAlign w:val="center"/>
          </w:tcPr>
          <w:p w14:paraId="484B685C">
            <w:pPr>
              <w:jc w:val="center"/>
              <w:rPr>
                <w:rFonts w:ascii="仿宋" w:cs="仿宋"/>
                <w:sz w:val="21"/>
                <w:szCs w:val="21"/>
              </w:rPr>
            </w:pPr>
          </w:p>
        </w:tc>
        <w:tc>
          <w:tcPr>
            <w:tcW w:w="1895" w:type="dxa"/>
            <w:vAlign w:val="center"/>
          </w:tcPr>
          <w:p w14:paraId="0FEF7B60">
            <w:pPr>
              <w:jc w:val="center"/>
              <w:rPr>
                <w:rFonts w:hint="eastAsia" w:ascii="仿宋" w:hAnsi="仿宋" w:cs="仿宋"/>
                <w:sz w:val="21"/>
                <w:szCs w:val="21"/>
              </w:rPr>
            </w:pPr>
            <w:r>
              <w:rPr>
                <w:rFonts w:hint="eastAsia" w:ascii="仿宋" w:hAnsi="仿宋" w:cs="仿宋"/>
                <w:sz w:val="21"/>
                <w:szCs w:val="21"/>
              </w:rPr>
              <w:t>16:00-</w:t>
            </w:r>
            <w:r>
              <w:rPr>
                <w:rFonts w:hint="eastAsia" w:ascii="仿宋" w:hAnsi="仿宋" w:cs="仿宋"/>
                <w:sz w:val="21"/>
                <w:szCs w:val="21"/>
                <w:lang w:val="en-US" w:eastAsia="zh-CN"/>
              </w:rPr>
              <w:t>20</w:t>
            </w:r>
            <w:r>
              <w:rPr>
                <w:rFonts w:hint="eastAsia" w:ascii="仿宋" w:hAnsi="仿宋" w:cs="仿宋"/>
                <w:sz w:val="21"/>
                <w:szCs w:val="21"/>
              </w:rPr>
              <w:t>:00</w:t>
            </w:r>
          </w:p>
        </w:tc>
        <w:tc>
          <w:tcPr>
            <w:tcW w:w="5156" w:type="dxa"/>
            <w:vAlign w:val="center"/>
          </w:tcPr>
          <w:p w14:paraId="715CBF34">
            <w:pPr>
              <w:jc w:val="center"/>
              <w:rPr>
                <w:rFonts w:hint="eastAsia" w:ascii="仿宋" w:hAnsi="仿宋" w:cs="仿宋"/>
                <w:sz w:val="21"/>
                <w:szCs w:val="21"/>
              </w:rPr>
            </w:pPr>
            <w:r>
              <w:rPr>
                <w:rFonts w:hint="eastAsia" w:ascii="仿宋" w:hAnsi="仿宋" w:cs="仿宋"/>
                <w:sz w:val="21"/>
                <w:szCs w:val="21"/>
              </w:rPr>
              <w:t>比赛成绩汇总、核算、公布</w:t>
            </w:r>
          </w:p>
        </w:tc>
      </w:tr>
    </w:tbl>
    <w:p w14:paraId="02F70782">
      <w:pPr>
        <w:pStyle w:val="5"/>
      </w:pPr>
    </w:p>
    <w:p w14:paraId="59E7B5BB">
      <w:pPr>
        <w:spacing w:before="190" w:line="219" w:lineRule="auto"/>
        <w:ind w:firstLine="560" w:firstLineChars="200"/>
        <w:rPr>
          <w:b/>
          <w:bCs/>
        </w:rPr>
      </w:pPr>
      <w:bookmarkStart w:id="1" w:name="_Toc24338"/>
      <w:r>
        <w:rPr>
          <w:rFonts w:hint="eastAsia" w:ascii="仿宋" w:hAnsi="仿宋" w:cs="仿宋"/>
          <w:sz w:val="28"/>
          <w:szCs w:val="28"/>
        </w:rPr>
        <w:drawing>
          <wp:anchor distT="0" distB="0" distL="114300" distR="114300" simplePos="0" relativeHeight="251659264" behindDoc="0" locked="0" layoutInCell="1" allowOverlap="1">
            <wp:simplePos x="0" y="0"/>
            <wp:positionH relativeFrom="margin">
              <wp:posOffset>1235710</wp:posOffset>
            </wp:positionH>
            <wp:positionV relativeFrom="paragraph">
              <wp:posOffset>713740</wp:posOffset>
            </wp:positionV>
            <wp:extent cx="2850515" cy="3200400"/>
            <wp:effectExtent l="0" t="0" r="5715" b="0"/>
            <wp:wrapTopAndBottom/>
            <wp:docPr id="4" name="图片 3" descr="1"/>
            <wp:cNvGraphicFramePr/>
            <a:graphic xmlns:a="http://schemas.openxmlformats.org/drawingml/2006/main">
              <a:graphicData uri="http://schemas.openxmlformats.org/drawingml/2006/picture">
                <pic:pic xmlns:pic="http://schemas.openxmlformats.org/drawingml/2006/picture">
                  <pic:nvPicPr>
                    <pic:cNvPr id="4" name="图片 3" descr="1"/>
                    <pic:cNvPicPr/>
                  </pic:nvPicPr>
                  <pic:blipFill>
                    <a:blip r:embed="rId6"/>
                    <a:stretch>
                      <a:fillRect/>
                    </a:stretch>
                  </pic:blipFill>
                  <pic:spPr>
                    <a:xfrm>
                      <a:off x="0" y="0"/>
                      <a:ext cx="2850515" cy="3200400"/>
                    </a:xfrm>
                    <a:prstGeom prst="rect">
                      <a:avLst/>
                    </a:prstGeom>
                    <a:noFill/>
                    <a:ln>
                      <a:noFill/>
                    </a:ln>
                  </pic:spPr>
                </pic:pic>
              </a:graphicData>
            </a:graphic>
          </wp:anchor>
        </w:drawing>
      </w:r>
      <w:r>
        <w:rPr>
          <w:rFonts w:hint="eastAsia"/>
          <w:b/>
          <w:bCs/>
        </w:rPr>
        <w:t>（二）竞赛流程</w:t>
      </w:r>
      <w:bookmarkEnd w:id="1"/>
    </w:p>
    <w:p w14:paraId="2933A6EC">
      <w:pPr>
        <w:autoSpaceDE/>
        <w:autoSpaceDN/>
        <w:adjustRightInd/>
      </w:pPr>
    </w:p>
    <w:p w14:paraId="3D976A00">
      <w:pPr>
        <w:pStyle w:val="2"/>
      </w:pPr>
      <w:r>
        <w:rPr>
          <w:rFonts w:hint="eastAsia"/>
        </w:rPr>
        <w:t>六、竞赛命题</w:t>
      </w:r>
    </w:p>
    <w:p w14:paraId="74CA59AA">
      <w:pPr>
        <w:ind w:firstLine="480" w:firstLineChars="200"/>
      </w:pPr>
      <w:r>
        <w:rPr>
          <w:rFonts w:hint="eastAsia"/>
        </w:rPr>
        <w:t>技能大赛的命题工作由赛项执委会指定的命题专家组负责。</w:t>
      </w:r>
    </w:p>
    <w:p w14:paraId="11DEBC88">
      <w:pPr>
        <w:ind w:firstLine="480" w:firstLineChars="200"/>
      </w:pPr>
      <w:r>
        <w:rPr>
          <w:rFonts w:hint="eastAsia"/>
        </w:rPr>
        <w:t>本赛项制定样题一套，并与本规程同步发布。具体详见附件4。</w:t>
      </w:r>
    </w:p>
    <w:p w14:paraId="28F364EE">
      <w:pPr>
        <w:pStyle w:val="2"/>
      </w:pPr>
      <w:r>
        <w:rPr>
          <w:rFonts w:hint="eastAsia"/>
        </w:rPr>
        <w:t>七、竞赛规则</w:t>
      </w:r>
    </w:p>
    <w:p w14:paraId="1C73C8CB">
      <w:pPr>
        <w:snapToGrid w:val="0"/>
        <w:ind w:firstLine="480" w:firstLineChars="200"/>
        <w:rPr>
          <w:rFonts w:hint="eastAsia" w:ascii="仿宋_GB2312" w:hAnsi="宋体" w:eastAsia="仿宋_GB2312"/>
        </w:rPr>
      </w:pPr>
      <w:r>
        <w:rPr>
          <w:rFonts w:ascii="仿宋_GB2312" w:hAnsi="宋体" w:eastAsia="仿宋_GB2312"/>
        </w:rPr>
        <w:t>1.竞赛前1日安排各参赛队领队、参赛选手熟悉赛场。</w:t>
      </w:r>
    </w:p>
    <w:p w14:paraId="20EACE6B">
      <w:pPr>
        <w:snapToGrid w:val="0"/>
        <w:ind w:firstLine="480" w:firstLineChars="200"/>
        <w:rPr>
          <w:rFonts w:hint="eastAsia" w:ascii="仿宋_GB2312" w:hAnsi="宋体" w:eastAsia="仿宋_GB2312"/>
        </w:rPr>
      </w:pPr>
      <w:r>
        <w:rPr>
          <w:rFonts w:ascii="仿宋_GB2312" w:hAnsi="宋体" w:eastAsia="仿宋_GB2312"/>
        </w:rPr>
        <w:t>2.严禁参赛选手、赛项裁判、工作人员私自携带通讯、摄录设备进入比赛场地。</w:t>
      </w:r>
    </w:p>
    <w:p w14:paraId="6AFD9AF6">
      <w:pPr>
        <w:snapToGrid w:val="0"/>
        <w:ind w:firstLine="480" w:firstLineChars="200"/>
        <w:rPr>
          <w:rFonts w:hint="eastAsia" w:ascii="仿宋_GB2312" w:hAnsi="宋体" w:eastAsia="仿宋_GB2312"/>
        </w:rPr>
      </w:pPr>
      <w:r>
        <w:rPr>
          <w:rFonts w:ascii="仿宋_GB2312" w:hAnsi="宋体" w:eastAsia="仿宋_GB2312"/>
        </w:rPr>
        <w:t>3.参赛选手所需的硬件、软件和辅助工具统一提供，参赛队不得使用自带的任何有存储功能的设备，如硬盘、光盘、U盘、手机、</w:t>
      </w:r>
      <w:r>
        <w:rPr>
          <w:rFonts w:hint="eastAsia" w:ascii="仿宋_GB2312" w:hAnsi="宋体" w:eastAsia="仿宋_GB2312"/>
        </w:rPr>
        <w:t>平板电脑</w:t>
      </w:r>
      <w:r>
        <w:rPr>
          <w:rFonts w:ascii="仿宋_GB2312" w:hAnsi="宋体" w:eastAsia="仿宋_GB2312"/>
        </w:rPr>
        <w:t>等。</w:t>
      </w:r>
    </w:p>
    <w:p w14:paraId="1E2EC322">
      <w:pPr>
        <w:snapToGrid w:val="0"/>
        <w:ind w:firstLine="480" w:firstLineChars="200"/>
        <w:rPr>
          <w:rFonts w:hint="eastAsia" w:ascii="仿宋_GB2312" w:hAnsi="宋体" w:eastAsia="仿宋_GB2312"/>
        </w:rPr>
      </w:pPr>
      <w:r>
        <w:rPr>
          <w:rFonts w:ascii="仿宋_GB2312" w:hAnsi="宋体" w:eastAsia="仿宋_GB2312"/>
        </w:rPr>
        <w:t>4.所有参赛选手都必须携带参赛证件进行检录。</w:t>
      </w:r>
    </w:p>
    <w:p w14:paraId="0300BB42">
      <w:pPr>
        <w:snapToGrid w:val="0"/>
        <w:ind w:firstLine="480" w:firstLineChars="200"/>
        <w:rPr>
          <w:rFonts w:hint="eastAsia" w:ascii="仿宋_GB2312" w:hAnsi="宋体" w:eastAsia="仿宋_GB2312"/>
        </w:rPr>
      </w:pPr>
      <w:r>
        <w:rPr>
          <w:rFonts w:ascii="仿宋_GB2312" w:hAnsi="宋体" w:eastAsia="仿宋_GB2312"/>
        </w:rPr>
        <w:t>5.参赛队在赛前领取比赛任务并进入比赛工位，比赛正式开始后方可进行相关操作。</w:t>
      </w:r>
    </w:p>
    <w:p w14:paraId="4E1C8687">
      <w:pPr>
        <w:snapToGrid w:val="0"/>
        <w:ind w:firstLine="480" w:firstLineChars="200"/>
        <w:rPr>
          <w:rFonts w:hint="eastAsia" w:ascii="仿宋_GB2312" w:hAnsi="宋体" w:eastAsia="仿宋_GB2312"/>
        </w:rPr>
      </w:pPr>
      <w:r>
        <w:rPr>
          <w:rFonts w:ascii="仿宋_GB2312" w:hAnsi="宋体" w:eastAsia="仿宋_GB2312"/>
        </w:rPr>
        <w:t>6.比赛过程中，选手须严格遵守操作规程，确保人身及设备安全，并接受裁判员的监督和指示。因选手原因造成设备故障或损坏而无法继续比赛的，裁判长有权决定中止该队比赛；非因选手个人原因造成设备故障的，由裁判长视具体情况作出裁决。</w:t>
      </w:r>
    </w:p>
    <w:p w14:paraId="3761C1B0">
      <w:pPr>
        <w:snapToGrid w:val="0"/>
        <w:ind w:firstLine="480" w:firstLineChars="200"/>
        <w:rPr>
          <w:rFonts w:hint="eastAsia" w:ascii="仿宋_GB2312" w:hAnsi="宋体" w:eastAsia="仿宋_GB2312"/>
        </w:rPr>
      </w:pPr>
      <w:r>
        <w:rPr>
          <w:rFonts w:ascii="仿宋_GB2312" w:hAnsi="宋体" w:eastAsia="仿宋_GB2312"/>
        </w:rPr>
        <w:t>7.竞赛开始时统一发放本阶段赛卷，竞赛结束后，参赛选手要确认已成功提交竞赛要求的配置文件和文档，裁判员与参赛选手一起签字确认，参赛选手在确认后不得再进行任何操作。</w:t>
      </w:r>
    </w:p>
    <w:p w14:paraId="3C5042D9">
      <w:pPr>
        <w:snapToGrid w:val="0"/>
        <w:ind w:firstLine="480" w:firstLineChars="200"/>
        <w:rPr>
          <w:rFonts w:hint="eastAsia" w:ascii="仿宋_GB2312" w:hAnsi="宋体" w:eastAsia="仿宋_GB2312"/>
        </w:rPr>
      </w:pPr>
      <w:r>
        <w:rPr>
          <w:rFonts w:ascii="仿宋_GB2312" w:hAnsi="宋体" w:eastAsia="仿宋_GB2312"/>
        </w:rPr>
        <w:t>8.赛项成绩解密后，在指定地点，以纸质形式向全体参赛队进行公布，成绩无异议后，在闭赛式上予以宣布。</w:t>
      </w:r>
    </w:p>
    <w:p w14:paraId="6E21445D">
      <w:pPr>
        <w:pStyle w:val="2"/>
      </w:pPr>
      <w:r>
        <w:rPr>
          <w:rFonts w:hint="eastAsia"/>
        </w:rPr>
        <w:t>八、竞赛环境</w:t>
      </w:r>
    </w:p>
    <w:p w14:paraId="0D489335">
      <w:pPr>
        <w:snapToGrid w:val="0"/>
        <w:ind w:firstLine="480" w:firstLineChars="200"/>
        <w:rPr>
          <w:rFonts w:hint="eastAsia" w:ascii="仿宋_GB2312" w:hAnsi="宋体" w:eastAsia="仿宋_GB2312"/>
        </w:rPr>
      </w:pPr>
      <w:bookmarkStart w:id="2" w:name="_Hlk1489515"/>
      <w:r>
        <w:rPr>
          <w:rFonts w:hint="eastAsia" w:ascii="仿宋_GB2312" w:hAnsi="宋体" w:eastAsia="仿宋_GB2312"/>
        </w:rPr>
        <w:t>1.竞赛场地。竞赛场地分为：竞赛现场、裁判休息区、指导教师休息区、服务区。其中，竞赛现场又划分为：检录区、场内竞赛区、技术支持区。</w:t>
      </w:r>
    </w:p>
    <w:p w14:paraId="34440FA1">
      <w:pPr>
        <w:snapToGrid w:val="0"/>
        <w:ind w:firstLine="480" w:firstLineChars="200"/>
        <w:rPr>
          <w:rFonts w:hint="eastAsia" w:ascii="仿宋_GB2312" w:hAnsi="宋体" w:eastAsia="仿宋_GB2312"/>
        </w:rPr>
      </w:pPr>
      <w:r>
        <w:rPr>
          <w:rFonts w:hint="eastAsia" w:ascii="仿宋_GB2312" w:hAnsi="宋体" w:eastAsia="仿宋_GB2312"/>
        </w:rPr>
        <w:t>2.竞赛设备。场内竞赛区按照参赛队数量准备比赛所需的软硬件平台，为参赛队提供统一竞赛设备和备用设备。选手无需自带任何工具及附件。</w:t>
      </w:r>
    </w:p>
    <w:p w14:paraId="32184FE2">
      <w:pPr>
        <w:snapToGrid w:val="0"/>
        <w:ind w:firstLine="480" w:firstLineChars="200"/>
        <w:rPr>
          <w:rFonts w:hint="eastAsia" w:ascii="仿宋_GB2312" w:hAnsi="宋体" w:eastAsia="仿宋_GB2312"/>
        </w:rPr>
      </w:pPr>
      <w:r>
        <w:rPr>
          <w:rFonts w:hint="eastAsia" w:ascii="仿宋_GB2312" w:hAnsi="宋体" w:eastAsia="仿宋_GB2312"/>
        </w:rPr>
        <w:t>3.竞赛工位。竞赛现场各个工作区配备单相220V/3A以上交流电源。每个比赛工位上标明编号。</w:t>
      </w:r>
    </w:p>
    <w:p w14:paraId="69BD5403">
      <w:pPr>
        <w:snapToGrid w:val="0"/>
        <w:ind w:firstLine="480" w:firstLineChars="200"/>
        <w:rPr>
          <w:rFonts w:hint="eastAsia" w:ascii="仿宋_GB2312" w:hAnsi="宋体" w:eastAsia="仿宋_GB2312"/>
        </w:rPr>
      </w:pPr>
      <w:r>
        <w:rPr>
          <w:rFonts w:hint="eastAsia" w:ascii="仿宋_GB2312" w:hAnsi="宋体" w:eastAsia="仿宋_GB2312"/>
        </w:rPr>
        <w:t>4.技术支持区。为技术支持人员提供固定工位、电源保障。</w:t>
      </w:r>
    </w:p>
    <w:p w14:paraId="1F4CD8CC">
      <w:pPr>
        <w:snapToGrid w:val="0"/>
        <w:ind w:firstLine="480" w:firstLineChars="200"/>
        <w:rPr>
          <w:rFonts w:hint="eastAsia" w:ascii="仿宋_GB2312" w:hAnsi="宋体" w:eastAsia="仿宋_GB2312"/>
        </w:rPr>
      </w:pPr>
      <w:r>
        <w:rPr>
          <w:rFonts w:hint="eastAsia" w:ascii="仿宋_GB2312" w:hAnsi="宋体" w:eastAsia="仿宋_GB2312"/>
        </w:rPr>
        <w:t>5.竞赛场地应符合消防安全规定，现场消防器材和消防栓合格有效，应急照明设施状态合格，赛场明显位置张贴紧急疏散图，赛场出入口专人负责。现场临时用电满足《施工现场临时用电安全技术规范》JGJ46-2005的要求。竞赛现场通风良好、照明需符合教室采光规范。</w:t>
      </w:r>
      <w:bookmarkEnd w:id="2"/>
    </w:p>
    <w:p w14:paraId="6225DE8D">
      <w:pPr>
        <w:pStyle w:val="2"/>
      </w:pPr>
      <w:r>
        <w:rPr>
          <w:rFonts w:hint="eastAsia"/>
        </w:rPr>
        <w:t>九、竞赛设备</w:t>
      </w:r>
    </w:p>
    <w:p w14:paraId="61D7BC42">
      <w:r>
        <w:rPr>
          <w:rFonts w:hint="eastAsia"/>
        </w:rPr>
        <w:t>竞赛设备由主办方统一提供，具体见表4：</w:t>
      </w:r>
    </w:p>
    <w:p w14:paraId="2C5E258A">
      <w:pPr>
        <w:jc w:val="center"/>
        <w:rPr>
          <w:b/>
          <w:bCs/>
        </w:rPr>
      </w:pPr>
      <w:r>
        <w:rPr>
          <w:rFonts w:hint="eastAsia"/>
          <w:b/>
          <w:bCs/>
        </w:rPr>
        <w:t>表4</w:t>
      </w:r>
      <w:r>
        <w:rPr>
          <w:b/>
          <w:bCs/>
        </w:rPr>
        <w:t xml:space="preserve">  </w:t>
      </w:r>
      <w:r>
        <w:rPr>
          <w:rFonts w:hint="eastAsia"/>
          <w:b/>
          <w:bCs/>
        </w:rPr>
        <w:t>竞赛时间表</w:t>
      </w:r>
    </w:p>
    <w:tbl>
      <w:tblPr>
        <w:tblStyle w:val="9"/>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6634"/>
      </w:tblGrid>
      <w:tr w14:paraId="533D9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14:paraId="32D2F8C0">
            <w:pPr>
              <w:jc w:val="center"/>
              <w:rPr>
                <w:sz w:val="21"/>
                <w:szCs w:val="21"/>
              </w:rPr>
            </w:pPr>
            <w:r>
              <w:rPr>
                <w:rFonts w:hint="eastAsia"/>
                <w:sz w:val="21"/>
                <w:szCs w:val="21"/>
              </w:rPr>
              <w:t>品名</w:t>
            </w:r>
          </w:p>
        </w:tc>
        <w:tc>
          <w:tcPr>
            <w:tcW w:w="6634" w:type="dxa"/>
          </w:tcPr>
          <w:p w14:paraId="629D9A84">
            <w:pPr>
              <w:jc w:val="center"/>
              <w:rPr>
                <w:sz w:val="21"/>
                <w:szCs w:val="21"/>
              </w:rPr>
            </w:pPr>
            <w:r>
              <w:rPr>
                <w:rFonts w:hint="eastAsia"/>
                <w:sz w:val="21"/>
                <w:szCs w:val="21"/>
              </w:rPr>
              <w:t>规格要求说明</w:t>
            </w:r>
          </w:p>
        </w:tc>
      </w:tr>
      <w:tr w14:paraId="728E8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7E24AFDA">
            <w:pPr>
              <w:jc w:val="center"/>
              <w:rPr>
                <w:sz w:val="21"/>
                <w:szCs w:val="21"/>
              </w:rPr>
            </w:pPr>
            <w:r>
              <w:rPr>
                <w:rFonts w:hint="eastAsia"/>
                <w:sz w:val="21"/>
                <w:szCs w:val="21"/>
              </w:rPr>
              <w:t>参赛选手计算机</w:t>
            </w:r>
          </w:p>
        </w:tc>
        <w:tc>
          <w:tcPr>
            <w:tcW w:w="6634" w:type="dxa"/>
          </w:tcPr>
          <w:p w14:paraId="607B3AE0">
            <w:pPr>
              <w:rPr>
                <w:sz w:val="21"/>
                <w:szCs w:val="21"/>
              </w:rPr>
            </w:pPr>
            <w:r>
              <w:rPr>
                <w:rFonts w:hint="eastAsia"/>
                <w:sz w:val="21"/>
                <w:szCs w:val="21"/>
              </w:rPr>
              <w:t>配置要求：酷睿</w:t>
            </w:r>
            <w:r>
              <w:rPr>
                <w:sz w:val="21"/>
                <w:szCs w:val="21"/>
              </w:rPr>
              <w:t>I3</w:t>
            </w:r>
            <w:r>
              <w:rPr>
                <w:rFonts w:hint="eastAsia"/>
                <w:sz w:val="21"/>
                <w:szCs w:val="21"/>
              </w:rPr>
              <w:t>双核</w:t>
            </w:r>
            <w:r>
              <w:rPr>
                <w:sz w:val="21"/>
                <w:szCs w:val="21"/>
              </w:rPr>
              <w:t>3.0</w:t>
            </w:r>
            <w:r>
              <w:rPr>
                <w:rFonts w:hint="eastAsia"/>
                <w:sz w:val="21"/>
                <w:szCs w:val="21"/>
              </w:rPr>
              <w:t>以上</w:t>
            </w:r>
            <w:r>
              <w:rPr>
                <w:sz w:val="21"/>
                <w:szCs w:val="21"/>
              </w:rPr>
              <w:t>CPU</w:t>
            </w:r>
            <w:r>
              <w:rPr>
                <w:rFonts w:hint="eastAsia"/>
                <w:sz w:val="21"/>
                <w:szCs w:val="21"/>
              </w:rPr>
              <w:t>；</w:t>
            </w:r>
            <w:r>
              <w:rPr>
                <w:sz w:val="21"/>
                <w:szCs w:val="21"/>
              </w:rPr>
              <w:t>4G</w:t>
            </w:r>
            <w:r>
              <w:rPr>
                <w:rFonts w:hint="eastAsia"/>
                <w:sz w:val="21"/>
                <w:szCs w:val="21"/>
              </w:rPr>
              <w:t>以上内存；</w:t>
            </w:r>
            <w:r>
              <w:rPr>
                <w:sz w:val="21"/>
                <w:szCs w:val="21"/>
              </w:rPr>
              <w:t>100G</w:t>
            </w:r>
            <w:r>
              <w:rPr>
                <w:rFonts w:hint="eastAsia"/>
                <w:sz w:val="21"/>
                <w:szCs w:val="21"/>
              </w:rPr>
              <w:t>以上硬盘。预装</w:t>
            </w:r>
            <w:r>
              <w:rPr>
                <w:sz w:val="21"/>
                <w:szCs w:val="21"/>
              </w:rPr>
              <w:t>Windows7</w:t>
            </w:r>
            <w:r>
              <w:rPr>
                <w:rFonts w:hint="eastAsia"/>
                <w:sz w:val="21"/>
                <w:szCs w:val="21"/>
              </w:rPr>
              <w:t>及以上操作系统；预装谷歌浏览器；预装录屏软件；预装搜狗等输入法；预装</w:t>
            </w:r>
            <w:r>
              <w:rPr>
                <w:sz w:val="21"/>
                <w:szCs w:val="21"/>
              </w:rPr>
              <w:t>Office2010</w:t>
            </w:r>
            <w:r>
              <w:rPr>
                <w:rFonts w:hint="eastAsia"/>
                <w:sz w:val="21"/>
                <w:szCs w:val="21"/>
              </w:rPr>
              <w:t>及以上软件环境</w:t>
            </w:r>
          </w:p>
        </w:tc>
      </w:tr>
      <w:tr w14:paraId="534B7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60D66819">
            <w:pPr>
              <w:jc w:val="center"/>
              <w:rPr>
                <w:sz w:val="21"/>
                <w:szCs w:val="21"/>
              </w:rPr>
            </w:pPr>
            <w:r>
              <w:rPr>
                <w:rFonts w:hint="eastAsia"/>
                <w:sz w:val="21"/>
                <w:szCs w:val="21"/>
              </w:rPr>
              <w:t>裁判等工作人员计算机</w:t>
            </w:r>
          </w:p>
        </w:tc>
        <w:tc>
          <w:tcPr>
            <w:tcW w:w="6634" w:type="dxa"/>
          </w:tcPr>
          <w:p w14:paraId="1C646A37">
            <w:pPr>
              <w:rPr>
                <w:sz w:val="21"/>
                <w:szCs w:val="21"/>
              </w:rPr>
            </w:pPr>
            <w:r>
              <w:rPr>
                <w:rFonts w:hint="eastAsia"/>
                <w:sz w:val="21"/>
                <w:szCs w:val="21"/>
              </w:rPr>
              <w:t>配置要求：酷睿</w:t>
            </w:r>
            <w:r>
              <w:rPr>
                <w:sz w:val="21"/>
                <w:szCs w:val="21"/>
              </w:rPr>
              <w:t>I3</w:t>
            </w:r>
            <w:r>
              <w:rPr>
                <w:rFonts w:hint="eastAsia"/>
                <w:sz w:val="21"/>
                <w:szCs w:val="21"/>
              </w:rPr>
              <w:t>双核</w:t>
            </w:r>
            <w:r>
              <w:rPr>
                <w:sz w:val="21"/>
                <w:szCs w:val="21"/>
              </w:rPr>
              <w:t>3.0</w:t>
            </w:r>
            <w:r>
              <w:rPr>
                <w:rFonts w:hint="eastAsia"/>
                <w:sz w:val="21"/>
                <w:szCs w:val="21"/>
              </w:rPr>
              <w:t>以上</w:t>
            </w:r>
            <w:r>
              <w:rPr>
                <w:sz w:val="21"/>
                <w:szCs w:val="21"/>
              </w:rPr>
              <w:t>CPU</w:t>
            </w:r>
            <w:r>
              <w:rPr>
                <w:rFonts w:hint="eastAsia"/>
                <w:sz w:val="21"/>
                <w:szCs w:val="21"/>
              </w:rPr>
              <w:t>；</w:t>
            </w:r>
            <w:r>
              <w:rPr>
                <w:sz w:val="21"/>
                <w:szCs w:val="21"/>
              </w:rPr>
              <w:t>4G</w:t>
            </w:r>
            <w:r>
              <w:rPr>
                <w:rFonts w:hint="eastAsia"/>
                <w:sz w:val="21"/>
                <w:szCs w:val="21"/>
              </w:rPr>
              <w:t>以上内</w:t>
            </w:r>
            <w:r>
              <w:rPr>
                <w:sz w:val="21"/>
                <w:szCs w:val="21"/>
              </w:rPr>
              <w:t xml:space="preserve"> </w:t>
            </w:r>
            <w:r>
              <w:rPr>
                <w:rFonts w:hint="eastAsia"/>
                <w:sz w:val="21"/>
                <w:szCs w:val="21"/>
              </w:rPr>
              <w:t>存；</w:t>
            </w:r>
            <w:r>
              <w:rPr>
                <w:sz w:val="21"/>
                <w:szCs w:val="21"/>
              </w:rPr>
              <w:t>100G</w:t>
            </w:r>
            <w:r>
              <w:rPr>
                <w:rFonts w:hint="eastAsia"/>
                <w:sz w:val="21"/>
                <w:szCs w:val="21"/>
              </w:rPr>
              <w:t>以上硬盘。预装</w:t>
            </w:r>
            <w:r>
              <w:rPr>
                <w:sz w:val="21"/>
                <w:szCs w:val="21"/>
              </w:rPr>
              <w:t>Windows7</w:t>
            </w:r>
            <w:r>
              <w:rPr>
                <w:rFonts w:hint="eastAsia"/>
                <w:sz w:val="21"/>
                <w:szCs w:val="21"/>
              </w:rPr>
              <w:t>及以上操作系统；预装谷歌浏览器；预装录屏软件；预装搜狗等输入法；预装</w:t>
            </w:r>
            <w:r>
              <w:rPr>
                <w:sz w:val="21"/>
                <w:szCs w:val="21"/>
              </w:rPr>
              <w:t>Office2010</w:t>
            </w:r>
            <w:r>
              <w:rPr>
                <w:rFonts w:hint="eastAsia"/>
                <w:sz w:val="21"/>
                <w:szCs w:val="21"/>
              </w:rPr>
              <w:t>及以上软件环境</w:t>
            </w:r>
          </w:p>
        </w:tc>
      </w:tr>
      <w:tr w14:paraId="1AAEB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12622C9E">
            <w:pPr>
              <w:jc w:val="center"/>
              <w:rPr>
                <w:sz w:val="21"/>
                <w:szCs w:val="21"/>
              </w:rPr>
            </w:pPr>
            <w:r>
              <w:rPr>
                <w:rFonts w:hint="eastAsia"/>
                <w:sz w:val="21"/>
                <w:szCs w:val="21"/>
              </w:rPr>
              <w:t>网络连接设备</w:t>
            </w:r>
          </w:p>
        </w:tc>
        <w:tc>
          <w:tcPr>
            <w:tcW w:w="6634" w:type="dxa"/>
          </w:tcPr>
          <w:p w14:paraId="5B56595A">
            <w:pPr>
              <w:rPr>
                <w:sz w:val="21"/>
                <w:szCs w:val="21"/>
              </w:rPr>
            </w:pPr>
            <w:r>
              <w:rPr>
                <w:rFonts w:hint="eastAsia"/>
                <w:sz w:val="21"/>
                <w:szCs w:val="21"/>
              </w:rPr>
              <w:t>提供网络布线、千兆交换机、千兆分布式无线路由器</w:t>
            </w:r>
          </w:p>
        </w:tc>
      </w:tr>
      <w:tr w14:paraId="45ACB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3B6767E3">
            <w:pPr>
              <w:jc w:val="center"/>
              <w:rPr>
                <w:sz w:val="21"/>
                <w:szCs w:val="21"/>
              </w:rPr>
            </w:pPr>
            <w:r>
              <w:rPr>
                <w:rFonts w:hint="eastAsia"/>
                <w:sz w:val="21"/>
                <w:szCs w:val="21"/>
              </w:rPr>
              <w:t>现场布置</w:t>
            </w:r>
          </w:p>
        </w:tc>
        <w:tc>
          <w:tcPr>
            <w:tcW w:w="6634" w:type="dxa"/>
          </w:tcPr>
          <w:p w14:paraId="09095273">
            <w:pPr>
              <w:rPr>
                <w:sz w:val="21"/>
                <w:szCs w:val="21"/>
              </w:rPr>
            </w:pPr>
            <w:r>
              <w:rPr>
                <w:rFonts w:hint="eastAsia"/>
                <w:sz w:val="21"/>
                <w:szCs w:val="21"/>
              </w:rPr>
              <w:t>工位隔断、环境布置、桌椅等</w:t>
            </w:r>
          </w:p>
        </w:tc>
      </w:tr>
      <w:tr w14:paraId="2E89F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0DFE27C8">
            <w:pPr>
              <w:jc w:val="center"/>
              <w:rPr>
                <w:sz w:val="21"/>
                <w:szCs w:val="21"/>
              </w:rPr>
            </w:pPr>
            <w:r>
              <w:rPr>
                <w:rFonts w:hint="eastAsia"/>
                <w:sz w:val="21"/>
                <w:szCs w:val="21"/>
              </w:rPr>
              <w:t>竞赛平台</w:t>
            </w:r>
          </w:p>
        </w:tc>
        <w:tc>
          <w:tcPr>
            <w:tcW w:w="6634" w:type="dxa"/>
          </w:tcPr>
          <w:p w14:paraId="6A48D2DC">
            <w:pPr>
              <w:rPr>
                <w:sz w:val="21"/>
                <w:szCs w:val="21"/>
              </w:rPr>
            </w:pPr>
            <w:r>
              <w:rPr>
                <w:rFonts w:hint="eastAsia"/>
                <w:sz w:val="21"/>
                <w:szCs w:val="21"/>
              </w:rPr>
              <w:t>新道云</w:t>
            </w:r>
            <w:r>
              <w:rPr>
                <w:rFonts w:hint="eastAsia"/>
                <w:sz w:val="21"/>
                <w:szCs w:val="21"/>
                <w:u w:val="single"/>
              </w:rPr>
              <w:t>考试</w:t>
            </w:r>
            <w:r>
              <w:rPr>
                <w:rFonts w:hint="eastAsia"/>
                <w:sz w:val="21"/>
                <w:szCs w:val="21"/>
              </w:rPr>
              <w:t>平台</w:t>
            </w:r>
          </w:p>
          <w:p w14:paraId="06CE2C66">
            <w:pPr>
              <w:rPr>
                <w:sz w:val="21"/>
                <w:szCs w:val="21"/>
              </w:rPr>
            </w:pPr>
            <w:r>
              <w:rPr>
                <w:rFonts w:hint="eastAsia"/>
                <w:sz w:val="21"/>
                <w:szCs w:val="21"/>
              </w:rPr>
              <w:t>新道</w:t>
            </w:r>
            <w:r>
              <w:rPr>
                <w:sz w:val="21"/>
                <w:szCs w:val="21"/>
              </w:rPr>
              <w:t>1+x</w:t>
            </w:r>
            <w:r>
              <w:rPr>
                <w:rFonts w:hint="eastAsia"/>
                <w:sz w:val="21"/>
                <w:szCs w:val="21"/>
              </w:rPr>
              <w:t>应用技能考试平台</w:t>
            </w:r>
          </w:p>
        </w:tc>
      </w:tr>
    </w:tbl>
    <w:p w14:paraId="7EB423B4">
      <w:pPr>
        <w:ind w:firstLine="480" w:firstLineChars="200"/>
      </w:pPr>
    </w:p>
    <w:p w14:paraId="5FCAAB6C">
      <w:pPr>
        <w:pStyle w:val="2"/>
      </w:pPr>
      <w:r>
        <w:rPr>
          <w:rFonts w:hint="eastAsia"/>
        </w:rPr>
        <w:t>十、成绩评定</w:t>
      </w:r>
    </w:p>
    <w:p w14:paraId="7D1F31F6">
      <w:pPr>
        <w:ind w:firstLine="480" w:firstLineChars="200"/>
      </w:pPr>
      <w:r>
        <w:t>1.</w:t>
      </w:r>
      <w:r>
        <w:rPr>
          <w:rFonts w:hint="eastAsia"/>
        </w:rPr>
        <w:t>成绩评定分为两个环节，技能比拼环节成绩占比80%，展示汇报环节成绩占比20%。</w:t>
      </w:r>
    </w:p>
    <w:p w14:paraId="30CCA181">
      <w:pPr>
        <w:ind w:firstLine="480" w:firstLineChars="200"/>
      </w:pPr>
      <w:r>
        <w:rPr>
          <w:rFonts w:hint="eastAsia"/>
        </w:rPr>
        <w:t>2</w:t>
      </w:r>
      <w:r>
        <w:t>.</w:t>
      </w:r>
      <w:r>
        <w:rPr>
          <w:rFonts w:hint="eastAsia"/>
        </w:rPr>
        <w:t>技能比拼环节分为两个模块，总分为100分；模块一成绩由裁判按照评分标准对各参赛队操作结果进行评分，模块二为系统自动评分，具体评分细则如表5：</w:t>
      </w:r>
    </w:p>
    <w:p w14:paraId="355CA483">
      <w:pPr>
        <w:jc w:val="center"/>
        <w:rPr>
          <w:b/>
          <w:bCs/>
        </w:rPr>
      </w:pPr>
      <w:r>
        <w:rPr>
          <w:rFonts w:hint="eastAsia"/>
          <w:b/>
          <w:bCs/>
        </w:rPr>
        <w:t>表5  技能比拼环节评分标准</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24"/>
        <w:gridCol w:w="4450"/>
        <w:gridCol w:w="1276"/>
        <w:gridCol w:w="982"/>
      </w:tblGrid>
      <w:tr w14:paraId="143E0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1924" w:type="dxa"/>
            <w:vAlign w:val="center"/>
          </w:tcPr>
          <w:p w14:paraId="3E1FF67A">
            <w:pPr>
              <w:jc w:val="center"/>
              <w:rPr>
                <w:b/>
                <w:bCs/>
                <w:sz w:val="21"/>
                <w:szCs w:val="21"/>
              </w:rPr>
            </w:pPr>
            <w:r>
              <w:rPr>
                <w:rFonts w:hint="eastAsia"/>
                <w:b/>
                <w:bCs/>
                <w:sz w:val="21"/>
                <w:szCs w:val="21"/>
              </w:rPr>
              <w:t>考核项目</w:t>
            </w:r>
          </w:p>
        </w:tc>
        <w:tc>
          <w:tcPr>
            <w:tcW w:w="4450" w:type="dxa"/>
            <w:vAlign w:val="center"/>
          </w:tcPr>
          <w:p w14:paraId="6B3F8BB2">
            <w:pPr>
              <w:jc w:val="center"/>
              <w:rPr>
                <w:b/>
                <w:bCs/>
                <w:sz w:val="21"/>
                <w:szCs w:val="21"/>
              </w:rPr>
            </w:pPr>
            <w:r>
              <w:rPr>
                <w:rFonts w:hint="eastAsia"/>
                <w:b/>
                <w:bCs/>
                <w:sz w:val="21"/>
                <w:szCs w:val="21"/>
              </w:rPr>
              <w:t>考核内容</w:t>
            </w:r>
          </w:p>
        </w:tc>
        <w:tc>
          <w:tcPr>
            <w:tcW w:w="1276" w:type="dxa"/>
            <w:vAlign w:val="center"/>
          </w:tcPr>
          <w:p w14:paraId="7FDF22A6">
            <w:pPr>
              <w:jc w:val="center"/>
              <w:rPr>
                <w:b/>
                <w:bCs/>
                <w:sz w:val="21"/>
                <w:szCs w:val="21"/>
              </w:rPr>
            </w:pPr>
            <w:r>
              <w:rPr>
                <w:rFonts w:hint="eastAsia"/>
                <w:b/>
                <w:bCs/>
                <w:sz w:val="21"/>
                <w:szCs w:val="21"/>
              </w:rPr>
              <w:t>单项分值</w:t>
            </w:r>
          </w:p>
        </w:tc>
        <w:tc>
          <w:tcPr>
            <w:tcW w:w="982" w:type="dxa"/>
            <w:vAlign w:val="center"/>
          </w:tcPr>
          <w:p w14:paraId="2E41253B">
            <w:pPr>
              <w:jc w:val="center"/>
              <w:rPr>
                <w:b/>
                <w:bCs/>
                <w:sz w:val="21"/>
                <w:szCs w:val="21"/>
              </w:rPr>
            </w:pPr>
            <w:r>
              <w:rPr>
                <w:rFonts w:hint="eastAsia"/>
                <w:b/>
                <w:bCs/>
                <w:sz w:val="21"/>
                <w:szCs w:val="21"/>
              </w:rPr>
              <w:t>得分</w:t>
            </w:r>
          </w:p>
        </w:tc>
      </w:tr>
      <w:tr w14:paraId="6AA67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1924" w:type="dxa"/>
            <w:vMerge w:val="restart"/>
            <w:vAlign w:val="center"/>
          </w:tcPr>
          <w:p w14:paraId="2A20DDDE">
            <w:pPr>
              <w:jc w:val="both"/>
              <w:rPr>
                <w:sz w:val="21"/>
                <w:szCs w:val="21"/>
              </w:rPr>
            </w:pPr>
            <w:r>
              <w:rPr>
                <w:rFonts w:hint="eastAsia"/>
                <w:sz w:val="21"/>
                <w:szCs w:val="21"/>
              </w:rPr>
              <w:t>模块一：工业数据可视化开发</w:t>
            </w:r>
          </w:p>
        </w:tc>
        <w:tc>
          <w:tcPr>
            <w:tcW w:w="4450" w:type="dxa"/>
            <w:vAlign w:val="center"/>
          </w:tcPr>
          <w:p w14:paraId="49EC6072">
            <w:pPr>
              <w:jc w:val="both"/>
              <w:rPr>
                <w:sz w:val="21"/>
                <w:szCs w:val="21"/>
              </w:rPr>
            </w:pPr>
            <w:r>
              <w:rPr>
                <w:rFonts w:hint="eastAsia"/>
                <w:sz w:val="21"/>
                <w:szCs w:val="21"/>
              </w:rPr>
              <w:t>任务</w:t>
            </w:r>
            <w:r>
              <w:rPr>
                <w:sz w:val="21"/>
                <w:szCs w:val="21"/>
              </w:rPr>
              <w:t>1</w:t>
            </w:r>
            <w:r>
              <w:rPr>
                <w:rFonts w:hint="eastAsia"/>
                <w:sz w:val="21"/>
                <w:szCs w:val="21"/>
              </w:rPr>
              <w:t>：数据采集及项目创建（10分）</w:t>
            </w:r>
          </w:p>
        </w:tc>
        <w:tc>
          <w:tcPr>
            <w:tcW w:w="1276" w:type="dxa"/>
            <w:vMerge w:val="restart"/>
            <w:vAlign w:val="center"/>
          </w:tcPr>
          <w:p w14:paraId="0C3CC43E">
            <w:pPr>
              <w:jc w:val="both"/>
              <w:rPr>
                <w:sz w:val="21"/>
                <w:szCs w:val="21"/>
              </w:rPr>
            </w:pPr>
            <w:r>
              <w:rPr>
                <w:rFonts w:hint="eastAsia"/>
                <w:sz w:val="21"/>
                <w:szCs w:val="21"/>
              </w:rPr>
              <w:t>100分</w:t>
            </w:r>
          </w:p>
        </w:tc>
        <w:tc>
          <w:tcPr>
            <w:tcW w:w="982" w:type="dxa"/>
            <w:vMerge w:val="restart"/>
            <w:vAlign w:val="center"/>
          </w:tcPr>
          <w:p w14:paraId="1241354D">
            <w:pPr>
              <w:jc w:val="both"/>
              <w:rPr>
                <w:sz w:val="21"/>
                <w:szCs w:val="21"/>
              </w:rPr>
            </w:pPr>
            <w:r>
              <w:rPr>
                <w:rFonts w:hint="eastAsia"/>
                <w:sz w:val="21"/>
                <w:szCs w:val="21"/>
              </w:rPr>
              <w:t>单项分值平均分</w:t>
            </w:r>
          </w:p>
        </w:tc>
      </w:tr>
      <w:tr w14:paraId="0E61F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924" w:type="dxa"/>
            <w:vMerge w:val="continue"/>
            <w:vAlign w:val="center"/>
          </w:tcPr>
          <w:p w14:paraId="0F090211">
            <w:pPr>
              <w:jc w:val="both"/>
              <w:rPr>
                <w:sz w:val="21"/>
                <w:szCs w:val="21"/>
              </w:rPr>
            </w:pPr>
          </w:p>
        </w:tc>
        <w:tc>
          <w:tcPr>
            <w:tcW w:w="4450" w:type="dxa"/>
            <w:vAlign w:val="center"/>
          </w:tcPr>
          <w:p w14:paraId="67A0FE85">
            <w:pPr>
              <w:jc w:val="both"/>
              <w:rPr>
                <w:sz w:val="21"/>
                <w:szCs w:val="21"/>
              </w:rPr>
            </w:pPr>
            <w:r>
              <w:rPr>
                <w:rFonts w:hint="eastAsia"/>
                <w:sz w:val="21"/>
                <w:szCs w:val="21"/>
              </w:rPr>
              <w:t>任务2：数据预处理ETL(10分)</w:t>
            </w:r>
          </w:p>
        </w:tc>
        <w:tc>
          <w:tcPr>
            <w:tcW w:w="1276" w:type="dxa"/>
            <w:vMerge w:val="continue"/>
            <w:vAlign w:val="center"/>
          </w:tcPr>
          <w:p w14:paraId="265124EF">
            <w:pPr>
              <w:jc w:val="both"/>
              <w:rPr>
                <w:sz w:val="21"/>
                <w:szCs w:val="21"/>
              </w:rPr>
            </w:pPr>
          </w:p>
        </w:tc>
        <w:tc>
          <w:tcPr>
            <w:tcW w:w="982" w:type="dxa"/>
            <w:vMerge w:val="continue"/>
            <w:vAlign w:val="center"/>
          </w:tcPr>
          <w:p w14:paraId="1202BEE4">
            <w:pPr>
              <w:jc w:val="both"/>
              <w:rPr>
                <w:sz w:val="21"/>
                <w:szCs w:val="21"/>
              </w:rPr>
            </w:pPr>
          </w:p>
        </w:tc>
      </w:tr>
      <w:tr w14:paraId="2097C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924" w:type="dxa"/>
            <w:vMerge w:val="continue"/>
            <w:vAlign w:val="center"/>
          </w:tcPr>
          <w:p w14:paraId="5E690005">
            <w:pPr>
              <w:jc w:val="both"/>
              <w:rPr>
                <w:sz w:val="21"/>
                <w:szCs w:val="21"/>
              </w:rPr>
            </w:pPr>
          </w:p>
        </w:tc>
        <w:tc>
          <w:tcPr>
            <w:tcW w:w="4450" w:type="dxa"/>
            <w:vAlign w:val="center"/>
          </w:tcPr>
          <w:p w14:paraId="7D32B586">
            <w:pPr>
              <w:jc w:val="both"/>
              <w:rPr>
                <w:sz w:val="21"/>
                <w:szCs w:val="21"/>
              </w:rPr>
            </w:pPr>
            <w:r>
              <w:rPr>
                <w:rFonts w:hint="eastAsia"/>
                <w:sz w:val="21"/>
                <w:szCs w:val="21"/>
              </w:rPr>
              <w:t>任务3：数仓建模指标分析（20分）</w:t>
            </w:r>
          </w:p>
        </w:tc>
        <w:tc>
          <w:tcPr>
            <w:tcW w:w="1276" w:type="dxa"/>
            <w:vMerge w:val="continue"/>
            <w:vAlign w:val="center"/>
          </w:tcPr>
          <w:p w14:paraId="1D6AE399">
            <w:pPr>
              <w:jc w:val="both"/>
              <w:rPr>
                <w:sz w:val="21"/>
                <w:szCs w:val="21"/>
              </w:rPr>
            </w:pPr>
          </w:p>
        </w:tc>
        <w:tc>
          <w:tcPr>
            <w:tcW w:w="982" w:type="dxa"/>
            <w:vMerge w:val="continue"/>
            <w:vAlign w:val="center"/>
          </w:tcPr>
          <w:p w14:paraId="28AA1942">
            <w:pPr>
              <w:jc w:val="both"/>
              <w:rPr>
                <w:sz w:val="21"/>
                <w:szCs w:val="21"/>
              </w:rPr>
            </w:pPr>
          </w:p>
        </w:tc>
      </w:tr>
      <w:tr w14:paraId="7D129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924" w:type="dxa"/>
            <w:vMerge w:val="continue"/>
            <w:vAlign w:val="center"/>
          </w:tcPr>
          <w:p w14:paraId="79BC21E6">
            <w:pPr>
              <w:jc w:val="both"/>
              <w:rPr>
                <w:sz w:val="21"/>
                <w:szCs w:val="21"/>
              </w:rPr>
            </w:pPr>
          </w:p>
        </w:tc>
        <w:tc>
          <w:tcPr>
            <w:tcW w:w="4450" w:type="dxa"/>
            <w:vAlign w:val="center"/>
          </w:tcPr>
          <w:p w14:paraId="416D6F23">
            <w:pPr>
              <w:jc w:val="both"/>
              <w:rPr>
                <w:sz w:val="21"/>
                <w:szCs w:val="21"/>
              </w:rPr>
            </w:pPr>
            <w:r>
              <w:rPr>
                <w:rFonts w:hint="eastAsia"/>
                <w:sz w:val="21"/>
                <w:szCs w:val="21"/>
              </w:rPr>
              <w:t>任务4：数据开发（40分）</w:t>
            </w:r>
          </w:p>
        </w:tc>
        <w:tc>
          <w:tcPr>
            <w:tcW w:w="1276" w:type="dxa"/>
            <w:vMerge w:val="continue"/>
            <w:vAlign w:val="center"/>
          </w:tcPr>
          <w:p w14:paraId="1E4D71DA">
            <w:pPr>
              <w:jc w:val="both"/>
              <w:rPr>
                <w:sz w:val="21"/>
                <w:szCs w:val="21"/>
              </w:rPr>
            </w:pPr>
          </w:p>
        </w:tc>
        <w:tc>
          <w:tcPr>
            <w:tcW w:w="982" w:type="dxa"/>
            <w:vMerge w:val="continue"/>
            <w:vAlign w:val="center"/>
          </w:tcPr>
          <w:p w14:paraId="1C156D66">
            <w:pPr>
              <w:jc w:val="both"/>
              <w:rPr>
                <w:sz w:val="21"/>
                <w:szCs w:val="21"/>
              </w:rPr>
            </w:pPr>
          </w:p>
        </w:tc>
      </w:tr>
      <w:tr w14:paraId="609F8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924" w:type="dxa"/>
            <w:vMerge w:val="continue"/>
            <w:vAlign w:val="center"/>
          </w:tcPr>
          <w:p w14:paraId="4CCB9668">
            <w:pPr>
              <w:jc w:val="both"/>
              <w:rPr>
                <w:sz w:val="21"/>
                <w:szCs w:val="21"/>
              </w:rPr>
            </w:pPr>
          </w:p>
        </w:tc>
        <w:tc>
          <w:tcPr>
            <w:tcW w:w="4450" w:type="dxa"/>
            <w:vAlign w:val="center"/>
          </w:tcPr>
          <w:p w14:paraId="3955EAA0">
            <w:pPr>
              <w:jc w:val="both"/>
              <w:rPr>
                <w:sz w:val="21"/>
                <w:szCs w:val="21"/>
              </w:rPr>
            </w:pPr>
            <w:r>
              <w:rPr>
                <w:rFonts w:hint="eastAsia"/>
                <w:sz w:val="21"/>
                <w:szCs w:val="21"/>
              </w:rPr>
              <w:t>任务5：数据可视化（20分）</w:t>
            </w:r>
          </w:p>
        </w:tc>
        <w:tc>
          <w:tcPr>
            <w:tcW w:w="1276" w:type="dxa"/>
            <w:vMerge w:val="continue"/>
            <w:vAlign w:val="center"/>
          </w:tcPr>
          <w:p w14:paraId="3016C39C">
            <w:pPr>
              <w:jc w:val="both"/>
              <w:rPr>
                <w:sz w:val="21"/>
                <w:szCs w:val="21"/>
              </w:rPr>
            </w:pPr>
          </w:p>
        </w:tc>
        <w:tc>
          <w:tcPr>
            <w:tcW w:w="982" w:type="dxa"/>
            <w:vMerge w:val="continue"/>
            <w:vAlign w:val="center"/>
          </w:tcPr>
          <w:p w14:paraId="745AF616">
            <w:pPr>
              <w:jc w:val="both"/>
              <w:rPr>
                <w:sz w:val="21"/>
                <w:szCs w:val="21"/>
              </w:rPr>
            </w:pPr>
          </w:p>
        </w:tc>
      </w:tr>
      <w:tr w14:paraId="190F5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1" w:hRule="atLeast"/>
        </w:trPr>
        <w:tc>
          <w:tcPr>
            <w:tcW w:w="1924" w:type="dxa"/>
            <w:vAlign w:val="center"/>
          </w:tcPr>
          <w:p w14:paraId="64549FBF">
            <w:pPr>
              <w:jc w:val="both"/>
              <w:rPr>
                <w:sz w:val="21"/>
                <w:szCs w:val="21"/>
              </w:rPr>
            </w:pPr>
            <w:r>
              <w:rPr>
                <w:rFonts w:hint="eastAsia"/>
                <w:sz w:val="21"/>
                <w:szCs w:val="21"/>
              </w:rPr>
              <w:t>模块二：工业</w:t>
            </w:r>
            <w:r>
              <w:rPr>
                <w:sz w:val="21"/>
                <w:szCs w:val="21"/>
              </w:rPr>
              <w:t>APP</w:t>
            </w:r>
            <w:r>
              <w:rPr>
                <w:rFonts w:hint="eastAsia"/>
                <w:sz w:val="21"/>
                <w:szCs w:val="21"/>
              </w:rPr>
              <w:t>设计与开发</w:t>
            </w:r>
          </w:p>
        </w:tc>
        <w:tc>
          <w:tcPr>
            <w:tcW w:w="4450" w:type="dxa"/>
            <w:vAlign w:val="center"/>
          </w:tcPr>
          <w:p w14:paraId="1D8140F3">
            <w:pPr>
              <w:jc w:val="both"/>
              <w:rPr>
                <w:sz w:val="21"/>
                <w:szCs w:val="21"/>
              </w:rPr>
            </w:pPr>
            <w:r>
              <w:rPr>
                <w:rFonts w:hint="eastAsia"/>
                <w:sz w:val="21"/>
                <w:szCs w:val="21"/>
              </w:rPr>
              <w:t>工业</w:t>
            </w:r>
            <w:r>
              <w:rPr>
                <w:sz w:val="21"/>
                <w:szCs w:val="21"/>
              </w:rPr>
              <w:t>APP</w:t>
            </w:r>
            <w:r>
              <w:rPr>
                <w:rFonts w:hint="eastAsia"/>
                <w:sz w:val="21"/>
                <w:szCs w:val="21"/>
              </w:rPr>
              <w:t>低代码开发基础</w:t>
            </w:r>
          </w:p>
          <w:p w14:paraId="02A56699">
            <w:pPr>
              <w:jc w:val="both"/>
              <w:rPr>
                <w:sz w:val="21"/>
                <w:szCs w:val="21"/>
              </w:rPr>
            </w:pPr>
            <w:r>
              <w:rPr>
                <w:rFonts w:hint="eastAsia"/>
                <w:sz w:val="21"/>
                <w:szCs w:val="21"/>
              </w:rPr>
              <w:t>工业</w:t>
            </w:r>
            <w:r>
              <w:rPr>
                <w:sz w:val="21"/>
                <w:szCs w:val="21"/>
              </w:rPr>
              <w:t>APP</w:t>
            </w:r>
            <w:r>
              <w:rPr>
                <w:rFonts w:hint="eastAsia"/>
                <w:sz w:val="21"/>
                <w:szCs w:val="21"/>
              </w:rPr>
              <w:t>低代码开发</w:t>
            </w:r>
          </w:p>
          <w:p w14:paraId="1E5DB787">
            <w:pPr>
              <w:jc w:val="both"/>
              <w:rPr>
                <w:sz w:val="21"/>
                <w:szCs w:val="21"/>
              </w:rPr>
            </w:pPr>
            <w:r>
              <w:rPr>
                <w:rFonts w:hint="eastAsia"/>
                <w:sz w:val="21"/>
                <w:szCs w:val="21"/>
              </w:rPr>
              <w:t>工业</w:t>
            </w:r>
            <w:r>
              <w:rPr>
                <w:sz w:val="21"/>
                <w:szCs w:val="21"/>
              </w:rPr>
              <w:t>APP</w:t>
            </w:r>
            <w:r>
              <w:rPr>
                <w:rFonts w:hint="eastAsia"/>
                <w:sz w:val="21"/>
                <w:szCs w:val="21"/>
              </w:rPr>
              <w:t>生产制造</w:t>
            </w:r>
          </w:p>
          <w:p w14:paraId="0C567583">
            <w:pPr>
              <w:jc w:val="both"/>
              <w:rPr>
                <w:sz w:val="21"/>
                <w:szCs w:val="21"/>
              </w:rPr>
            </w:pPr>
            <w:r>
              <w:rPr>
                <w:rFonts w:hint="eastAsia"/>
                <w:sz w:val="21"/>
                <w:szCs w:val="21"/>
              </w:rPr>
              <w:t>智能</w:t>
            </w:r>
            <w:r>
              <w:rPr>
                <w:sz w:val="21"/>
                <w:szCs w:val="21"/>
              </w:rPr>
              <w:t>AIOT</w:t>
            </w:r>
            <w:r>
              <w:rPr>
                <w:rFonts w:hint="eastAsia"/>
                <w:sz w:val="21"/>
                <w:szCs w:val="21"/>
              </w:rPr>
              <w:t>应用集成开发</w:t>
            </w:r>
          </w:p>
        </w:tc>
        <w:tc>
          <w:tcPr>
            <w:tcW w:w="1276" w:type="dxa"/>
            <w:vAlign w:val="center"/>
          </w:tcPr>
          <w:p w14:paraId="6BE6E74C">
            <w:pPr>
              <w:jc w:val="both"/>
              <w:rPr>
                <w:sz w:val="21"/>
                <w:szCs w:val="21"/>
              </w:rPr>
            </w:pPr>
            <w:r>
              <w:rPr>
                <w:sz w:val="21"/>
                <w:szCs w:val="21"/>
              </w:rPr>
              <w:t>100</w:t>
            </w:r>
            <w:r>
              <w:rPr>
                <w:rFonts w:hint="eastAsia"/>
                <w:sz w:val="21"/>
                <w:szCs w:val="21"/>
              </w:rPr>
              <w:t>分</w:t>
            </w:r>
          </w:p>
        </w:tc>
        <w:tc>
          <w:tcPr>
            <w:tcW w:w="982" w:type="dxa"/>
            <w:vMerge w:val="continue"/>
            <w:vAlign w:val="center"/>
          </w:tcPr>
          <w:p w14:paraId="14443E1B">
            <w:pPr>
              <w:jc w:val="both"/>
              <w:rPr>
                <w:sz w:val="21"/>
                <w:szCs w:val="21"/>
              </w:rPr>
            </w:pPr>
          </w:p>
        </w:tc>
      </w:tr>
    </w:tbl>
    <w:p w14:paraId="7B7FC091">
      <w:pPr>
        <w:ind w:firstLine="480" w:firstLineChars="200"/>
      </w:pPr>
    </w:p>
    <w:p w14:paraId="6F0B6871">
      <w:pPr>
        <w:ind w:firstLine="480" w:firstLineChars="200"/>
      </w:pPr>
      <w:r>
        <w:t>3.</w:t>
      </w:r>
      <w:r>
        <w:rPr>
          <w:rFonts w:hint="eastAsia"/>
        </w:rPr>
        <w:t>展示汇报环节总分100分，裁判按照评分标准对参赛队整体汇报结果进行评分，评分细则如表6：</w:t>
      </w:r>
    </w:p>
    <w:p w14:paraId="23B2BB4D">
      <w:pPr>
        <w:ind w:firstLine="482" w:firstLineChars="200"/>
        <w:jc w:val="center"/>
        <w:rPr>
          <w:b/>
          <w:bCs/>
        </w:rPr>
      </w:pPr>
      <w:r>
        <w:rPr>
          <w:rFonts w:hint="eastAsia"/>
          <w:b/>
          <w:bCs/>
        </w:rPr>
        <w:t>表6 展示汇报环节评分细则</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1701"/>
        <w:gridCol w:w="3827"/>
        <w:gridCol w:w="709"/>
        <w:gridCol w:w="888"/>
      </w:tblGrid>
      <w:tr w14:paraId="1CB78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Align w:val="center"/>
          </w:tcPr>
          <w:p w14:paraId="1AC84361">
            <w:pPr>
              <w:jc w:val="center"/>
              <w:rPr>
                <w:b/>
                <w:bCs/>
                <w:sz w:val="21"/>
                <w:szCs w:val="21"/>
              </w:rPr>
            </w:pPr>
            <w:r>
              <w:rPr>
                <w:rFonts w:hint="eastAsia"/>
                <w:b/>
                <w:bCs/>
                <w:sz w:val="21"/>
                <w:szCs w:val="21"/>
              </w:rPr>
              <w:t>汇报内容</w:t>
            </w:r>
          </w:p>
        </w:tc>
        <w:tc>
          <w:tcPr>
            <w:tcW w:w="1701" w:type="dxa"/>
            <w:vAlign w:val="center"/>
          </w:tcPr>
          <w:p w14:paraId="0FCDA1E1">
            <w:pPr>
              <w:jc w:val="center"/>
              <w:rPr>
                <w:b/>
                <w:bCs/>
                <w:sz w:val="21"/>
                <w:szCs w:val="21"/>
              </w:rPr>
            </w:pPr>
            <w:r>
              <w:rPr>
                <w:rFonts w:hint="eastAsia"/>
                <w:b/>
                <w:bCs/>
                <w:sz w:val="21"/>
                <w:szCs w:val="21"/>
              </w:rPr>
              <w:t>核心考察</w:t>
            </w:r>
            <w:r>
              <w:rPr>
                <w:b/>
                <w:bCs/>
                <w:sz w:val="21"/>
                <w:szCs w:val="21"/>
              </w:rPr>
              <w:t>点</w:t>
            </w:r>
          </w:p>
        </w:tc>
        <w:tc>
          <w:tcPr>
            <w:tcW w:w="3827" w:type="dxa"/>
            <w:vAlign w:val="center"/>
          </w:tcPr>
          <w:p w14:paraId="5EC7ECB5">
            <w:pPr>
              <w:jc w:val="center"/>
              <w:rPr>
                <w:b/>
                <w:bCs/>
                <w:sz w:val="21"/>
                <w:szCs w:val="21"/>
              </w:rPr>
            </w:pPr>
            <w:r>
              <w:rPr>
                <w:b/>
                <w:bCs/>
                <w:sz w:val="21"/>
                <w:szCs w:val="21"/>
              </w:rPr>
              <w:t>具体描述与展示建议</w:t>
            </w:r>
          </w:p>
        </w:tc>
        <w:tc>
          <w:tcPr>
            <w:tcW w:w="709" w:type="dxa"/>
            <w:vAlign w:val="center"/>
          </w:tcPr>
          <w:p w14:paraId="36D0CFE5">
            <w:pPr>
              <w:jc w:val="center"/>
              <w:rPr>
                <w:b/>
                <w:bCs/>
                <w:sz w:val="21"/>
                <w:szCs w:val="21"/>
              </w:rPr>
            </w:pPr>
            <w:r>
              <w:rPr>
                <w:rFonts w:hint="eastAsia"/>
                <w:b/>
                <w:bCs/>
                <w:sz w:val="21"/>
                <w:szCs w:val="21"/>
              </w:rPr>
              <w:t>单项分值</w:t>
            </w:r>
          </w:p>
        </w:tc>
        <w:tc>
          <w:tcPr>
            <w:tcW w:w="888" w:type="dxa"/>
            <w:vAlign w:val="center"/>
          </w:tcPr>
          <w:p w14:paraId="03C44C80">
            <w:pPr>
              <w:jc w:val="center"/>
              <w:rPr>
                <w:b/>
                <w:bCs/>
                <w:sz w:val="21"/>
                <w:szCs w:val="21"/>
              </w:rPr>
            </w:pPr>
            <w:r>
              <w:rPr>
                <w:rFonts w:hint="eastAsia"/>
                <w:b/>
                <w:bCs/>
                <w:sz w:val="21"/>
                <w:szCs w:val="21"/>
              </w:rPr>
              <w:t>得分</w:t>
            </w:r>
          </w:p>
        </w:tc>
      </w:tr>
      <w:tr w14:paraId="71BC4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restart"/>
          </w:tcPr>
          <w:p w14:paraId="48097EBD">
            <w:pPr>
              <w:jc w:val="both"/>
              <w:rPr>
                <w:sz w:val="21"/>
                <w:szCs w:val="21"/>
              </w:rPr>
            </w:pPr>
            <w:r>
              <w:rPr>
                <w:sz w:val="21"/>
                <w:szCs w:val="21"/>
              </w:rPr>
              <w:t>一、内容理解与技能解读</w:t>
            </w:r>
          </w:p>
        </w:tc>
        <w:tc>
          <w:tcPr>
            <w:tcW w:w="1701" w:type="dxa"/>
          </w:tcPr>
          <w:p w14:paraId="2F50024F">
            <w:pPr>
              <w:jc w:val="both"/>
              <w:rPr>
                <w:sz w:val="21"/>
                <w:szCs w:val="21"/>
              </w:rPr>
            </w:pPr>
            <w:r>
              <w:rPr>
                <w:rFonts w:hint="eastAsia"/>
                <w:sz w:val="21"/>
                <w:szCs w:val="21"/>
              </w:rPr>
              <w:t>1</w:t>
            </w:r>
            <w:r>
              <w:rPr>
                <w:sz w:val="21"/>
                <w:szCs w:val="21"/>
              </w:rPr>
              <w:t>.关键技术点掌握</w:t>
            </w:r>
          </w:p>
        </w:tc>
        <w:tc>
          <w:tcPr>
            <w:tcW w:w="3827" w:type="dxa"/>
          </w:tcPr>
          <w:p w14:paraId="2B756EE3">
            <w:pPr>
              <w:jc w:val="both"/>
              <w:rPr>
                <w:sz w:val="21"/>
                <w:szCs w:val="21"/>
              </w:rPr>
            </w:pPr>
            <w:r>
              <w:rPr>
                <w:sz w:val="21"/>
                <w:szCs w:val="21"/>
              </w:rPr>
              <w:t>对数据中台、SQL开发、ETL工具、可视化工具等关键技术有实际操作说明</w:t>
            </w:r>
            <w:r>
              <w:rPr>
                <w:rFonts w:hint="eastAsia"/>
                <w:sz w:val="21"/>
                <w:szCs w:val="21"/>
              </w:rPr>
              <w:t>，</w:t>
            </w:r>
            <w:r>
              <w:rPr>
                <w:sz w:val="21"/>
                <w:szCs w:val="21"/>
              </w:rPr>
              <w:t>展示代码/配置片段。</w:t>
            </w:r>
          </w:p>
        </w:tc>
        <w:tc>
          <w:tcPr>
            <w:tcW w:w="709" w:type="dxa"/>
          </w:tcPr>
          <w:p w14:paraId="532BBA4E">
            <w:pPr>
              <w:jc w:val="both"/>
              <w:rPr>
                <w:sz w:val="21"/>
                <w:szCs w:val="21"/>
              </w:rPr>
            </w:pPr>
            <w:r>
              <w:rPr>
                <w:rFonts w:hint="eastAsia"/>
                <w:sz w:val="21"/>
                <w:szCs w:val="21"/>
              </w:rPr>
              <w:t>40分</w:t>
            </w:r>
          </w:p>
        </w:tc>
        <w:tc>
          <w:tcPr>
            <w:tcW w:w="888" w:type="dxa"/>
            <w:vMerge w:val="restart"/>
          </w:tcPr>
          <w:p w14:paraId="4F9712E2">
            <w:pPr>
              <w:jc w:val="both"/>
              <w:rPr>
                <w:sz w:val="21"/>
                <w:szCs w:val="21"/>
              </w:rPr>
            </w:pPr>
            <w:r>
              <w:rPr>
                <w:rFonts w:hint="eastAsia"/>
                <w:sz w:val="21"/>
                <w:szCs w:val="21"/>
              </w:rPr>
              <w:t>单项分值总分</w:t>
            </w:r>
          </w:p>
        </w:tc>
      </w:tr>
      <w:tr w14:paraId="79907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continue"/>
          </w:tcPr>
          <w:p w14:paraId="5FBE9AC3">
            <w:pPr>
              <w:jc w:val="both"/>
              <w:rPr>
                <w:sz w:val="21"/>
                <w:szCs w:val="21"/>
              </w:rPr>
            </w:pPr>
          </w:p>
        </w:tc>
        <w:tc>
          <w:tcPr>
            <w:tcW w:w="1701" w:type="dxa"/>
          </w:tcPr>
          <w:p w14:paraId="2E44176A">
            <w:pPr>
              <w:jc w:val="both"/>
              <w:rPr>
                <w:sz w:val="21"/>
                <w:szCs w:val="21"/>
              </w:rPr>
            </w:pPr>
            <w:r>
              <w:rPr>
                <w:rFonts w:hint="eastAsia"/>
                <w:sz w:val="21"/>
                <w:szCs w:val="21"/>
              </w:rPr>
              <w:t>2</w:t>
            </w:r>
            <w:r>
              <w:rPr>
                <w:sz w:val="21"/>
                <w:szCs w:val="21"/>
              </w:rPr>
              <w:t>.工业场景结合能力</w:t>
            </w:r>
          </w:p>
        </w:tc>
        <w:tc>
          <w:tcPr>
            <w:tcW w:w="3827" w:type="dxa"/>
          </w:tcPr>
          <w:p w14:paraId="0542F88E">
            <w:pPr>
              <w:jc w:val="both"/>
              <w:rPr>
                <w:sz w:val="21"/>
                <w:szCs w:val="21"/>
              </w:rPr>
            </w:pPr>
            <w:r>
              <w:rPr>
                <w:sz w:val="21"/>
                <w:szCs w:val="21"/>
              </w:rPr>
              <w:t>将技术流程与工业场景结合，说明技术如何解决实际业务问题。</w:t>
            </w:r>
          </w:p>
        </w:tc>
        <w:tc>
          <w:tcPr>
            <w:tcW w:w="709" w:type="dxa"/>
          </w:tcPr>
          <w:p w14:paraId="75461827">
            <w:pPr>
              <w:jc w:val="both"/>
              <w:rPr>
                <w:sz w:val="21"/>
                <w:szCs w:val="21"/>
              </w:rPr>
            </w:pPr>
            <w:r>
              <w:rPr>
                <w:rFonts w:hint="eastAsia"/>
                <w:sz w:val="21"/>
                <w:szCs w:val="21"/>
              </w:rPr>
              <w:t>10分</w:t>
            </w:r>
          </w:p>
        </w:tc>
        <w:tc>
          <w:tcPr>
            <w:tcW w:w="888" w:type="dxa"/>
            <w:vMerge w:val="continue"/>
          </w:tcPr>
          <w:p w14:paraId="1D1995B1">
            <w:pPr>
              <w:jc w:val="both"/>
              <w:rPr>
                <w:sz w:val="21"/>
                <w:szCs w:val="21"/>
              </w:rPr>
            </w:pPr>
          </w:p>
        </w:tc>
      </w:tr>
      <w:tr w14:paraId="5BDA7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14:paraId="35EB2871">
            <w:pPr>
              <w:jc w:val="both"/>
              <w:rPr>
                <w:sz w:val="21"/>
                <w:szCs w:val="21"/>
              </w:rPr>
            </w:pPr>
            <w:r>
              <w:rPr>
                <w:sz w:val="21"/>
                <w:szCs w:val="21"/>
              </w:rPr>
              <w:t>二、</w:t>
            </w:r>
            <w:r>
              <w:rPr>
                <w:rFonts w:hint="eastAsia"/>
                <w:sz w:val="21"/>
                <w:szCs w:val="21"/>
              </w:rPr>
              <w:t>业务价值与创新性</w:t>
            </w:r>
          </w:p>
        </w:tc>
        <w:tc>
          <w:tcPr>
            <w:tcW w:w="1701" w:type="dxa"/>
          </w:tcPr>
          <w:p w14:paraId="197B57C9">
            <w:pPr>
              <w:jc w:val="both"/>
              <w:rPr>
                <w:sz w:val="21"/>
                <w:szCs w:val="21"/>
              </w:rPr>
            </w:pPr>
            <w:r>
              <w:rPr>
                <w:rFonts w:hint="eastAsia"/>
                <w:sz w:val="21"/>
                <w:szCs w:val="21"/>
              </w:rPr>
              <w:t>1</w:t>
            </w:r>
            <w:r>
              <w:rPr>
                <w:sz w:val="21"/>
                <w:szCs w:val="21"/>
              </w:rPr>
              <w:t>. 业务价值与创新性</w:t>
            </w:r>
          </w:p>
        </w:tc>
        <w:tc>
          <w:tcPr>
            <w:tcW w:w="3827" w:type="dxa"/>
          </w:tcPr>
          <w:p w14:paraId="2BE3809B">
            <w:pPr>
              <w:jc w:val="both"/>
              <w:rPr>
                <w:sz w:val="21"/>
                <w:szCs w:val="21"/>
              </w:rPr>
            </w:pPr>
            <w:r>
              <w:rPr>
                <w:sz w:val="21"/>
                <w:szCs w:val="21"/>
              </w:rPr>
              <w:t>明确说明项目对工业效率、成本、决策等方面的价值，突出创新点。</w:t>
            </w:r>
          </w:p>
        </w:tc>
        <w:tc>
          <w:tcPr>
            <w:tcW w:w="709" w:type="dxa"/>
          </w:tcPr>
          <w:p w14:paraId="51C971D4">
            <w:pPr>
              <w:jc w:val="both"/>
              <w:rPr>
                <w:sz w:val="21"/>
                <w:szCs w:val="21"/>
              </w:rPr>
            </w:pPr>
            <w:r>
              <w:rPr>
                <w:rFonts w:hint="eastAsia"/>
                <w:sz w:val="21"/>
                <w:szCs w:val="21"/>
              </w:rPr>
              <w:t>10分</w:t>
            </w:r>
          </w:p>
        </w:tc>
        <w:tc>
          <w:tcPr>
            <w:tcW w:w="888" w:type="dxa"/>
            <w:vMerge w:val="continue"/>
          </w:tcPr>
          <w:p w14:paraId="3820C2B5">
            <w:pPr>
              <w:jc w:val="both"/>
              <w:rPr>
                <w:sz w:val="21"/>
                <w:szCs w:val="21"/>
              </w:rPr>
            </w:pPr>
          </w:p>
        </w:tc>
      </w:tr>
      <w:tr w14:paraId="77D6C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restart"/>
          </w:tcPr>
          <w:p w14:paraId="67A55379">
            <w:pPr>
              <w:jc w:val="both"/>
              <w:rPr>
                <w:sz w:val="21"/>
                <w:szCs w:val="21"/>
              </w:rPr>
            </w:pPr>
            <w:r>
              <w:rPr>
                <w:sz w:val="21"/>
                <w:szCs w:val="21"/>
              </w:rPr>
              <w:t>三、专业表达与团队协作</w:t>
            </w:r>
          </w:p>
        </w:tc>
        <w:tc>
          <w:tcPr>
            <w:tcW w:w="1701" w:type="dxa"/>
          </w:tcPr>
          <w:p w14:paraId="4C803CB9">
            <w:pPr>
              <w:jc w:val="both"/>
              <w:rPr>
                <w:sz w:val="21"/>
                <w:szCs w:val="21"/>
              </w:rPr>
            </w:pPr>
            <w:r>
              <w:rPr>
                <w:sz w:val="21"/>
                <w:szCs w:val="21"/>
              </w:rPr>
              <w:t>1. 表达清晰性与逻辑性</w:t>
            </w:r>
          </w:p>
        </w:tc>
        <w:tc>
          <w:tcPr>
            <w:tcW w:w="3827" w:type="dxa"/>
          </w:tcPr>
          <w:p w14:paraId="6EA65108">
            <w:pPr>
              <w:jc w:val="both"/>
              <w:rPr>
                <w:sz w:val="21"/>
                <w:szCs w:val="21"/>
              </w:rPr>
            </w:pPr>
            <w:r>
              <w:rPr>
                <w:sz w:val="21"/>
                <w:szCs w:val="21"/>
              </w:rPr>
              <w:t>展示时语言流畅、逻辑清晰</w:t>
            </w:r>
            <w:r>
              <w:rPr>
                <w:rFonts w:hint="eastAsia"/>
                <w:sz w:val="21"/>
                <w:szCs w:val="21"/>
              </w:rPr>
              <w:t>。</w:t>
            </w:r>
          </w:p>
        </w:tc>
        <w:tc>
          <w:tcPr>
            <w:tcW w:w="709" w:type="dxa"/>
          </w:tcPr>
          <w:p w14:paraId="7D7F9936">
            <w:pPr>
              <w:jc w:val="both"/>
              <w:rPr>
                <w:sz w:val="21"/>
                <w:szCs w:val="21"/>
              </w:rPr>
            </w:pPr>
            <w:r>
              <w:rPr>
                <w:rFonts w:hint="eastAsia"/>
                <w:sz w:val="21"/>
                <w:szCs w:val="21"/>
              </w:rPr>
              <w:t>10分</w:t>
            </w:r>
          </w:p>
        </w:tc>
        <w:tc>
          <w:tcPr>
            <w:tcW w:w="888" w:type="dxa"/>
            <w:vMerge w:val="continue"/>
          </w:tcPr>
          <w:p w14:paraId="2325AFD2">
            <w:pPr>
              <w:jc w:val="both"/>
              <w:rPr>
                <w:sz w:val="21"/>
                <w:szCs w:val="21"/>
              </w:rPr>
            </w:pPr>
          </w:p>
        </w:tc>
      </w:tr>
      <w:tr w14:paraId="2A259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continue"/>
          </w:tcPr>
          <w:p w14:paraId="04B1B342">
            <w:pPr>
              <w:jc w:val="both"/>
              <w:rPr>
                <w:sz w:val="21"/>
                <w:szCs w:val="21"/>
              </w:rPr>
            </w:pPr>
          </w:p>
        </w:tc>
        <w:tc>
          <w:tcPr>
            <w:tcW w:w="1701" w:type="dxa"/>
          </w:tcPr>
          <w:p w14:paraId="30369DDB">
            <w:pPr>
              <w:jc w:val="both"/>
              <w:rPr>
                <w:sz w:val="21"/>
                <w:szCs w:val="21"/>
              </w:rPr>
            </w:pPr>
            <w:r>
              <w:rPr>
                <w:sz w:val="21"/>
                <w:szCs w:val="21"/>
              </w:rPr>
              <w:t>2. 团队角色与协作体现</w:t>
            </w:r>
          </w:p>
        </w:tc>
        <w:tc>
          <w:tcPr>
            <w:tcW w:w="3827" w:type="dxa"/>
          </w:tcPr>
          <w:p w14:paraId="3A529AD9">
            <w:pPr>
              <w:jc w:val="both"/>
              <w:rPr>
                <w:sz w:val="21"/>
                <w:szCs w:val="21"/>
              </w:rPr>
            </w:pPr>
            <w:r>
              <w:rPr>
                <w:sz w:val="21"/>
                <w:szCs w:val="21"/>
              </w:rPr>
              <w:t>明确说明团队成员分工，体现协作流程与沟通效率。</w:t>
            </w:r>
          </w:p>
        </w:tc>
        <w:tc>
          <w:tcPr>
            <w:tcW w:w="709" w:type="dxa"/>
          </w:tcPr>
          <w:p w14:paraId="0E0B4AD4">
            <w:pPr>
              <w:jc w:val="both"/>
              <w:rPr>
                <w:sz w:val="21"/>
                <w:szCs w:val="21"/>
              </w:rPr>
            </w:pPr>
            <w:r>
              <w:rPr>
                <w:rFonts w:hint="eastAsia"/>
                <w:sz w:val="21"/>
                <w:szCs w:val="21"/>
              </w:rPr>
              <w:t>10分</w:t>
            </w:r>
          </w:p>
        </w:tc>
        <w:tc>
          <w:tcPr>
            <w:tcW w:w="888" w:type="dxa"/>
            <w:vMerge w:val="continue"/>
          </w:tcPr>
          <w:p w14:paraId="6242723E">
            <w:pPr>
              <w:jc w:val="both"/>
              <w:rPr>
                <w:sz w:val="21"/>
                <w:szCs w:val="21"/>
              </w:rPr>
            </w:pPr>
          </w:p>
        </w:tc>
      </w:tr>
      <w:tr w14:paraId="4603E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restart"/>
          </w:tcPr>
          <w:p w14:paraId="7FEFBF24">
            <w:pPr>
              <w:jc w:val="both"/>
              <w:rPr>
                <w:sz w:val="21"/>
                <w:szCs w:val="21"/>
              </w:rPr>
            </w:pPr>
            <w:r>
              <w:rPr>
                <w:sz w:val="21"/>
                <w:szCs w:val="21"/>
              </w:rPr>
              <w:t>四、现场展示与综合素养</w:t>
            </w:r>
          </w:p>
        </w:tc>
        <w:tc>
          <w:tcPr>
            <w:tcW w:w="1701" w:type="dxa"/>
          </w:tcPr>
          <w:p w14:paraId="2B84C057">
            <w:pPr>
              <w:jc w:val="both"/>
              <w:rPr>
                <w:sz w:val="21"/>
                <w:szCs w:val="21"/>
              </w:rPr>
            </w:pPr>
            <w:r>
              <w:rPr>
                <w:sz w:val="21"/>
                <w:szCs w:val="21"/>
              </w:rPr>
              <w:t>1. 展示内容组织与呈现效果</w:t>
            </w:r>
          </w:p>
        </w:tc>
        <w:tc>
          <w:tcPr>
            <w:tcW w:w="3827" w:type="dxa"/>
          </w:tcPr>
          <w:p w14:paraId="1ED3919D">
            <w:pPr>
              <w:jc w:val="both"/>
              <w:rPr>
                <w:sz w:val="21"/>
                <w:szCs w:val="21"/>
              </w:rPr>
            </w:pPr>
            <w:r>
              <w:rPr>
                <w:sz w:val="21"/>
                <w:szCs w:val="21"/>
              </w:rPr>
              <w:t>展示结构清晰、重点突出，</w:t>
            </w:r>
            <w:r>
              <w:rPr>
                <w:rFonts w:hint="eastAsia"/>
                <w:sz w:val="21"/>
                <w:szCs w:val="21"/>
              </w:rPr>
              <w:t>呈现过程和结果完整</w:t>
            </w:r>
            <w:r>
              <w:rPr>
                <w:sz w:val="21"/>
                <w:szCs w:val="21"/>
              </w:rPr>
              <w:t>。</w:t>
            </w:r>
          </w:p>
        </w:tc>
        <w:tc>
          <w:tcPr>
            <w:tcW w:w="709" w:type="dxa"/>
          </w:tcPr>
          <w:p w14:paraId="3585FCDE">
            <w:pPr>
              <w:jc w:val="both"/>
              <w:rPr>
                <w:sz w:val="21"/>
                <w:szCs w:val="21"/>
              </w:rPr>
            </w:pPr>
            <w:r>
              <w:rPr>
                <w:rFonts w:hint="eastAsia"/>
                <w:sz w:val="21"/>
                <w:szCs w:val="21"/>
              </w:rPr>
              <w:t>10分</w:t>
            </w:r>
          </w:p>
        </w:tc>
        <w:tc>
          <w:tcPr>
            <w:tcW w:w="888" w:type="dxa"/>
            <w:vMerge w:val="continue"/>
          </w:tcPr>
          <w:p w14:paraId="70429967">
            <w:pPr>
              <w:jc w:val="both"/>
              <w:rPr>
                <w:sz w:val="21"/>
                <w:szCs w:val="21"/>
              </w:rPr>
            </w:pPr>
          </w:p>
        </w:tc>
      </w:tr>
      <w:tr w14:paraId="1C5B4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Merge w:val="continue"/>
          </w:tcPr>
          <w:p w14:paraId="1F976319">
            <w:pPr>
              <w:jc w:val="both"/>
              <w:rPr>
                <w:sz w:val="21"/>
                <w:szCs w:val="21"/>
              </w:rPr>
            </w:pPr>
          </w:p>
        </w:tc>
        <w:tc>
          <w:tcPr>
            <w:tcW w:w="1701" w:type="dxa"/>
          </w:tcPr>
          <w:p w14:paraId="0DC1898E">
            <w:pPr>
              <w:jc w:val="both"/>
              <w:rPr>
                <w:sz w:val="21"/>
                <w:szCs w:val="21"/>
              </w:rPr>
            </w:pPr>
            <w:r>
              <w:rPr>
                <w:sz w:val="21"/>
                <w:szCs w:val="21"/>
              </w:rPr>
              <w:t>2. 综合素养与职业表现</w:t>
            </w:r>
          </w:p>
        </w:tc>
        <w:tc>
          <w:tcPr>
            <w:tcW w:w="3827" w:type="dxa"/>
          </w:tcPr>
          <w:p w14:paraId="54C6CD66">
            <w:pPr>
              <w:jc w:val="both"/>
              <w:rPr>
                <w:sz w:val="21"/>
                <w:szCs w:val="21"/>
              </w:rPr>
            </w:pPr>
            <w:r>
              <w:rPr>
                <w:sz w:val="21"/>
                <w:szCs w:val="21"/>
              </w:rPr>
              <w:t>展示过程中体现良好的台风、时间控制能力、团队配合意识，展现职业态度与综合素养。</w:t>
            </w:r>
          </w:p>
        </w:tc>
        <w:tc>
          <w:tcPr>
            <w:tcW w:w="709" w:type="dxa"/>
          </w:tcPr>
          <w:p w14:paraId="69C2A076">
            <w:pPr>
              <w:jc w:val="both"/>
              <w:rPr>
                <w:sz w:val="21"/>
                <w:szCs w:val="21"/>
              </w:rPr>
            </w:pPr>
            <w:r>
              <w:rPr>
                <w:rFonts w:hint="eastAsia"/>
                <w:sz w:val="21"/>
                <w:szCs w:val="21"/>
              </w:rPr>
              <w:t>10分</w:t>
            </w:r>
          </w:p>
        </w:tc>
        <w:tc>
          <w:tcPr>
            <w:tcW w:w="888" w:type="dxa"/>
            <w:vMerge w:val="continue"/>
          </w:tcPr>
          <w:p w14:paraId="6A92C9F9">
            <w:pPr>
              <w:jc w:val="both"/>
              <w:rPr>
                <w:sz w:val="21"/>
                <w:szCs w:val="21"/>
              </w:rPr>
            </w:pPr>
          </w:p>
        </w:tc>
      </w:tr>
    </w:tbl>
    <w:p w14:paraId="73B34B70">
      <w:pPr>
        <w:ind w:firstLine="480" w:firstLineChars="200"/>
      </w:pPr>
      <w:r>
        <w:rPr>
          <w:rFonts w:hint="eastAsia"/>
        </w:rPr>
        <w:t>4.本赛项总成绩=技能比拼环节得分*80%+展示汇报环节得分*20%。</w:t>
      </w:r>
    </w:p>
    <w:p w14:paraId="4062092A">
      <w:pPr>
        <w:ind w:firstLine="480" w:firstLineChars="200"/>
      </w:pPr>
      <w:r>
        <w:t>5.</w:t>
      </w:r>
      <w:r>
        <w:rPr>
          <w:rFonts w:hint="eastAsia"/>
        </w:rPr>
        <w:t>本赛项评分标准制定遵循</w:t>
      </w:r>
      <w:r>
        <w:t>“</w:t>
      </w:r>
      <w:r>
        <w:rPr>
          <w:rFonts w:hint="eastAsia"/>
        </w:rPr>
        <w:t>公平、公正、公开</w:t>
      </w:r>
      <w:r>
        <w:t>”</w:t>
      </w:r>
      <w:r>
        <w:rPr>
          <w:rFonts w:hint="eastAsia"/>
        </w:rPr>
        <w:t>的原则。</w:t>
      </w:r>
      <w:r>
        <w:t xml:space="preserve"> </w:t>
      </w:r>
    </w:p>
    <w:p w14:paraId="0C06654E">
      <w:pPr>
        <w:pStyle w:val="2"/>
      </w:pPr>
      <w:r>
        <w:rPr>
          <w:rFonts w:hint="eastAsia"/>
        </w:rPr>
        <w:t>十一、奖项设置</w:t>
      </w:r>
    </w:p>
    <w:p w14:paraId="6C691B07">
      <w:pPr>
        <w:widowControl/>
        <w:ind w:firstLine="480" w:firstLineChars="200"/>
      </w:pPr>
      <w:r>
        <w:rPr>
          <w:rFonts w:hint="eastAsia"/>
        </w:rPr>
        <w:t>团体奖。以参赛队总数为基数，分设一、二、三等奖，获奖比例分别</w:t>
      </w:r>
      <w:r>
        <w:t xml:space="preserve"> </w:t>
      </w:r>
      <w:r>
        <w:rPr>
          <w:rFonts w:hint="eastAsia"/>
        </w:rPr>
        <w:t>为</w:t>
      </w:r>
      <w:r>
        <w:t>10%</w:t>
      </w:r>
      <w:r>
        <w:rPr>
          <w:rFonts w:hint="eastAsia"/>
        </w:rPr>
        <w:t>、</w:t>
      </w:r>
      <w:r>
        <w:t>20%</w:t>
      </w:r>
      <w:r>
        <w:rPr>
          <w:rFonts w:hint="eastAsia"/>
        </w:rPr>
        <w:t>、</w:t>
      </w:r>
      <w:r>
        <w:t>30%</w:t>
      </w:r>
      <w:r>
        <w:rPr>
          <w:rFonts w:hint="eastAsia"/>
        </w:rPr>
        <w:t>（四舍五入的形式保留小数点后两位）；获得团体奖的参赛队队员获相应等级的奖项。获得一等奖的参赛队指导教师由组委会颁发优秀指导教师证书。</w:t>
      </w:r>
    </w:p>
    <w:p w14:paraId="173ED681">
      <w:pPr>
        <w:pStyle w:val="2"/>
      </w:pPr>
      <w:r>
        <w:rPr>
          <w:rFonts w:hint="eastAsia"/>
        </w:rPr>
        <w:t>十二、竞赛须知</w:t>
      </w:r>
    </w:p>
    <w:p w14:paraId="60B7C92F">
      <w:pPr>
        <w:widowControl/>
        <w:ind w:firstLine="480" w:firstLineChars="200"/>
      </w:pPr>
      <w:r>
        <w:rPr>
          <w:rFonts w:ascii="仿宋" w:hAnsi="仿宋" w:cs="仿宋"/>
          <w:color w:val="000000"/>
          <w:lang w:bidi="ar"/>
        </w:rPr>
        <w:t xml:space="preserve">（一）参赛队须知 </w:t>
      </w:r>
    </w:p>
    <w:p w14:paraId="05AE045E">
      <w:pPr>
        <w:widowControl/>
        <w:ind w:firstLine="480" w:firstLineChars="200"/>
      </w:pPr>
      <w:r>
        <w:rPr>
          <w:rFonts w:hint="eastAsia" w:ascii="仿宋" w:hAnsi="仿宋" w:cs="仿宋"/>
          <w:color w:val="000000"/>
          <w:lang w:bidi="ar"/>
        </w:rPr>
        <w:t xml:space="preserve">1.参赛队名称统一使用规定的代表队名称。 </w:t>
      </w:r>
    </w:p>
    <w:p w14:paraId="7FEA3A06">
      <w:pPr>
        <w:widowControl/>
        <w:ind w:firstLine="480" w:firstLineChars="200"/>
      </w:pPr>
      <w:r>
        <w:rPr>
          <w:rFonts w:hint="eastAsia" w:ascii="仿宋" w:hAnsi="仿宋" w:cs="仿宋"/>
          <w:color w:val="000000"/>
          <w:lang w:bidi="ar"/>
        </w:rPr>
        <w:t xml:space="preserve">2.参赛队员在报名获得审核确认后，原则上不再更换，如筹备过 </w:t>
      </w:r>
    </w:p>
    <w:p w14:paraId="57C0FB01">
      <w:pPr>
        <w:widowControl/>
        <w:ind w:firstLine="480" w:firstLineChars="200"/>
      </w:pPr>
      <w:r>
        <w:rPr>
          <w:rFonts w:hint="eastAsia" w:ascii="仿宋" w:hAnsi="仿宋" w:cs="仿宋"/>
          <w:color w:val="000000"/>
          <w:lang w:bidi="ar"/>
        </w:rPr>
        <w:t xml:space="preserve">程中，选手因故不能参赛，所在学校需出具书面说明并按相关规定补充人员并接受审核；开赛前 10 日以内，参赛队不得更换参赛队员，允许缺员比赛。 </w:t>
      </w:r>
    </w:p>
    <w:p w14:paraId="216A34E6">
      <w:pPr>
        <w:widowControl/>
        <w:ind w:firstLine="480" w:firstLineChars="200"/>
      </w:pPr>
      <w:r>
        <w:rPr>
          <w:rFonts w:hint="eastAsia" w:ascii="仿宋" w:hAnsi="仿宋" w:cs="仿宋"/>
          <w:color w:val="000000"/>
          <w:lang w:bidi="ar"/>
        </w:rPr>
        <w:t xml:space="preserve">3.参赛队按照大赛赛程安排凭大赛组委会颁发的参赛证和有效身份证件参加比赛及相关活动。 </w:t>
      </w:r>
    </w:p>
    <w:p w14:paraId="027C25BD">
      <w:pPr>
        <w:widowControl/>
        <w:ind w:firstLine="480" w:firstLineChars="200"/>
      </w:pPr>
      <w:r>
        <w:rPr>
          <w:rFonts w:hint="eastAsia" w:ascii="仿宋" w:hAnsi="仿宋" w:cs="仿宋"/>
          <w:color w:val="000000"/>
          <w:lang w:bidi="ar"/>
        </w:rPr>
        <w:t xml:space="preserve">4.参赛队统一安排参加比赛前熟悉场地环境的活动。 </w:t>
      </w:r>
    </w:p>
    <w:p w14:paraId="6FC07064">
      <w:pPr>
        <w:widowControl/>
        <w:ind w:firstLine="480" w:firstLineChars="200"/>
      </w:pPr>
      <w:r>
        <w:rPr>
          <w:rFonts w:hint="eastAsia" w:ascii="仿宋" w:hAnsi="仿宋" w:cs="仿宋"/>
          <w:color w:val="000000"/>
          <w:lang w:bidi="ar"/>
        </w:rPr>
        <w:t xml:space="preserve">5.各参赛队准时参加赛前领队会，领队会上举行抽签仪式抽取场次号。 </w:t>
      </w:r>
    </w:p>
    <w:p w14:paraId="44A49707">
      <w:pPr>
        <w:widowControl/>
        <w:ind w:firstLine="480" w:firstLineChars="200"/>
      </w:pPr>
      <w:r>
        <w:rPr>
          <w:rFonts w:hint="eastAsia" w:ascii="仿宋" w:hAnsi="仿宋" w:cs="仿宋"/>
          <w:color w:val="000000"/>
          <w:lang w:bidi="ar"/>
        </w:rPr>
        <w:t xml:space="preserve">6.各参赛队要注意饮食卫生，防止食物中毒。 </w:t>
      </w:r>
    </w:p>
    <w:p w14:paraId="7942CB45">
      <w:pPr>
        <w:widowControl/>
        <w:ind w:firstLine="480" w:firstLineChars="200"/>
      </w:pPr>
      <w:r>
        <w:rPr>
          <w:rFonts w:hint="eastAsia" w:ascii="仿宋" w:hAnsi="仿宋" w:cs="仿宋"/>
          <w:color w:val="000000"/>
          <w:lang w:bidi="ar"/>
        </w:rPr>
        <w:t xml:space="preserve">7.各参赛队要发扬良好道德风尚，听从指挥，服从裁判，不弄虚作假。 </w:t>
      </w:r>
    </w:p>
    <w:p w14:paraId="127D0D35">
      <w:pPr>
        <w:widowControl/>
        <w:ind w:firstLine="480" w:firstLineChars="200"/>
      </w:pPr>
      <w:r>
        <w:rPr>
          <w:rFonts w:hint="eastAsia" w:ascii="仿宋" w:hAnsi="仿宋" w:cs="仿宋"/>
          <w:color w:val="000000"/>
          <w:lang w:bidi="ar"/>
        </w:rPr>
        <w:t xml:space="preserve">（二）指导教师须知 </w:t>
      </w:r>
    </w:p>
    <w:p w14:paraId="62705689">
      <w:pPr>
        <w:widowControl/>
        <w:ind w:firstLine="480" w:firstLineChars="200"/>
      </w:pPr>
      <w:r>
        <w:rPr>
          <w:rFonts w:hint="eastAsia" w:ascii="仿宋" w:hAnsi="仿宋" w:cs="仿宋"/>
          <w:color w:val="000000"/>
          <w:lang w:bidi="ar"/>
        </w:rPr>
        <w:t xml:space="preserve">1.各指导教师要发扬良好道德风尚，听从指挥，服从裁判，不弄虚作假。指导教师经报名、审核后确定，一经确定不得更换。 </w:t>
      </w:r>
    </w:p>
    <w:p w14:paraId="0AB4AD06">
      <w:pPr>
        <w:widowControl/>
        <w:ind w:firstLine="480" w:firstLineChars="200"/>
      </w:pPr>
      <w:r>
        <w:rPr>
          <w:rFonts w:hint="eastAsia" w:ascii="仿宋" w:hAnsi="仿宋" w:cs="仿宋"/>
          <w:color w:val="000000"/>
          <w:lang w:bidi="ar"/>
        </w:rPr>
        <w:t xml:space="preserve">2.对申诉的仲裁结果，领队和指导教师应带头服从和执行，还应说服选手服从和执行。 </w:t>
      </w:r>
    </w:p>
    <w:p w14:paraId="505E7E32">
      <w:pPr>
        <w:widowControl/>
        <w:ind w:firstLine="480" w:firstLineChars="200"/>
      </w:pPr>
      <w:r>
        <w:rPr>
          <w:rFonts w:hint="eastAsia" w:ascii="仿宋" w:hAnsi="仿宋" w:cs="仿宋"/>
          <w:color w:val="000000"/>
          <w:lang w:bidi="ar"/>
        </w:rPr>
        <w:t xml:space="preserve">3.指导教师应认真研究和掌握本赛项比赛的技术规则和赛场要求，指导选手做好赛前的一切准备工作。 </w:t>
      </w:r>
    </w:p>
    <w:p w14:paraId="541C14C9">
      <w:pPr>
        <w:widowControl/>
        <w:ind w:firstLine="480" w:firstLineChars="200"/>
      </w:pPr>
      <w:r>
        <w:rPr>
          <w:rFonts w:hint="eastAsia" w:ascii="仿宋" w:hAnsi="仿宋" w:cs="仿宋"/>
          <w:color w:val="000000"/>
          <w:lang w:bidi="ar"/>
        </w:rPr>
        <w:t xml:space="preserve">4.领队和指导教师应在赛后做好技术总结和工作总结。 </w:t>
      </w:r>
    </w:p>
    <w:p w14:paraId="54564DF1">
      <w:pPr>
        <w:widowControl/>
        <w:ind w:firstLine="480" w:firstLineChars="200"/>
      </w:pPr>
      <w:r>
        <w:rPr>
          <w:rFonts w:hint="eastAsia" w:ascii="仿宋" w:hAnsi="仿宋" w:cs="仿宋"/>
          <w:color w:val="000000"/>
          <w:lang w:bidi="ar"/>
        </w:rPr>
        <w:t xml:space="preserve">（三）参赛选手须知 </w:t>
      </w:r>
    </w:p>
    <w:p w14:paraId="0DF8F81C">
      <w:pPr>
        <w:widowControl/>
        <w:ind w:firstLine="480" w:firstLineChars="200"/>
      </w:pPr>
      <w:r>
        <w:rPr>
          <w:rFonts w:hint="eastAsia" w:ascii="仿宋" w:hAnsi="仿宋" w:cs="仿宋"/>
          <w:color w:val="000000"/>
          <w:lang w:bidi="ar"/>
        </w:rPr>
        <w:t xml:space="preserve">1.参赛选手应遵守比赛规则，尊重裁判和赛场工作人员，自觉遵守赛场秩序，服从裁判的管理。 </w:t>
      </w:r>
    </w:p>
    <w:p w14:paraId="235310AE">
      <w:pPr>
        <w:widowControl/>
        <w:ind w:firstLine="480" w:firstLineChars="200"/>
      </w:pPr>
      <w:r>
        <w:rPr>
          <w:rFonts w:hint="eastAsia" w:ascii="仿宋" w:hAnsi="仿宋" w:cs="仿宋"/>
          <w:color w:val="000000"/>
          <w:lang w:bidi="ar"/>
        </w:rPr>
        <w:t xml:space="preserve">2.参赛选手应佩戴参赛证，带齐身份证、注册的学生证。在赛场的着装，应符合职业要求。在赛场的表现，应体现自己良好的职业习惯和职业素养。 </w:t>
      </w:r>
    </w:p>
    <w:p w14:paraId="44B3BA21">
      <w:pPr>
        <w:widowControl/>
        <w:ind w:firstLine="480" w:firstLineChars="200"/>
      </w:pPr>
      <w:r>
        <w:rPr>
          <w:rFonts w:hint="eastAsia" w:ascii="仿宋" w:hAnsi="仿宋" w:cs="仿宋"/>
          <w:color w:val="000000"/>
          <w:lang w:bidi="ar"/>
        </w:rPr>
        <w:t xml:space="preserve">3.进入赛场前须将手机等通讯工具交赛场相关人员保管，不能带入赛场。未经检验的工具、电子储存器件和其他不允许带入赛场物品一律不能进入赛场。 </w:t>
      </w:r>
    </w:p>
    <w:p w14:paraId="3DF85270">
      <w:pPr>
        <w:widowControl/>
        <w:ind w:firstLine="480" w:firstLineChars="200"/>
      </w:pPr>
      <w:r>
        <w:rPr>
          <w:rFonts w:hint="eastAsia" w:ascii="仿宋" w:hAnsi="仿宋" w:cs="仿宋"/>
          <w:color w:val="000000"/>
          <w:lang w:bidi="ar"/>
        </w:rPr>
        <w:t xml:space="preserve">4.比赛过程中不准互相交谈，不得大声喧哗； 不得有影响其他选手比赛的行为，不准有旁窥、夹带等作弊行为。 </w:t>
      </w:r>
    </w:p>
    <w:p w14:paraId="7A7F7357">
      <w:pPr>
        <w:widowControl/>
        <w:ind w:firstLine="480" w:firstLineChars="200"/>
      </w:pPr>
      <w:r>
        <w:rPr>
          <w:rFonts w:hint="eastAsia" w:ascii="仿宋" w:hAnsi="仿宋" w:cs="仿宋"/>
          <w:color w:val="000000"/>
          <w:lang w:bidi="ar"/>
        </w:rPr>
        <w:t xml:space="preserve">5.参赛选手在比赛的过程中，应遵守安全操作规程，文明的操作。通电调试设备时，应经现场裁判许可，在技术人员监护下进行。 </w:t>
      </w:r>
    </w:p>
    <w:p w14:paraId="0678DCF3">
      <w:pPr>
        <w:widowControl/>
        <w:ind w:firstLine="480" w:firstLineChars="200"/>
      </w:pPr>
      <w:r>
        <w:rPr>
          <w:rFonts w:hint="eastAsia" w:ascii="仿宋" w:hAnsi="仿宋" w:cs="仿宋"/>
          <w:color w:val="000000"/>
          <w:lang w:bidi="ar"/>
        </w:rPr>
        <w:t xml:space="preserve">6.比赛过程中需要去洗手间，应报告现场裁判，由裁判或赛场工作人员陪同离开赛场。 </w:t>
      </w:r>
    </w:p>
    <w:p w14:paraId="65C111FE">
      <w:pPr>
        <w:widowControl/>
        <w:ind w:firstLine="480" w:firstLineChars="200"/>
      </w:pPr>
      <w:r>
        <w:rPr>
          <w:rFonts w:hint="eastAsia" w:ascii="仿宋" w:hAnsi="仿宋" w:cs="仿宋"/>
          <w:color w:val="000000"/>
          <w:lang w:bidi="ar"/>
        </w:rPr>
        <w:t xml:space="preserve">7.完成比赛任务后，需要在比赛结束前离开赛场，需向现场裁判示意，在赛场记录上填写离场时间并签工位号确认后，方可离开赛场到指定区域等候评分，离开赛场后不可再次进入。未完成比赛任务，因病或其他原因需要终止比赛离开赛场，需经裁判长同意，在赛场记录表的相应栏目填写离场原因、离场时间并签工位号确认后，方可离开；离开后，不能再次进入赛场。 </w:t>
      </w:r>
    </w:p>
    <w:p w14:paraId="3ADC348F">
      <w:pPr>
        <w:widowControl/>
        <w:ind w:firstLine="480" w:firstLineChars="200"/>
      </w:pPr>
      <w:r>
        <w:rPr>
          <w:rFonts w:hint="eastAsia" w:ascii="仿宋" w:hAnsi="仿宋" w:cs="仿宋"/>
          <w:color w:val="000000"/>
          <w:lang w:bidi="ar"/>
        </w:rPr>
        <w:t xml:space="preserve">8.裁判长发出停止比赛的指令，选手（包括需要补时的选手）应立即停止操作进入通道，在现场裁判的指挥下离开赛场到达指定的区域等候评分。需要补时的选手在离场后，由现场裁判召唤进场补时或比赛结束后自然延时补时。 </w:t>
      </w:r>
    </w:p>
    <w:p w14:paraId="2CD93262">
      <w:pPr>
        <w:widowControl/>
        <w:ind w:firstLine="480" w:firstLineChars="200"/>
      </w:pPr>
      <w:r>
        <w:rPr>
          <w:rFonts w:hint="eastAsia" w:ascii="仿宋" w:hAnsi="仿宋" w:cs="仿宋"/>
          <w:color w:val="000000"/>
          <w:lang w:bidi="ar"/>
        </w:rPr>
        <w:t xml:space="preserve">9.赛场工作人员叫到工位号、在等待评分的选手，应迅速进入赛场，与评分裁判一道完成比赛成绩评定。在评分过程中，选手应配合评分裁判，按要求进行设备的操作；可与裁判沟通，解释设备运行中的问题；不可与裁判争辩、争分，影响评分。 </w:t>
      </w:r>
    </w:p>
    <w:p w14:paraId="236EAAAD">
      <w:pPr>
        <w:widowControl/>
        <w:ind w:firstLine="480" w:firstLineChars="200"/>
      </w:pPr>
      <w:r>
        <w:rPr>
          <w:rFonts w:hint="eastAsia" w:ascii="仿宋" w:hAnsi="仿宋" w:cs="仿宋"/>
          <w:color w:val="000000"/>
          <w:lang w:bidi="ar"/>
        </w:rPr>
        <w:t xml:space="preserve">10.遇突发事件，立即报告裁判和赛场工作人员，按赛场裁判和工 </w:t>
      </w:r>
    </w:p>
    <w:p w14:paraId="679676DA">
      <w:pPr>
        <w:widowControl/>
        <w:ind w:firstLine="480" w:firstLineChars="200"/>
      </w:pPr>
      <w:r>
        <w:rPr>
          <w:rFonts w:hint="eastAsia" w:ascii="仿宋" w:hAnsi="仿宋" w:cs="仿宋"/>
          <w:color w:val="000000"/>
          <w:lang w:bidi="ar"/>
        </w:rPr>
        <w:t xml:space="preserve">作人员的指令行动。 </w:t>
      </w:r>
    </w:p>
    <w:p w14:paraId="125A7864">
      <w:pPr>
        <w:widowControl/>
        <w:ind w:firstLine="480" w:firstLineChars="200"/>
      </w:pPr>
      <w:r>
        <w:rPr>
          <w:rFonts w:hint="eastAsia" w:ascii="仿宋" w:hAnsi="仿宋" w:cs="仿宋"/>
          <w:color w:val="000000"/>
          <w:lang w:bidi="ar"/>
        </w:rPr>
        <w:t xml:space="preserve">（四）工作人员须知 </w:t>
      </w:r>
    </w:p>
    <w:p w14:paraId="33C95D16">
      <w:pPr>
        <w:widowControl/>
        <w:ind w:firstLine="480" w:firstLineChars="200"/>
      </w:pPr>
      <w:r>
        <w:rPr>
          <w:rFonts w:hint="eastAsia" w:ascii="仿宋" w:hAnsi="仿宋" w:cs="仿宋"/>
          <w:color w:val="000000"/>
          <w:lang w:bidi="ar"/>
        </w:rPr>
        <w:t xml:space="preserve">1.工作人员必须服从赛项组委会统一指挥，佩戴工作人员标识，认真履行职责，做好服务赛场、服务选手的工作。 </w:t>
      </w:r>
    </w:p>
    <w:p w14:paraId="4F04D6C7">
      <w:pPr>
        <w:widowControl/>
        <w:ind w:firstLine="480" w:firstLineChars="200"/>
      </w:pPr>
      <w:r>
        <w:rPr>
          <w:rFonts w:hint="eastAsia" w:ascii="仿宋" w:hAnsi="仿宋" w:cs="仿宋"/>
          <w:color w:val="000000"/>
          <w:lang w:bidi="ar"/>
        </w:rPr>
        <w:t xml:space="preserve">2.工作人员按照分工准时上岗，不得擅自离岗，应认真履行各自的工作职责，保证竞赛工作的顺利进行。 </w:t>
      </w:r>
    </w:p>
    <w:p w14:paraId="07B07C91">
      <w:pPr>
        <w:widowControl/>
        <w:ind w:firstLine="480" w:firstLineChars="200"/>
      </w:pPr>
      <w:r>
        <w:rPr>
          <w:rFonts w:hint="eastAsia" w:ascii="仿宋" w:hAnsi="仿宋" w:cs="仿宋"/>
          <w:color w:val="000000"/>
          <w:lang w:bidi="ar"/>
        </w:rPr>
        <w:t xml:space="preserve">3.工作人员应在规定的区域内工作，未经许可，不得擅自进入竞赛场地。如需进场，需经过裁判长同意，核准证件，有裁判跟随入场。 </w:t>
      </w:r>
    </w:p>
    <w:p w14:paraId="18A78C36">
      <w:pPr>
        <w:widowControl/>
        <w:ind w:firstLine="480" w:firstLineChars="200"/>
      </w:pPr>
      <w:r>
        <w:rPr>
          <w:rFonts w:hint="eastAsia" w:ascii="仿宋" w:hAnsi="仿宋" w:cs="仿宋"/>
          <w:color w:val="000000"/>
          <w:lang w:bidi="ar"/>
        </w:rPr>
        <w:t xml:space="preserve">4.如遇突发事件，须及时向裁判长报告，同时做好疏导工作，避免重大事故发生，确保竞赛圆满成功。 </w:t>
      </w:r>
    </w:p>
    <w:p w14:paraId="6EBABCAB">
      <w:pPr>
        <w:widowControl/>
        <w:ind w:firstLine="480" w:firstLineChars="200"/>
      </w:pPr>
      <w:r>
        <w:rPr>
          <w:rFonts w:hint="eastAsia" w:ascii="仿宋" w:hAnsi="仿宋" w:cs="仿宋"/>
          <w:color w:val="000000"/>
          <w:lang w:bidi="ar"/>
        </w:rPr>
        <w:t xml:space="preserve">5.竞赛期间，工作人员不得干涉及个人工作职责之外的事宜，不得利用工作之便，弄虚作假、徇私舞弊。如有上述现象或因工作不负责任的情况，造成竞赛程序无法继续进行，由赛项组委会视情节轻重，给予通报批评或停止工作，并通知其所在单位做出相应处理。 </w:t>
      </w:r>
    </w:p>
    <w:p w14:paraId="0CE4F026">
      <w:pPr>
        <w:widowControl/>
        <w:ind w:firstLine="480" w:firstLineChars="200"/>
      </w:pPr>
      <w:r>
        <w:rPr>
          <w:rFonts w:hint="eastAsia" w:ascii="仿宋" w:hAnsi="仿宋" w:cs="仿宋"/>
          <w:color w:val="000000"/>
          <w:lang w:bidi="ar"/>
        </w:rPr>
        <w:t xml:space="preserve">（五）裁判员须知 </w:t>
      </w:r>
    </w:p>
    <w:p w14:paraId="45DD9761">
      <w:pPr>
        <w:widowControl/>
        <w:ind w:firstLine="480" w:firstLineChars="200"/>
      </w:pPr>
      <w:r>
        <w:rPr>
          <w:rFonts w:hint="eastAsia" w:ascii="仿宋" w:hAnsi="仿宋" w:cs="仿宋"/>
          <w:color w:val="000000"/>
          <w:lang w:bidi="ar"/>
        </w:rPr>
        <w:t xml:space="preserve">1.裁判员执裁前应参加培训，了解比赛任务及其要求、考核的知识与技能，认真学习评分标准，理解评分表各评价内容和标准。 </w:t>
      </w:r>
    </w:p>
    <w:p w14:paraId="61053935">
      <w:pPr>
        <w:widowControl/>
        <w:ind w:firstLine="480" w:firstLineChars="200"/>
      </w:pPr>
      <w:r>
        <w:rPr>
          <w:rFonts w:hint="eastAsia" w:ascii="仿宋" w:hAnsi="仿宋" w:cs="仿宋"/>
          <w:color w:val="000000"/>
          <w:lang w:bidi="ar"/>
        </w:rPr>
        <w:t xml:space="preserve">2.裁判员执裁期间，统一佩戴裁判员标识，举止文明礼貌，接受参赛人员的监督。 </w:t>
      </w:r>
    </w:p>
    <w:p w14:paraId="20707F59">
      <w:pPr>
        <w:widowControl/>
        <w:ind w:firstLine="480" w:firstLineChars="200"/>
      </w:pPr>
      <w:r>
        <w:rPr>
          <w:rFonts w:hint="eastAsia" w:ascii="仿宋" w:hAnsi="仿宋" w:cs="仿宋"/>
          <w:color w:val="000000"/>
          <w:lang w:bidi="ar"/>
        </w:rPr>
        <w:t xml:space="preserve">3.遵守执裁纪律，履行裁判职责，执行竞赛规则，信守裁判承诺书的各项承诺。服从赛项专家组和裁判长的领导。按照分工开展工作，始终坚守工作岗位，不得擅自离岗。 </w:t>
      </w:r>
    </w:p>
    <w:p w14:paraId="16D22BB0">
      <w:pPr>
        <w:widowControl/>
        <w:ind w:firstLine="480" w:firstLineChars="200"/>
      </w:pPr>
      <w:r>
        <w:rPr>
          <w:rFonts w:hint="eastAsia" w:ascii="仿宋" w:hAnsi="仿宋" w:cs="仿宋"/>
          <w:color w:val="000000"/>
          <w:lang w:bidi="ar"/>
        </w:rPr>
        <w:t xml:space="preserve">4.裁判员有维护赛场秩序、执行赛场纪律的责任，也有保证参赛选手安全的责任。时刻注意参赛选手操作安全的问题，制止违反安全操作的行为，防止安全事故的出现。 </w:t>
      </w:r>
    </w:p>
    <w:p w14:paraId="17E2B4D0">
      <w:pPr>
        <w:widowControl/>
        <w:ind w:firstLine="480" w:firstLineChars="200"/>
      </w:pPr>
      <w:r>
        <w:rPr>
          <w:rFonts w:hint="eastAsia" w:ascii="仿宋" w:hAnsi="仿宋" w:cs="仿宋"/>
          <w:color w:val="000000"/>
          <w:lang w:bidi="ar"/>
        </w:rPr>
        <w:t xml:space="preserve">5.裁判员不得有任何影响参赛选手比赛的行为，不得向参赛选手暗示或解答与竞赛有关的问题，不得指导、帮助选手完成比赛任务。 </w:t>
      </w:r>
    </w:p>
    <w:p w14:paraId="6F3F5A0A">
      <w:pPr>
        <w:widowControl/>
        <w:ind w:firstLine="480" w:firstLineChars="200"/>
      </w:pPr>
      <w:r>
        <w:rPr>
          <w:rFonts w:hint="eastAsia" w:ascii="仿宋" w:hAnsi="仿宋" w:cs="仿宋"/>
          <w:color w:val="000000"/>
          <w:lang w:bidi="ar"/>
        </w:rPr>
        <w:t xml:space="preserve">6.公平公正的对待每一位参赛选手，不能有亲近与疏远、热情与冷淡差别。 </w:t>
      </w:r>
    </w:p>
    <w:p w14:paraId="6C6E2099">
      <w:pPr>
        <w:widowControl/>
        <w:ind w:firstLine="480" w:firstLineChars="200"/>
      </w:pPr>
      <w:r>
        <w:rPr>
          <w:rFonts w:hint="eastAsia" w:ascii="仿宋" w:hAnsi="仿宋" w:cs="仿宋"/>
          <w:color w:val="000000"/>
          <w:lang w:bidi="ar"/>
        </w:rPr>
        <w:t xml:space="preserve">7.赛场中选手出现的所有问题如： 违反赛场纪律、违反安全操作规程、提前离开赛场等，都应在赛场记录表上记录，并要求学生签工位号确认。 </w:t>
      </w:r>
    </w:p>
    <w:p w14:paraId="57E58E3C">
      <w:pPr>
        <w:widowControl/>
        <w:ind w:firstLine="480" w:firstLineChars="200"/>
      </w:pPr>
      <w:r>
        <w:rPr>
          <w:rFonts w:hint="eastAsia" w:ascii="仿宋" w:hAnsi="仿宋" w:cs="仿宋"/>
          <w:color w:val="000000"/>
          <w:lang w:bidi="ar"/>
        </w:rPr>
        <w:t xml:space="preserve">8.严格执行竞赛项目评分标准，做到公平、公正、真实、准确，杜绝随意打分； 对评分表的理解和宽严尺度把握有分歧时，请示裁判长解决。严禁利用工作之便，弄虚作假、徇私舞弊。 </w:t>
      </w:r>
    </w:p>
    <w:p w14:paraId="1C8E68FE">
      <w:pPr>
        <w:widowControl/>
        <w:spacing w:before="120" w:beforeLines="50" w:after="120" w:afterLines="50"/>
        <w:rPr>
          <w:rFonts w:ascii="仿宋" w:cs="仿宋"/>
          <w:b/>
          <w:bCs/>
          <w:sz w:val="30"/>
          <w:szCs w:val="32"/>
        </w:rPr>
      </w:pPr>
      <w:r>
        <w:rPr>
          <w:rFonts w:hint="eastAsia" w:ascii="仿宋" w:cs="仿宋"/>
          <w:b/>
          <w:bCs/>
          <w:sz w:val="30"/>
          <w:szCs w:val="32"/>
        </w:rPr>
        <w:t>十三、申诉与仲裁</w:t>
      </w:r>
    </w:p>
    <w:p w14:paraId="1E5E9FE8">
      <w:pPr>
        <w:widowControl/>
        <w:ind w:firstLine="480" w:firstLineChars="200"/>
      </w:pPr>
      <w:r>
        <w:rPr>
          <w:rFonts w:hint="eastAsia" w:ascii="仿宋" w:hAnsi="仿宋" w:cs="仿宋"/>
          <w:color w:val="000000"/>
          <w:lang w:bidi="ar"/>
        </w:rPr>
        <w:t>（一）各参赛队对不符合赛项规程规定的设备、工具、材料、计算机软硬件、竞赛执裁、赛场管理及工作人员的不规范行为等，可向赛项仲裁组提出申诉，申诉主体为参赛队领队。</w:t>
      </w:r>
    </w:p>
    <w:p w14:paraId="2F2953A2">
      <w:pPr>
        <w:widowControl/>
        <w:ind w:firstLine="480" w:firstLineChars="200"/>
      </w:pPr>
      <w:r>
        <w:rPr>
          <w:rFonts w:hint="eastAsia" w:ascii="仿宋" w:hAnsi="仿宋" w:cs="仿宋"/>
          <w:color w:val="000000"/>
          <w:lang w:bidi="ar"/>
        </w:rPr>
        <w:t xml:space="preserve">（二）仲裁人员的姓名、联系方式、工作地点应在竞赛期间向参赛队和工作人员公示，确保信息畅通并同时接受大众监督。 </w:t>
      </w:r>
    </w:p>
    <w:p w14:paraId="5F7A4B36">
      <w:pPr>
        <w:widowControl/>
        <w:ind w:firstLine="480" w:firstLineChars="200"/>
      </w:pPr>
      <w:r>
        <w:rPr>
          <w:rFonts w:hint="eastAsia" w:ascii="仿宋" w:hAnsi="仿宋" w:cs="仿宋"/>
          <w:color w:val="000000"/>
          <w:lang w:bidi="ar"/>
        </w:rPr>
        <w:t xml:space="preserve">（三）申诉启动时，由参赛队领队向赛项仲裁工作组递交亲笔签字同意的书面申诉报告。申诉报告应对申诉事件的现象、发生时间、涉及人员、申诉依据等进行充分、实事求是的叙述。非书面申诉不予受理。 </w:t>
      </w:r>
    </w:p>
    <w:p w14:paraId="71A43CE4">
      <w:pPr>
        <w:widowControl/>
        <w:ind w:firstLine="480" w:firstLineChars="200"/>
      </w:pPr>
      <w:r>
        <w:rPr>
          <w:rFonts w:hint="eastAsia" w:ascii="仿宋" w:hAnsi="仿宋" w:cs="仿宋"/>
          <w:color w:val="000000"/>
          <w:lang w:bidi="ar"/>
        </w:rPr>
        <w:t xml:space="preserve">（四）提出申诉应在赛项比赛结束后 2 小时内提出。超过 2 小时不予受理。 </w:t>
      </w:r>
    </w:p>
    <w:p w14:paraId="44C0F4B5">
      <w:pPr>
        <w:widowControl/>
        <w:ind w:firstLine="480" w:firstLineChars="200"/>
      </w:pPr>
      <w:r>
        <w:rPr>
          <w:rFonts w:hint="eastAsia" w:ascii="仿宋" w:hAnsi="仿宋" w:cs="仿宋"/>
          <w:color w:val="000000"/>
          <w:lang w:bidi="ar"/>
        </w:rPr>
        <w:t xml:space="preserve">（五）赛项仲裁组在接到申诉报告后的 2 小时内组织复议，并及时将复议结果以书面形式告知申诉方。申诉方对复议结果仍有异议，可由领队向大赛仲裁工作组提出申诉。大赛仲裁工作组的仲裁结果为最终结果。 </w:t>
      </w:r>
    </w:p>
    <w:p w14:paraId="3978A397">
      <w:pPr>
        <w:widowControl/>
        <w:ind w:firstLine="480" w:firstLineChars="200"/>
      </w:pPr>
      <w:r>
        <w:rPr>
          <w:rFonts w:hint="eastAsia" w:ascii="仿宋" w:hAnsi="仿宋" w:cs="仿宋"/>
          <w:color w:val="000000"/>
          <w:lang w:bidi="ar"/>
        </w:rPr>
        <w:t xml:space="preserve">（六）申诉方不得以任何理由拒绝接收仲裁结果；不得以任何理由采取过激行为扰乱赛场秩序。仲裁结果由申诉人签收，不能代收；如在约定时间和地点申诉人离开，视为自行放弃申诉。 </w:t>
      </w:r>
    </w:p>
    <w:p w14:paraId="6428978B">
      <w:pPr>
        <w:widowControl/>
        <w:ind w:firstLine="480" w:firstLineChars="200"/>
      </w:pPr>
      <w:r>
        <w:rPr>
          <w:rFonts w:hint="eastAsia" w:ascii="仿宋" w:hAnsi="仿宋" w:cs="仿宋"/>
          <w:color w:val="000000"/>
          <w:lang w:bidi="ar"/>
        </w:rPr>
        <w:t xml:space="preserve">（七）申诉方可随时提出放弃申诉。 </w:t>
      </w:r>
    </w:p>
    <w:p w14:paraId="044A9879">
      <w:pPr>
        <w:ind w:firstLine="480" w:firstLineChars="200"/>
      </w:pPr>
    </w:p>
    <w:sectPr>
      <w:pgSz w:w="11910" w:h="16840"/>
      <w:pgMar w:top="1520" w:right="1540" w:bottom="280" w:left="1680" w:header="720" w:footer="720" w:gutter="0"/>
      <w:cols w:equalWidth="0" w:num="1">
        <w:col w:w="869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trackRevisions w:val="1"/>
  <w:documentProtection w:enforcement="0"/>
  <w:defaultTabStop w:val="720"/>
  <w:drawingGridHorizontalSpacing w:val="120"/>
  <w:drawingGridVerticalSpacing w:val="120"/>
  <w:doNotUseMarginsForDrawingGridOrigin w:val="1"/>
  <w:drawingGridHorizontalOrigin w:val="1800"/>
  <w:drawingGridVerticalOrigin w:val="1440"/>
  <w:doNotShadeFormData w:val="1"/>
  <w:noPunctuationKerning w:val="1"/>
  <w:characterSpacingControl w:val="doNotCompress"/>
  <w:doNotValidateAgainstSchema/>
  <w:doNotDemarcateInvalidXml/>
  <w:footnotePr>
    <w:footnote w:id="0"/>
    <w:footnote w:id="1"/>
  </w:footnotePr>
  <w:endnotePr>
    <w:endnote w:id="0"/>
    <w:endnote w:id="1"/>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Q5YzU0N2UxYTRlYTNlMjBmM2ViODJiZTZkMzA5ZGYifQ=="/>
  </w:docVars>
  <w:rsids>
    <w:rsidRoot w:val="00A45DCD"/>
    <w:rsid w:val="0000773D"/>
    <w:rsid w:val="00007F70"/>
    <w:rsid w:val="0001093C"/>
    <w:rsid w:val="00037623"/>
    <w:rsid w:val="00057ACE"/>
    <w:rsid w:val="000706B6"/>
    <w:rsid w:val="000A223F"/>
    <w:rsid w:val="000C318A"/>
    <w:rsid w:val="000C40D9"/>
    <w:rsid w:val="000F0573"/>
    <w:rsid w:val="00104857"/>
    <w:rsid w:val="00111E44"/>
    <w:rsid w:val="00137324"/>
    <w:rsid w:val="00152082"/>
    <w:rsid w:val="001763B0"/>
    <w:rsid w:val="001814CA"/>
    <w:rsid w:val="001D2D8C"/>
    <w:rsid w:val="001D7B8D"/>
    <w:rsid w:val="001F29C8"/>
    <w:rsid w:val="00236F1B"/>
    <w:rsid w:val="00296EE4"/>
    <w:rsid w:val="002A14F4"/>
    <w:rsid w:val="002A4DA2"/>
    <w:rsid w:val="002B6C21"/>
    <w:rsid w:val="002B6C8A"/>
    <w:rsid w:val="00311E57"/>
    <w:rsid w:val="00326149"/>
    <w:rsid w:val="00337695"/>
    <w:rsid w:val="0034598B"/>
    <w:rsid w:val="00351E38"/>
    <w:rsid w:val="00354361"/>
    <w:rsid w:val="00371349"/>
    <w:rsid w:val="00381457"/>
    <w:rsid w:val="00385F29"/>
    <w:rsid w:val="00391D64"/>
    <w:rsid w:val="003953D5"/>
    <w:rsid w:val="00411EED"/>
    <w:rsid w:val="0043285D"/>
    <w:rsid w:val="004339E5"/>
    <w:rsid w:val="004369D3"/>
    <w:rsid w:val="0044704A"/>
    <w:rsid w:val="00481FC3"/>
    <w:rsid w:val="004E75C8"/>
    <w:rsid w:val="004F7137"/>
    <w:rsid w:val="00557FEB"/>
    <w:rsid w:val="00560E95"/>
    <w:rsid w:val="00566A3C"/>
    <w:rsid w:val="00577415"/>
    <w:rsid w:val="005B243F"/>
    <w:rsid w:val="005E2B51"/>
    <w:rsid w:val="005F1EFC"/>
    <w:rsid w:val="005F41A7"/>
    <w:rsid w:val="006136F0"/>
    <w:rsid w:val="00630DE8"/>
    <w:rsid w:val="00667A86"/>
    <w:rsid w:val="006952D2"/>
    <w:rsid w:val="007045E7"/>
    <w:rsid w:val="007440CF"/>
    <w:rsid w:val="00756416"/>
    <w:rsid w:val="00770E95"/>
    <w:rsid w:val="0077141E"/>
    <w:rsid w:val="007A0356"/>
    <w:rsid w:val="00834963"/>
    <w:rsid w:val="00845B18"/>
    <w:rsid w:val="00846CE7"/>
    <w:rsid w:val="00864C9D"/>
    <w:rsid w:val="00865BA6"/>
    <w:rsid w:val="00895861"/>
    <w:rsid w:val="0093481A"/>
    <w:rsid w:val="00953191"/>
    <w:rsid w:val="009832A6"/>
    <w:rsid w:val="009A3F7A"/>
    <w:rsid w:val="009B2AF3"/>
    <w:rsid w:val="009B57CD"/>
    <w:rsid w:val="009D4CEE"/>
    <w:rsid w:val="009E7E5B"/>
    <w:rsid w:val="009F5705"/>
    <w:rsid w:val="00A45DCD"/>
    <w:rsid w:val="00A523AB"/>
    <w:rsid w:val="00A73C69"/>
    <w:rsid w:val="00AF4678"/>
    <w:rsid w:val="00B329D7"/>
    <w:rsid w:val="00B352D3"/>
    <w:rsid w:val="00B37D11"/>
    <w:rsid w:val="00B52110"/>
    <w:rsid w:val="00B57E11"/>
    <w:rsid w:val="00B60D5C"/>
    <w:rsid w:val="00B64C83"/>
    <w:rsid w:val="00B83E15"/>
    <w:rsid w:val="00B92560"/>
    <w:rsid w:val="00BE58F5"/>
    <w:rsid w:val="00BF778B"/>
    <w:rsid w:val="00C223CA"/>
    <w:rsid w:val="00C42744"/>
    <w:rsid w:val="00CA7A43"/>
    <w:rsid w:val="00CE12F6"/>
    <w:rsid w:val="00D041CD"/>
    <w:rsid w:val="00D3703D"/>
    <w:rsid w:val="00DA214E"/>
    <w:rsid w:val="00DC6015"/>
    <w:rsid w:val="00DF7E7B"/>
    <w:rsid w:val="00E05CE3"/>
    <w:rsid w:val="00E15694"/>
    <w:rsid w:val="00E646DA"/>
    <w:rsid w:val="00EB2401"/>
    <w:rsid w:val="00EC38F1"/>
    <w:rsid w:val="00EF295A"/>
    <w:rsid w:val="00F2505D"/>
    <w:rsid w:val="00F81EC3"/>
    <w:rsid w:val="00FB205E"/>
    <w:rsid w:val="00FD11C8"/>
    <w:rsid w:val="00FD40ED"/>
    <w:rsid w:val="020F46C0"/>
    <w:rsid w:val="07624054"/>
    <w:rsid w:val="08852948"/>
    <w:rsid w:val="0A706436"/>
    <w:rsid w:val="0B2B362C"/>
    <w:rsid w:val="0BBA4FFF"/>
    <w:rsid w:val="10643A13"/>
    <w:rsid w:val="10F53075"/>
    <w:rsid w:val="10FE14EA"/>
    <w:rsid w:val="11190962"/>
    <w:rsid w:val="11270A41"/>
    <w:rsid w:val="12C64289"/>
    <w:rsid w:val="162D4D4B"/>
    <w:rsid w:val="16353C00"/>
    <w:rsid w:val="1BED0AD9"/>
    <w:rsid w:val="1DF0665E"/>
    <w:rsid w:val="1F470500"/>
    <w:rsid w:val="1F7B721C"/>
    <w:rsid w:val="1F7E2174"/>
    <w:rsid w:val="235651B5"/>
    <w:rsid w:val="23713D9D"/>
    <w:rsid w:val="24945727"/>
    <w:rsid w:val="249935AC"/>
    <w:rsid w:val="24DD793C"/>
    <w:rsid w:val="25F211C5"/>
    <w:rsid w:val="28795BCE"/>
    <w:rsid w:val="298760C9"/>
    <w:rsid w:val="2A9860B3"/>
    <w:rsid w:val="2B2F07C6"/>
    <w:rsid w:val="2FA774C5"/>
    <w:rsid w:val="33E34843"/>
    <w:rsid w:val="382316B2"/>
    <w:rsid w:val="38F44DFD"/>
    <w:rsid w:val="39241B86"/>
    <w:rsid w:val="39A607ED"/>
    <w:rsid w:val="3AEC66D3"/>
    <w:rsid w:val="3EBC016B"/>
    <w:rsid w:val="3F4168C2"/>
    <w:rsid w:val="42641245"/>
    <w:rsid w:val="454315E6"/>
    <w:rsid w:val="47C52EDA"/>
    <w:rsid w:val="47D227AD"/>
    <w:rsid w:val="490E1F0B"/>
    <w:rsid w:val="498846D2"/>
    <w:rsid w:val="49920446"/>
    <w:rsid w:val="49AA7DB2"/>
    <w:rsid w:val="4A2371B8"/>
    <w:rsid w:val="4BAD77B9"/>
    <w:rsid w:val="4BE17463"/>
    <w:rsid w:val="4CD03BD8"/>
    <w:rsid w:val="51C13FBE"/>
    <w:rsid w:val="53A40CC6"/>
    <w:rsid w:val="548B440F"/>
    <w:rsid w:val="54AE00FE"/>
    <w:rsid w:val="559317C9"/>
    <w:rsid w:val="568A7075"/>
    <w:rsid w:val="5AB26B9A"/>
    <w:rsid w:val="5BBC1352"/>
    <w:rsid w:val="5D55380D"/>
    <w:rsid w:val="5DA86032"/>
    <w:rsid w:val="5F053010"/>
    <w:rsid w:val="631F6D97"/>
    <w:rsid w:val="649C2199"/>
    <w:rsid w:val="66B43C9A"/>
    <w:rsid w:val="66C01BFF"/>
    <w:rsid w:val="67F65BEC"/>
    <w:rsid w:val="6947134B"/>
    <w:rsid w:val="6A31115D"/>
    <w:rsid w:val="6A4D243B"/>
    <w:rsid w:val="70EB475C"/>
    <w:rsid w:val="752455BD"/>
    <w:rsid w:val="754F5D1D"/>
    <w:rsid w:val="763E0E8A"/>
    <w:rsid w:val="78D6184E"/>
    <w:rsid w:val="7A015D4B"/>
    <w:rsid w:val="7D2F59D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14:defaultImageDpi w14:val="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adjustRightInd w:val="0"/>
      <w:spacing w:line="360" w:lineRule="auto"/>
    </w:pPr>
    <w:rPr>
      <w:rFonts w:ascii="Times New Roman" w:hAnsi="Times New Roman" w:eastAsia="仿宋" w:cs="Times New Roman"/>
      <w:sz w:val="24"/>
      <w:szCs w:val="24"/>
      <w:lang w:val="en-US" w:eastAsia="zh-CN" w:bidi="ar-SA"/>
    </w:rPr>
  </w:style>
  <w:style w:type="paragraph" w:styleId="2">
    <w:name w:val="heading 1"/>
    <w:basedOn w:val="1"/>
    <w:next w:val="1"/>
    <w:link w:val="11"/>
    <w:autoRedefine/>
    <w:qFormat/>
    <w:uiPriority w:val="1"/>
    <w:pPr>
      <w:spacing w:before="120" w:beforeLines="50" w:after="120" w:afterLines="50"/>
      <w:outlineLvl w:val="0"/>
    </w:pPr>
    <w:rPr>
      <w:rFonts w:ascii="仿宋" w:cs="仿宋"/>
      <w:b/>
      <w:bCs/>
      <w:sz w:val="30"/>
      <w:szCs w:val="32"/>
    </w:rPr>
  </w:style>
  <w:style w:type="paragraph" w:styleId="3">
    <w:name w:val="heading 2"/>
    <w:basedOn w:val="1"/>
    <w:next w:val="1"/>
    <w:link w:val="12"/>
    <w:autoRedefine/>
    <w:unhideWhenUsed/>
    <w:qFormat/>
    <w:uiPriority w:val="9"/>
    <w:pPr>
      <w:keepNext/>
      <w:keepLines/>
      <w:spacing w:before="260" w:after="260"/>
      <w:outlineLvl w:val="1"/>
    </w:pPr>
    <w:rPr>
      <w:rFonts w:asciiTheme="majorHAnsi" w:hAnsiTheme="majorHAnsi"/>
      <w:b/>
      <w:bCs/>
      <w:sz w:val="28"/>
      <w:szCs w:val="32"/>
    </w:rPr>
  </w:style>
  <w:style w:type="paragraph" w:styleId="4">
    <w:name w:val="heading 3"/>
    <w:basedOn w:val="1"/>
    <w:next w:val="1"/>
    <w:link w:val="13"/>
    <w:autoRedefine/>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14"/>
    <w:autoRedefine/>
    <w:qFormat/>
    <w:uiPriority w:val="1"/>
    <w:pPr>
      <w:ind w:left="120"/>
    </w:pPr>
    <w:rPr>
      <w:rFonts w:ascii="仿宋" w:cs="仿宋"/>
      <w:sz w:val="28"/>
      <w:szCs w:val="28"/>
    </w:rPr>
  </w:style>
  <w:style w:type="paragraph" w:styleId="6">
    <w:name w:val="footer"/>
    <w:basedOn w:val="1"/>
    <w:link w:val="18"/>
    <w:autoRedefine/>
    <w:unhideWhenUsed/>
    <w:qFormat/>
    <w:uiPriority w:val="99"/>
    <w:pPr>
      <w:tabs>
        <w:tab w:val="center" w:pos="4153"/>
        <w:tab w:val="right" w:pos="8306"/>
      </w:tabs>
      <w:snapToGrid w:val="0"/>
    </w:pPr>
    <w:rPr>
      <w:sz w:val="18"/>
      <w:szCs w:val="18"/>
    </w:rPr>
  </w:style>
  <w:style w:type="paragraph" w:styleId="7">
    <w:name w:val="header"/>
    <w:basedOn w:val="1"/>
    <w:link w:val="17"/>
    <w:autoRedefine/>
    <w:unhideWhenUsed/>
    <w:qFormat/>
    <w:uiPriority w:val="99"/>
    <w:pPr>
      <w:tabs>
        <w:tab w:val="center" w:pos="4153"/>
        <w:tab w:val="right" w:pos="8306"/>
      </w:tabs>
      <w:snapToGrid w:val="0"/>
      <w:jc w:val="center"/>
    </w:pPr>
    <w:rPr>
      <w:sz w:val="18"/>
      <w:szCs w:val="18"/>
    </w:rPr>
  </w:style>
  <w:style w:type="table" w:styleId="9">
    <w:name w:val="Table Grid"/>
    <w:basedOn w:val="8"/>
    <w:autoRedefine/>
    <w:qFormat/>
    <w:uiPriority w:val="39"/>
    <w:rP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1 字符"/>
    <w:basedOn w:val="10"/>
    <w:link w:val="2"/>
    <w:autoRedefine/>
    <w:qFormat/>
    <w:uiPriority w:val="1"/>
    <w:rPr>
      <w:rFonts w:ascii="仿宋" w:eastAsia="仿宋" w:cs="仿宋"/>
      <w:b/>
      <w:bCs/>
      <w:sz w:val="30"/>
      <w:szCs w:val="32"/>
    </w:rPr>
  </w:style>
  <w:style w:type="character" w:customStyle="1" w:styleId="12">
    <w:name w:val="标题 2 字符"/>
    <w:basedOn w:val="10"/>
    <w:link w:val="3"/>
    <w:autoRedefine/>
    <w:qFormat/>
    <w:uiPriority w:val="9"/>
    <w:rPr>
      <w:rFonts w:eastAsia="仿宋" w:cs="Times New Roman" w:asciiTheme="majorHAnsi" w:hAnsiTheme="majorHAnsi"/>
      <w:b/>
      <w:bCs/>
      <w:kern w:val="0"/>
      <w:sz w:val="32"/>
      <w:szCs w:val="32"/>
    </w:rPr>
  </w:style>
  <w:style w:type="character" w:customStyle="1" w:styleId="13">
    <w:name w:val="标题 3 字符"/>
    <w:basedOn w:val="10"/>
    <w:link w:val="4"/>
    <w:autoRedefine/>
    <w:semiHidden/>
    <w:qFormat/>
    <w:uiPriority w:val="9"/>
    <w:rPr>
      <w:rFonts w:ascii="Times New Roman" w:hAnsi="Times New Roman" w:eastAsia="仿宋" w:cs="Times New Roman"/>
      <w:b/>
      <w:bCs/>
      <w:kern w:val="0"/>
      <w:sz w:val="32"/>
      <w:szCs w:val="32"/>
    </w:rPr>
  </w:style>
  <w:style w:type="character" w:customStyle="1" w:styleId="14">
    <w:name w:val="正文文本 字符"/>
    <w:basedOn w:val="10"/>
    <w:link w:val="5"/>
    <w:autoRedefine/>
    <w:semiHidden/>
    <w:qFormat/>
    <w:uiPriority w:val="99"/>
    <w:rPr>
      <w:rFonts w:ascii="Times New Roman" w:hAnsi="Times New Roman" w:cs="Times New Roman"/>
      <w:kern w:val="0"/>
      <w:sz w:val="24"/>
      <w:szCs w:val="24"/>
    </w:rPr>
  </w:style>
  <w:style w:type="paragraph" w:styleId="15">
    <w:name w:val="List Paragraph"/>
    <w:basedOn w:val="1"/>
    <w:autoRedefine/>
    <w:qFormat/>
    <w:uiPriority w:val="1"/>
  </w:style>
  <w:style w:type="paragraph" w:customStyle="1" w:styleId="16">
    <w:name w:val="Table Paragraph"/>
    <w:basedOn w:val="1"/>
    <w:autoRedefine/>
    <w:qFormat/>
    <w:uiPriority w:val="1"/>
  </w:style>
  <w:style w:type="character" w:customStyle="1" w:styleId="17">
    <w:name w:val="页眉 字符"/>
    <w:basedOn w:val="10"/>
    <w:link w:val="7"/>
    <w:autoRedefine/>
    <w:qFormat/>
    <w:uiPriority w:val="99"/>
    <w:rPr>
      <w:rFonts w:ascii="Times New Roman" w:hAnsi="Times New Roman" w:cs="Times New Roman"/>
      <w:kern w:val="0"/>
      <w:sz w:val="18"/>
      <w:szCs w:val="18"/>
    </w:rPr>
  </w:style>
  <w:style w:type="character" w:customStyle="1" w:styleId="18">
    <w:name w:val="页脚 字符"/>
    <w:basedOn w:val="10"/>
    <w:link w:val="6"/>
    <w:autoRedefine/>
    <w:qFormat/>
    <w:uiPriority w:val="99"/>
    <w:rPr>
      <w:rFonts w:ascii="Times New Roman" w:hAnsi="Times New Roman" w:cs="Times New Roman"/>
      <w:kern w:val="0"/>
      <w:sz w:val="18"/>
      <w:szCs w:val="18"/>
    </w:rPr>
  </w:style>
  <w:style w:type="table" w:customStyle="1" w:styleId="19">
    <w:name w:val="Table Normal"/>
    <w:autoRedefine/>
    <w:semiHidden/>
    <w:unhideWhenUsed/>
    <w:qFormat/>
    <w:uiPriority w:val="0"/>
    <w:tblPr>
      <w:tblCellMar>
        <w:top w:w="0" w:type="dxa"/>
        <w:left w:w="0" w:type="dxa"/>
        <w:bottom w:w="0" w:type="dxa"/>
        <w:right w:w="0" w:type="dxa"/>
      </w:tblCellMar>
    </w:tblPr>
  </w:style>
  <w:style w:type="paragraph" w:customStyle="1" w:styleId="20">
    <w:name w:val="Table Text"/>
    <w:basedOn w:val="1"/>
    <w:autoRedefine/>
    <w:semiHidden/>
    <w:qFormat/>
    <w:uiPriority w:val="0"/>
    <w:pPr>
      <w:widowControl/>
      <w:kinsoku w:val="0"/>
      <w:snapToGrid w:val="0"/>
      <w:textAlignment w:val="baseline"/>
    </w:pPr>
    <w:rPr>
      <w:rFonts w:ascii="仿宋" w:hAnsi="仿宋" w:cs="仿宋"/>
      <w:color w:val="000000"/>
      <w:lang w:eastAsia="en-US"/>
    </w:rPr>
  </w:style>
  <w:style w:type="paragraph" w:customStyle="1" w:styleId="21">
    <w:name w:val="列出段落1"/>
    <w:basedOn w:val="1"/>
    <w:autoRedefine/>
    <w:qFormat/>
    <w:uiPriority w:val="99"/>
    <w:pPr>
      <w:ind w:firstLine="420" w:firstLineChars="200"/>
      <w:jc w:val="both"/>
    </w:pPr>
    <w:rPr>
      <w:rFonts w:ascii="Calibri" w:hAnsi="Calibri" w:cs="Calibri"/>
      <w:kern w:val="2"/>
      <w:sz w:val="21"/>
      <w:szCs w:val="21"/>
    </w:rPr>
  </w:style>
  <w:style w:type="paragraph" w:customStyle="1" w:styleId="22">
    <w:name w:val="Revision"/>
    <w:hidden/>
    <w:unhideWhenUsed/>
    <w:uiPriority w:val="99"/>
    <w:rPr>
      <w:rFonts w:ascii="Times New Roman" w:hAnsi="Times New Roman" w:eastAsia="仿宋" w:cs="Times New Roman"/>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F9AA6-8526-49F8-8281-1FDB42E64E13}">
  <ds:schemaRefs/>
</ds:datastoreItem>
</file>

<file path=docProps/app.xml><?xml version="1.0" encoding="utf-8"?>
<Properties xmlns="http://schemas.openxmlformats.org/officeDocument/2006/extended-properties" xmlns:vt="http://schemas.openxmlformats.org/officeDocument/2006/docPropsVTypes">
  <Template>Normal.dotm</Template>
  <Pages>10</Pages>
  <Words>6173</Words>
  <Characters>6510</Characters>
  <Lines>236</Lines>
  <Paragraphs>247</Paragraphs>
  <TotalTime>147</TotalTime>
  <ScaleCrop>false</ScaleCrop>
  <LinksUpToDate>false</LinksUpToDate>
  <CharactersWithSpaces>6588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2025-11-22T02:04:00Z</dcterms:created>
  <dc:creator>lenovo</dc:creator>
  <cp:lastModifiedBy>嗜睡小老虎</cp:lastModifiedBy>
  <dcterms:modified xsi:type="dcterms:W3CDTF">2025-12-11T00:19:24Z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y fmtid="{D5CDD505-2E9C-101B-9397-08002B2CF9AE}" pid="3" name="KSOProductBuildVer">
    <vt:lpwstr>2052-12.1.0.24034</vt:lpwstr>
  </property>
  <property fmtid="{D5CDD505-2E9C-101B-9397-08002B2CF9AE}" pid="4" name="ICV">
    <vt:lpwstr>B3E4FA6B17634BBA8FD9F1FDD2C6DB5C_13</vt:lpwstr>
  </property>
  <property fmtid="{D5CDD505-2E9C-101B-9397-08002B2CF9AE}" pid="5" name="KSOTemplateDocerSaveRecord">
    <vt:lpwstr>eyJoZGlkIjoiNTMyZjcyMjVlYjBiYjBiYjcyOGUwOTQ1ZmVjY2YxNGMiLCJ1c2VySWQiOiI2OTE1NDQzMDAifQ==</vt:lpwstr>
  </property>
</Properties>
</file>