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48"/>
          <w:szCs w:val="48"/>
        </w:rPr>
      </w:pPr>
      <w:r>
        <w:rPr>
          <w:rFonts w:hint="eastAsia" w:ascii="黑体" w:hAnsi="黑体" w:eastAsia="黑体" w:cs="黑体"/>
          <w:sz w:val="48"/>
          <w:szCs w:val="48"/>
        </w:rPr>
        <w:t>2023年</w:t>
      </w:r>
    </w:p>
    <w:p>
      <w:pPr>
        <w:spacing w:line="360" w:lineRule="auto"/>
        <w:jc w:val="center"/>
        <w:rPr>
          <w:rFonts w:ascii="黑体" w:hAnsi="黑体" w:eastAsia="黑体" w:cs="黑体"/>
          <w:sz w:val="48"/>
          <w:szCs w:val="48"/>
        </w:rPr>
      </w:pPr>
      <w:r>
        <w:rPr>
          <w:rFonts w:hint="eastAsia" w:ascii="黑体" w:hAnsi="黑体" w:eastAsia="黑体" w:cs="黑体"/>
          <w:sz w:val="48"/>
          <w:szCs w:val="48"/>
        </w:rPr>
        <w:t>河北省职业院校学生技能大赛</w:t>
      </w:r>
    </w:p>
    <w:p>
      <w:pPr>
        <w:spacing w:before="62" w:after="62" w:line="360" w:lineRule="auto"/>
        <w:jc w:val="center"/>
        <w:rPr>
          <w:rFonts w:ascii="黑体" w:hAnsi="黑体" w:eastAsia="黑体" w:cs="黑体"/>
          <w:sz w:val="48"/>
          <w:szCs w:val="48"/>
        </w:rPr>
      </w:pPr>
      <w:r>
        <w:rPr>
          <w:rFonts w:hint="eastAsia" w:ascii="黑体" w:hAnsi="黑体" w:eastAsia="黑体" w:cs="黑体"/>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赛项名称：Python编程技能竞赛</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拟举办时间：</w:t>
      </w:r>
      <w:r>
        <w:rPr>
          <w:rFonts w:hint="eastAsia" w:eastAsia="仿宋_GB2312"/>
          <w:b/>
          <w:sz w:val="30"/>
          <w:szCs w:val="30"/>
          <w:highlight w:val="yellow"/>
        </w:rPr>
        <w:t>202</w:t>
      </w:r>
      <w:r>
        <w:rPr>
          <w:rFonts w:hint="eastAsia" w:eastAsia="仿宋_GB2312"/>
          <w:b/>
          <w:sz w:val="30"/>
          <w:szCs w:val="30"/>
          <w:highlight w:val="yellow"/>
          <w:lang w:val="en-US" w:eastAsia="zh-CN"/>
        </w:rPr>
        <w:t>3</w:t>
      </w:r>
      <w:r>
        <w:rPr>
          <w:rFonts w:hint="eastAsia" w:eastAsia="仿宋_GB2312"/>
          <w:b/>
          <w:sz w:val="30"/>
          <w:szCs w:val="30"/>
          <w:highlight w:val="yellow"/>
        </w:rPr>
        <w:t>-05-26</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所属职教集团：河北省新一代信息技术职业教育集团</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申报单位(公章)：河北软件职业技术学院</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赛项组织负责人：许焕新</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联系电话:18603228158</w:t>
      </w:r>
    </w:p>
    <w:p>
      <w:pPr>
        <w:spacing w:before="62" w:after="62" w:line="500" w:lineRule="exact"/>
        <w:ind w:firstLine="1822" w:firstLineChars="605"/>
        <w:jc w:val="left"/>
        <w:rPr>
          <w:rFonts w:ascii="宋体" w:hAnsi="宋体"/>
          <w:b/>
          <w:color w:val="000000"/>
          <w:sz w:val="24"/>
        </w:rPr>
      </w:pPr>
      <w:r>
        <w:rPr>
          <w:rFonts w:hint="eastAsia" w:eastAsia="仿宋_GB2312"/>
          <w:b/>
          <w:sz w:val="30"/>
          <w:szCs w:val="30"/>
        </w:rPr>
        <w:t>填报日期：2022-10-19</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10"/>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color w:val="000000"/>
                <w:sz w:val="30"/>
                <w:szCs w:val="30"/>
              </w:rPr>
            </w:pPr>
          </w:p>
        </w:tc>
      </w:tr>
    </w:tbl>
    <w:p>
      <w:pPr>
        <w:pStyle w:val="19"/>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9"/>
        <w:tblW w:w="501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9"/>
        <w:gridCol w:w="726"/>
        <w:gridCol w:w="1422"/>
        <w:gridCol w:w="1150"/>
        <w:gridCol w:w="272"/>
        <w:gridCol w:w="583"/>
        <w:gridCol w:w="859"/>
        <w:gridCol w:w="214"/>
        <w:gridCol w:w="617"/>
        <w:gridCol w:w="883"/>
        <w:gridCol w:w="11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80"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姓名</w:t>
            </w:r>
          </w:p>
        </w:tc>
        <w:tc>
          <w:tcPr>
            <w:tcW w:w="214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sz w:val="24"/>
              </w:rPr>
              <w:t>许焕新</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性别</w:t>
            </w:r>
          </w:p>
        </w:tc>
        <w:tc>
          <w:tcPr>
            <w:tcW w:w="8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男</w:t>
            </w:r>
          </w:p>
        </w:tc>
        <w:tc>
          <w:tcPr>
            <w:tcW w:w="85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学历</w:t>
            </w:r>
          </w:p>
        </w:tc>
        <w:tc>
          <w:tcPr>
            <w:tcW w:w="8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本科</w:t>
            </w:r>
          </w:p>
        </w:tc>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学位</w:t>
            </w:r>
          </w:p>
        </w:tc>
        <w:tc>
          <w:tcPr>
            <w:tcW w:w="1145" w:type="dxa"/>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职称</w:t>
            </w:r>
          </w:p>
        </w:tc>
        <w:tc>
          <w:tcPr>
            <w:tcW w:w="214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教授</w:t>
            </w:r>
          </w:p>
        </w:tc>
        <w:tc>
          <w:tcPr>
            <w:tcW w:w="200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职务</w:t>
            </w:r>
          </w:p>
        </w:tc>
        <w:tc>
          <w:tcPr>
            <w:tcW w:w="3718"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系主任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工作单位</w:t>
            </w:r>
          </w:p>
        </w:tc>
        <w:tc>
          <w:tcPr>
            <w:tcW w:w="32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河北软件职业技术学院</w:t>
            </w:r>
          </w:p>
        </w:tc>
        <w:tc>
          <w:tcPr>
            <w:tcW w:w="8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邮箱</w:t>
            </w:r>
          </w:p>
        </w:tc>
        <w:tc>
          <w:tcPr>
            <w:tcW w:w="3718"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xuhuanxin@hbsi.edu.cn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联系电话</w:t>
            </w:r>
          </w:p>
        </w:tc>
        <w:tc>
          <w:tcPr>
            <w:tcW w:w="7871" w:type="dxa"/>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sz w:val="24"/>
              </w:rPr>
              <w:t>18603228158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80"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8"/>
                <w:szCs w:val="28"/>
              </w:rPr>
              <w:t>赛项基本情况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5" w:type="dxa"/>
            <w:gridSpan w:val="2"/>
            <w:shd w:val="clear" w:color="auto" w:fill="auto"/>
            <w:vAlign w:val="center"/>
          </w:tcPr>
          <w:p>
            <w:pPr>
              <w:jc w:val="center"/>
              <w:rPr>
                <w:rFonts w:ascii="宋体" w:hAnsi="宋体"/>
                <w:b/>
                <w:color w:val="000000"/>
                <w:sz w:val="24"/>
              </w:rPr>
            </w:pPr>
            <w:bookmarkStart w:id="0" w:name="_Hlk82090986"/>
            <w:r>
              <w:rPr>
                <w:rFonts w:hint="eastAsia" w:ascii="宋体" w:hAnsi="宋体"/>
                <w:b/>
                <w:color w:val="000000"/>
                <w:sz w:val="24"/>
              </w:rPr>
              <w:t>承办单位</w:t>
            </w:r>
          </w:p>
        </w:tc>
        <w:tc>
          <w:tcPr>
            <w:tcW w:w="7145" w:type="dxa"/>
            <w:gridSpan w:val="9"/>
            <w:shd w:val="clear" w:color="auto" w:fill="auto"/>
            <w:vAlign w:val="center"/>
          </w:tcPr>
          <w:p>
            <w:pPr>
              <w:jc w:val="center"/>
              <w:rPr>
                <w:rFonts w:ascii="宋体" w:hAnsi="宋体"/>
                <w:b/>
                <w:color w:val="000000"/>
                <w:sz w:val="24"/>
              </w:rPr>
            </w:pPr>
            <w:r>
              <w:rPr>
                <w:rFonts w:hint="eastAsia" w:ascii="宋体" w:hAnsi="宋体"/>
                <w:b/>
                <w:color w:val="000000"/>
                <w:sz w:val="24"/>
              </w:rPr>
              <w:t>河北软件职业技术学院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5" w:type="dxa"/>
            <w:gridSpan w:val="2"/>
            <w:shd w:val="clear" w:color="auto" w:fill="auto"/>
            <w:vAlign w:val="center"/>
          </w:tcPr>
          <w:p>
            <w:pPr>
              <w:jc w:val="center"/>
              <w:rPr>
                <w:rFonts w:ascii="宋体" w:hAnsi="宋体"/>
                <w:b/>
                <w:color w:val="000000"/>
                <w:sz w:val="24"/>
              </w:rPr>
            </w:pPr>
            <w:r>
              <w:rPr>
                <w:rFonts w:hint="eastAsia" w:ascii="宋体" w:hAnsi="宋体"/>
                <w:b/>
                <w:color w:val="000000"/>
                <w:sz w:val="24"/>
              </w:rPr>
              <w:t>申报途径</w:t>
            </w:r>
          </w:p>
        </w:tc>
        <w:tc>
          <w:tcPr>
            <w:tcW w:w="7145" w:type="dxa"/>
            <w:gridSpan w:val="9"/>
            <w:shd w:val="clear" w:color="auto" w:fill="auto"/>
            <w:vAlign w:val="center"/>
          </w:tcPr>
          <w:p>
            <w:pPr>
              <w:jc w:val="center"/>
              <w:rPr>
                <w:rFonts w:ascii="宋体" w:hAnsi="宋体"/>
                <w:b/>
                <w:color w:val="000000"/>
                <w:sz w:val="24"/>
              </w:rPr>
            </w:pPr>
            <w:r>
              <w:rPr>
                <w:rFonts w:hint="eastAsia" w:ascii="宋体" w:hAnsi="宋体"/>
                <w:b/>
                <w:color w:val="000000"/>
                <w:sz w:val="24"/>
              </w:rPr>
              <w:t>通过集团申报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5" w:type="dxa"/>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赛项名称</w:t>
            </w:r>
          </w:p>
        </w:tc>
        <w:tc>
          <w:tcPr>
            <w:tcW w:w="2844" w:type="dxa"/>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Python编程技能竞赛</w:t>
            </w:r>
          </w:p>
        </w:tc>
        <w:tc>
          <w:tcPr>
            <w:tcW w:w="1656"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所属集团</w:t>
            </w:r>
          </w:p>
        </w:tc>
        <w:tc>
          <w:tcPr>
            <w:tcW w:w="2645" w:type="dxa"/>
            <w:gridSpan w:val="3"/>
            <w:shd w:val="clear" w:color="auto" w:fill="auto"/>
            <w:vAlign w:val="center"/>
          </w:tcPr>
          <w:p>
            <w:pPr>
              <w:rPr>
                <w:rFonts w:ascii="宋体" w:hAnsi="宋体"/>
                <w:b/>
                <w:color w:val="000000"/>
                <w:sz w:val="24"/>
              </w:rPr>
            </w:pPr>
            <w:r>
              <w:rPr>
                <w:rFonts w:hint="eastAsia" w:ascii="宋体" w:hAnsi="宋体"/>
                <w:b/>
                <w:color w:val="000000"/>
                <w:sz w:val="24"/>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5" w:type="dxa"/>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赛事组别</w:t>
            </w:r>
          </w:p>
        </w:tc>
        <w:tc>
          <w:tcPr>
            <w:tcW w:w="2844"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高职组</w:t>
            </w:r>
          </w:p>
        </w:tc>
        <w:tc>
          <w:tcPr>
            <w:tcW w:w="1656"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赛项类别</w:t>
            </w:r>
          </w:p>
        </w:tc>
        <w:tc>
          <w:tcPr>
            <w:tcW w:w="2645"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个人赛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5" w:type="dxa"/>
            <w:gridSpan w:val="2"/>
            <w:shd w:val="clear" w:color="auto" w:fill="auto"/>
            <w:vAlign w:val="center"/>
          </w:tcPr>
          <w:p>
            <w:pPr>
              <w:jc w:val="center"/>
              <w:rPr>
                <w:rFonts w:ascii="宋体" w:hAnsi="宋体"/>
                <w:b/>
                <w:color w:val="000000"/>
                <w:sz w:val="24"/>
              </w:rPr>
            </w:pPr>
            <w:r>
              <w:rPr>
                <w:rFonts w:hint="eastAsia" w:ascii="宋体" w:hAnsi="宋体"/>
                <w:b/>
                <w:color w:val="000000"/>
                <w:sz w:val="24"/>
              </w:rPr>
              <w:t>所属</w:t>
            </w:r>
          </w:p>
          <w:p>
            <w:pPr>
              <w:jc w:val="center"/>
              <w:rPr>
                <w:rFonts w:ascii="宋体" w:hAnsi="宋体"/>
                <w:b/>
                <w:color w:val="000000"/>
                <w:sz w:val="24"/>
              </w:rPr>
            </w:pPr>
            <w:r>
              <w:rPr>
                <w:rFonts w:hint="eastAsia" w:ascii="宋体" w:hAnsi="宋体"/>
                <w:b/>
                <w:color w:val="000000"/>
                <w:sz w:val="24"/>
              </w:rPr>
              <w:t>专业类</w:t>
            </w:r>
          </w:p>
        </w:tc>
        <w:tc>
          <w:tcPr>
            <w:tcW w:w="2844" w:type="dxa"/>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电子信息大类-计算机类</w:t>
            </w:r>
          </w:p>
        </w:tc>
        <w:tc>
          <w:tcPr>
            <w:tcW w:w="1656"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应用</w:t>
            </w:r>
          </w:p>
          <w:p>
            <w:pPr>
              <w:jc w:val="center"/>
              <w:rPr>
                <w:rFonts w:ascii="宋体" w:hAnsi="宋体"/>
                <w:b/>
                <w:color w:val="000000"/>
                <w:sz w:val="24"/>
              </w:rPr>
            </w:pPr>
            <w:r>
              <w:rPr>
                <w:rFonts w:hint="eastAsia" w:ascii="宋体" w:hAnsi="宋体"/>
                <w:b/>
                <w:color w:val="000000"/>
                <w:sz w:val="24"/>
              </w:rPr>
              <w:t>产业领域</w:t>
            </w:r>
          </w:p>
        </w:tc>
        <w:tc>
          <w:tcPr>
            <w:tcW w:w="2645" w:type="dxa"/>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第三产业-信息传输、计算机服务和软件业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35" w:type="dxa"/>
            <w:gridSpan w:val="2"/>
            <w:shd w:val="clear" w:color="auto" w:fill="auto"/>
            <w:vAlign w:val="center"/>
          </w:tcPr>
          <w:p>
            <w:pPr>
              <w:jc w:val="center"/>
              <w:rPr>
                <w:rFonts w:ascii="宋体" w:hAnsi="宋体"/>
                <w:b/>
                <w:color w:val="000000"/>
                <w:sz w:val="24"/>
              </w:rPr>
            </w:pPr>
            <w:r>
              <w:rPr>
                <w:rFonts w:hint="eastAsia" w:ascii="宋体" w:hAnsi="宋体"/>
                <w:b/>
                <w:color w:val="000000"/>
                <w:sz w:val="24"/>
              </w:rPr>
              <w:t>参赛队伍</w:t>
            </w:r>
          </w:p>
          <w:p>
            <w:pPr>
              <w:jc w:val="center"/>
              <w:rPr>
                <w:rFonts w:ascii="宋体" w:hAnsi="宋体"/>
                <w:b/>
                <w:color w:val="000000"/>
                <w:sz w:val="24"/>
              </w:rPr>
            </w:pPr>
            <w:r>
              <w:rPr>
                <w:rFonts w:hint="eastAsia" w:ascii="宋体" w:hAnsi="宋体"/>
                <w:b/>
                <w:color w:val="000000"/>
                <w:sz w:val="24"/>
              </w:rPr>
              <w:t>规模上限/每队教师数/每队学生数</w:t>
            </w:r>
          </w:p>
        </w:tc>
        <w:tc>
          <w:tcPr>
            <w:tcW w:w="2844" w:type="dxa"/>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3/</w:t>
            </w:r>
            <w:r>
              <w:rPr>
                <w:rFonts w:hint="eastAsia" w:ascii="宋体" w:hAnsi="宋体" w:cs="宋体"/>
                <w:b/>
                <w:color w:val="000000"/>
                <w:sz w:val="24"/>
              </w:rPr>
              <w:t>1</w:t>
            </w:r>
            <w:r>
              <w:rPr>
                <w:rFonts w:ascii="宋体" w:hAnsi="宋体" w:cs="宋体"/>
                <w:b/>
                <w:color w:val="000000"/>
                <w:sz w:val="24"/>
              </w:rPr>
              <w:t>/</w:t>
            </w:r>
            <w:r>
              <w:rPr>
                <w:rFonts w:hint="eastAsia" w:ascii="宋体" w:hAnsi="宋体" w:cs="宋体"/>
                <w:b/>
                <w:color w:val="000000"/>
                <w:sz w:val="24"/>
              </w:rPr>
              <w:t>1</w:t>
            </w:r>
          </w:p>
        </w:tc>
        <w:tc>
          <w:tcPr>
            <w:tcW w:w="1656"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拟定</w:t>
            </w:r>
          </w:p>
          <w:p>
            <w:pPr>
              <w:jc w:val="center"/>
              <w:rPr>
                <w:rFonts w:ascii="宋体" w:hAnsi="宋体"/>
                <w:b/>
                <w:color w:val="000000"/>
                <w:sz w:val="24"/>
              </w:rPr>
            </w:pPr>
            <w:r>
              <w:rPr>
                <w:rFonts w:hint="eastAsia" w:ascii="宋体" w:hAnsi="宋体"/>
                <w:b/>
                <w:color w:val="000000"/>
                <w:sz w:val="24"/>
              </w:rPr>
              <w:t>比赛时间</w:t>
            </w:r>
          </w:p>
        </w:tc>
        <w:tc>
          <w:tcPr>
            <w:tcW w:w="2645" w:type="dxa"/>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2022-05-26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80" w:type="dxa"/>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jc w:val="left"/>
              <w:rPr>
                <w:rFonts w:ascii="宋体" w:hAnsi="宋体"/>
                <w:color w:val="000000"/>
                <w:sz w:val="28"/>
                <w:szCs w:val="28"/>
              </w:rPr>
            </w:pPr>
            <w:r>
              <w:rPr>
                <w:rFonts w:hint="eastAsia" w:ascii="宋体" w:hAnsi="宋体"/>
                <w:b/>
                <w:color w:val="000000"/>
                <w:sz w:val="28"/>
                <w:szCs w:val="28"/>
              </w:rPr>
              <w:t>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80" w:type="dxa"/>
            <w:gridSpan w:val="11"/>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b/>
                <w:color w:val="000000"/>
                <w:sz w:val="24"/>
              </w:rPr>
            </w:pPr>
          </w:p>
          <w:p>
            <w:r>
              <w:rPr>
                <w:rFonts w:hint="eastAsia"/>
              </w:rPr>
              <w:t>1、承办单位办学特色</w:t>
            </w:r>
          </w:p>
          <w:p>
            <w:pPr>
              <w:ind w:firstLine="420" w:firstLineChars="200"/>
            </w:pPr>
            <w:r>
              <w:rPr>
                <w:rFonts w:hint="eastAsia"/>
              </w:rPr>
              <w:t>学院毗邻雄安新区，是河北省教育厅直属的以信息技术教育为主的高职院校，是河北省唯一的国家示范性软件职业技术学院、第一批国家优质专科高等职业院校、河北省重点建设示范性高职院校、河北省高职高专人才培养工作水平评估优秀院校，是全国预征工作先进集体、河北省创业示范校。2018年荣获“亚太职业教育影响力50强”和全国“国防教育特色校”称号。</w:t>
            </w:r>
          </w:p>
          <w:p>
            <w:pPr>
              <w:ind w:firstLine="420" w:firstLineChars="200"/>
            </w:pPr>
            <w:r>
              <w:rPr>
                <w:rFonts w:hint="eastAsia"/>
              </w:rPr>
              <w:t>党建强：班子团结，政治清朗。营造了全心全意干事业，一心一意谋发展的良好局面，模范贯彻三重一大等重要决策制度，是政治巡视回头看免检单位。</w:t>
            </w:r>
          </w:p>
          <w:p>
            <w:pPr>
              <w:ind w:firstLine="420" w:firstLineChars="200"/>
            </w:pPr>
            <w:r>
              <w:rPr>
                <w:rFonts w:hint="eastAsia"/>
              </w:rPr>
              <w:t>特色明：立足高职，服务IT。是省内规模最大、专业方向划分最细、覆盖产业链最长的信息产业高素质技术技能人才培养基地，IT类专业数和学生数均超过70%。软件技术与动漫制作技术专业在河北省内综合排名第一。软件技术专业是全国划分最细、招生最多的专业。2018年牵头组建河北省新一代信息技术职业教育集团。</w:t>
            </w:r>
          </w:p>
          <w:p>
            <w:pPr>
              <w:ind w:firstLine="420" w:firstLineChars="200"/>
            </w:pPr>
            <w:r>
              <w:rPr>
                <w:rFonts w:hint="eastAsia"/>
              </w:rPr>
              <w:t>机制活：合作育人，合作发展。探索出“双主体育人”的“乐知学院”、服务全产业链的影视动漫学院、实施现代学徒制的“门窗学院”等多种合作新机制。与540余家知名企业实现合作，共有四项成果获省教学成果一、二、三等奖。2017年被确定为第二批国家现代学徒制试点院校。</w:t>
            </w:r>
          </w:p>
          <w:p>
            <w:pPr>
              <w:ind w:firstLine="420" w:firstLineChars="200"/>
            </w:pPr>
            <w:r>
              <w:rPr>
                <w:rFonts w:hint="eastAsia"/>
              </w:rPr>
              <w:t>改革深：科学治理，三教改革。完善了以章程为纲的“一章九制”制度体系，开展干部竞岗与全员竞聘，建设智慧校园提高治理水平。人才培养模式与教学教法改革成效显著。</w:t>
            </w:r>
          </w:p>
          <w:p>
            <w:pPr>
              <w:ind w:firstLine="420" w:firstLineChars="200"/>
            </w:pPr>
            <w:r>
              <w:rPr>
                <w:rFonts w:hint="eastAsia"/>
              </w:rPr>
              <w:t>质量高：德技双修，高薪就业。毕业生初次就业率95%以上，软件技术专业学生在全国同类专业中就业薪资排名第1，师生技能竞赛成绩突出，近3年获国家级奖项150多个，省级奖项200多个。</w:t>
            </w:r>
          </w:p>
          <w:p>
            <w:pPr>
              <w:ind w:firstLine="420" w:firstLineChars="200"/>
            </w:pPr>
            <w:r>
              <w:rPr>
                <w:rFonts w:hint="eastAsia"/>
              </w:rPr>
              <w:t>贡献大：对接战略，服务发展。是第1个实现服务雄安项目实质落地的高职院校，为新区举办创业和电子商务培训20多期，培训2000余人，完成项目研发20多项；服务京津冀协同发展，完成1800余项软件开发、测试，80余部电影、20部电视剧拟音制作；参与区域重大活动和技术服务与引领，参与制订行业标准3项，为中国电谷企业研发项目200余项，成为退役军人服务局培训定点院校。</w:t>
            </w:r>
          </w:p>
          <w:p>
            <w:pPr>
              <w:ind w:firstLine="420" w:firstLineChars="200"/>
            </w:pPr>
            <w:r>
              <w:rPr>
                <w:rFonts w:hint="eastAsia"/>
              </w:rPr>
              <w:t>海外响：一带一路，服务产能。在境内外两地建设“祖冲之学院”，培训泰国中资企业员工数百人次；两个专业教学标准和课程标准获得泰国认可；第一批20名泰国留学生将于今年9月入驻学院；与20所国外优秀院校或教育机构建立了友好合作关系，158名学生取得中加双重学历，派教师出访交流30余人次，在企业级国际大赛中获奖20余项。</w:t>
            </w:r>
          </w:p>
          <w:p>
            <w:r>
              <w:rPr>
                <w:rFonts w:hint="eastAsia"/>
              </w:rPr>
              <w:t>2、专业优势</w:t>
            </w:r>
          </w:p>
          <w:p>
            <w:pPr>
              <w:ind w:firstLine="420" w:firstLineChars="200"/>
            </w:pPr>
            <w:r>
              <w:rPr>
                <w:rFonts w:hint="eastAsia"/>
              </w:rPr>
              <w:t>河北软件职业技术学院</w:t>
            </w:r>
            <w:r>
              <w:rPr>
                <w:rFonts w:hint="eastAsia"/>
                <w:lang w:val="en-US" w:eastAsia="zh-CN"/>
              </w:rPr>
              <w:t>云计算</w:t>
            </w:r>
            <w:r>
              <w:rPr>
                <w:rFonts w:hint="eastAsia"/>
              </w:rPr>
              <w:t>技术应用专业，紧密对接国家战略和区域重点产业以及岗位群技术技能需求，培养高素质技能型的</w:t>
            </w:r>
            <w:r>
              <w:rPr>
                <w:rFonts w:hint="eastAsia"/>
                <w:lang w:val="en-US" w:eastAsia="zh-CN"/>
              </w:rPr>
              <w:t>云计算</w:t>
            </w:r>
            <w:r>
              <w:rPr>
                <w:rFonts w:hint="eastAsia"/>
              </w:rPr>
              <w:t>技术相关技术人才。</w:t>
            </w:r>
          </w:p>
          <w:p>
            <w:pPr>
              <w:ind w:firstLine="420" w:firstLineChars="200"/>
            </w:pPr>
            <w:r>
              <w:rPr>
                <w:rFonts w:hint="eastAsia"/>
              </w:rPr>
              <w:t>（1）深入推进教学改革。</w:t>
            </w:r>
            <w:r>
              <w:rPr>
                <w:rFonts w:hint="eastAsia"/>
                <w:lang w:val="en-US" w:eastAsia="zh-CN"/>
              </w:rPr>
              <w:t>云计算</w:t>
            </w:r>
            <w:r>
              <w:rPr>
                <w:rFonts w:hint="eastAsia"/>
              </w:rPr>
              <w:t>技术</w:t>
            </w:r>
            <w:r>
              <w:rPr>
                <w:rFonts w:hint="eastAsia"/>
                <w:lang w:val="en-US" w:eastAsia="zh-CN"/>
              </w:rPr>
              <w:t>应用</w:t>
            </w:r>
            <w:r>
              <w:rPr>
                <w:rFonts w:hint="eastAsia"/>
              </w:rPr>
              <w:t>专业教学团队对课程体系进行优化，并在全学年期间对大部分专业课程进行了项目化教学改革。不但提升教师的教学能力，也极大地调动了学生学习的热情，课堂教学质量明显改善。</w:t>
            </w:r>
          </w:p>
          <w:p>
            <w:pPr>
              <w:ind w:firstLine="420" w:firstLineChars="200"/>
            </w:pPr>
            <w:r>
              <w:rPr>
                <w:rFonts w:hint="eastAsia"/>
              </w:rPr>
              <w:t>（2）专业建设成效突出。在近年的学生技能竞赛、教师技能比赛中专业教学团队指导学生获得多项竞赛奖励，2021年全国行业职业技能竞赛第二届全国信息产业新技术职业技能竞赛计算机程序设计员（Python编程）竞赛全国总决赛</w:t>
            </w:r>
            <w:r>
              <w:rPr>
                <w:rFonts w:hint="eastAsia"/>
                <w:lang w:val="en-US" w:eastAsia="zh-CN"/>
              </w:rPr>
              <w:t>中，学生聂韶旭获得一等奖，指导教师来继敏获得优秀指导教师称号，教师崔海江、蔡飞参加个人赛，分别获得二等奖和三等奖；</w:t>
            </w:r>
            <w:r>
              <w:rPr>
                <w:rFonts w:hint="eastAsia"/>
              </w:rPr>
              <w:t>团队内王妍老师为河北省技术能手</w:t>
            </w:r>
            <w:r>
              <w:rPr>
                <w:rFonts w:hint="eastAsia"/>
                <w:lang w:eastAsia="zh-CN"/>
              </w:rPr>
              <w:t>；</w:t>
            </w:r>
            <w:r>
              <w:rPr>
                <w:rFonts w:hint="eastAsia"/>
                <w:lang w:val="en-US" w:eastAsia="zh-CN"/>
              </w:rPr>
              <w:t>来继敏</w:t>
            </w:r>
            <w:r>
              <w:rPr>
                <w:rFonts w:hint="eastAsia"/>
              </w:rPr>
              <w:t>老师、</w:t>
            </w:r>
            <w:r>
              <w:rPr>
                <w:rFonts w:hint="eastAsia"/>
                <w:lang w:val="en-US" w:eastAsia="zh-CN"/>
              </w:rPr>
              <w:t>张乃月</w:t>
            </w:r>
            <w:r>
              <w:rPr>
                <w:rFonts w:hint="eastAsia"/>
              </w:rPr>
              <w:t>老师为</w:t>
            </w:r>
            <w:r>
              <w:rPr>
                <w:rFonts w:hint="eastAsia"/>
                <w:lang w:eastAsia="zh-CN"/>
              </w:rPr>
              <w:t>“</w:t>
            </w:r>
            <w:r>
              <w:rPr>
                <w:rFonts w:hint="eastAsia"/>
                <w:lang w:val="en-US" w:eastAsia="zh-CN"/>
              </w:rPr>
              <w:t>1+X</w:t>
            </w:r>
            <w:r>
              <w:rPr>
                <w:rFonts w:hint="eastAsia"/>
                <w:lang w:eastAsia="zh-CN"/>
              </w:rPr>
              <w:t>”</w:t>
            </w:r>
            <w:r>
              <w:rPr>
                <w:rFonts w:hint="eastAsia"/>
              </w:rPr>
              <w:t>云计算平台运维与开发职业技能认证高级讲师</w:t>
            </w:r>
            <w:r>
              <w:rPr>
                <w:rFonts w:hint="eastAsia"/>
                <w:lang w:eastAsia="zh-CN"/>
              </w:rPr>
              <w:t>，</w:t>
            </w:r>
            <w:r>
              <w:rPr>
                <w:rFonts w:hint="eastAsia"/>
                <w:lang w:val="en-US" w:eastAsia="zh-CN"/>
              </w:rPr>
              <w:t>来继敏老师为“1+X”小程序云开发腾讯云认证首席讲师；团队成员来继敏参与云计算技术应用国家教学标准制定</w:t>
            </w:r>
            <w:r>
              <w:rPr>
                <w:rFonts w:hint="eastAsia"/>
              </w:rPr>
              <w:t>。</w:t>
            </w:r>
          </w:p>
          <w:p>
            <w:r>
              <w:rPr>
                <w:rFonts w:hint="eastAsia"/>
              </w:rPr>
              <w:t>（4）校企合作成果显著。</w:t>
            </w:r>
            <w:r>
              <w:rPr>
                <w:rFonts w:hint="eastAsia"/>
                <w:lang w:val="en-US" w:eastAsia="zh-CN"/>
              </w:rPr>
              <w:t>云计算</w:t>
            </w:r>
            <w:r>
              <w:rPr>
                <w:rFonts w:hint="eastAsia"/>
              </w:rPr>
              <w:t>技术应用专业与</w:t>
            </w:r>
            <w:r>
              <w:rPr>
                <w:rFonts w:hint="eastAsia"/>
                <w:lang w:val="en-US" w:eastAsia="zh-CN"/>
              </w:rPr>
              <w:t>南京第五十五所技术</w:t>
            </w:r>
            <w:r>
              <w:rPr>
                <w:rFonts w:hint="eastAsia"/>
              </w:rPr>
              <w:t>有限公司、</w:t>
            </w:r>
            <w:r>
              <w:rPr>
                <w:rFonts w:hint="eastAsia"/>
                <w:highlight w:val="yellow"/>
              </w:rPr>
              <w:t>中教畅享（北京）科技有限公司</w:t>
            </w:r>
            <w:bookmarkStart w:id="25" w:name="_GoBack"/>
            <w:bookmarkEnd w:id="25"/>
            <w:r>
              <w:rPr>
                <w:rFonts w:hint="eastAsia"/>
              </w:rPr>
              <w:t>等公司开展了深入的校企合作，在项目合作、实训基地建设、学生实习实训等方面开展了全方位的合作，更好的实现学院与企业的双赢。</w:t>
            </w:r>
          </w:p>
          <w:p/>
          <w:p>
            <w:pPr>
              <w:rPr>
                <w:rFonts w:ascii="宋体" w:hAnsi="宋体"/>
                <w:b/>
                <w:color w:val="000000"/>
                <w:sz w:val="24"/>
              </w:rPr>
            </w:pPr>
          </w:p>
        </w:tc>
      </w:tr>
      <w:bookmarkEnd w:id="0"/>
    </w:tbl>
    <w:p>
      <w:pPr>
        <w:spacing w:line="100" w:lineRule="exact"/>
        <w:rPr>
          <w:rFonts w:eastAsia="黑体"/>
          <w:sz w:val="8"/>
        </w:rPr>
      </w:pPr>
    </w:p>
    <w:p>
      <w:pPr>
        <w:spacing w:line="100" w:lineRule="exact"/>
        <w:ind w:left="448"/>
        <w:rPr>
          <w:rFonts w:eastAsia="黑体"/>
          <w:sz w:val="8"/>
        </w:rPr>
      </w:pPr>
    </w:p>
    <w:tbl>
      <w:tblPr>
        <w:tblStyle w:val="10"/>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pPr>
              <w:widowControl/>
              <w:jc w:val="left"/>
              <w:outlineLvl w:val="0"/>
              <w:rPr>
                <w:rFonts w:eastAsia="黑体"/>
                <w:sz w:val="30"/>
                <w:szCs w:val="30"/>
              </w:rPr>
            </w:pPr>
            <w:bookmarkStart w:id="1" w:name="PO_provinceCode"/>
            <w:bookmarkEnd w:id="1"/>
            <w:bookmarkStart w:id="2" w:name="PO_keyWords"/>
            <w:bookmarkEnd w:id="2"/>
            <w:bookmarkStart w:id="3" w:name="PO_systemCode"/>
            <w:bookmarkEnd w:id="3"/>
            <w:bookmarkStart w:id="4" w:name="PO_province"/>
            <w:bookmarkEnd w:id="4"/>
            <w:bookmarkStart w:id="5" w:name="PO_system"/>
            <w:bookmarkEnd w:id="5"/>
          </w:p>
        </w:tc>
      </w:tr>
    </w:tbl>
    <w:tbl>
      <w:tblPr>
        <w:tblStyle w:val="10"/>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pPr>
              <w:widowControl/>
              <w:jc w:val="left"/>
              <w:outlineLvl w:val="0"/>
              <w:rPr>
                <w:rFonts w:eastAsia="黑体"/>
                <w:sz w:val="30"/>
                <w:szCs w:val="30"/>
              </w:rPr>
            </w:pPr>
          </w:p>
        </w:tc>
      </w:tr>
    </w:tbl>
    <w:tbl>
      <w:tblPr>
        <w:tblStyle w:val="10"/>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pPr>
              <w:widowControl/>
              <w:jc w:val="left"/>
              <w:outlineLvl w:val="0"/>
              <w:rPr>
                <w:rFonts w:eastAsia="黑体"/>
                <w:sz w:val="30"/>
                <w:szCs w:val="30"/>
              </w:rPr>
            </w:pPr>
          </w:p>
        </w:tc>
      </w:tr>
    </w:tbl>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70" w:hRule="atLeast"/>
          <w:jc w:val="center"/>
        </w:trPr>
        <w:tc>
          <w:tcPr>
            <w:tcW w:w="90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办赛条件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9" w:hRule="atLeast"/>
          <w:jc w:val="center"/>
        </w:trPr>
        <w:tc>
          <w:tcPr>
            <w:tcW w:w="9060" w:type="dxa"/>
            <w:tcBorders>
              <w:top w:val="single" w:color="000000" w:sz="8" w:space="0"/>
              <w:left w:val="single" w:color="000000" w:sz="8" w:space="0"/>
              <w:bottom w:val="single" w:color="000000" w:sz="8" w:space="0"/>
              <w:right w:val="single" w:color="000000" w:sz="8" w:space="0"/>
            </w:tcBorders>
            <w:shd w:val="clear" w:color="auto" w:fill="FFFFFF"/>
          </w:tcPr>
          <w:p>
            <w:pPr>
              <w:ind w:firstLine="420"/>
              <w:rPr>
                <w:color w:val="000000"/>
              </w:rPr>
            </w:pPr>
            <w:r>
              <w:rPr>
                <w:color w:val="000000"/>
              </w:rPr>
              <w:t>近三年我院成功举办过省级职业院校技能大赛近20项，其中云计算赛项从2019年-2021年连续三年承办。学院地理位置优越，距离高铁站 4.7公里 ，交通便捷，学院周围宾馆数量充足、住宿环境良好，能够满足来宾、专家、裁判和参赛选手的住宿需求。</w:t>
            </w:r>
          </w:p>
          <w:p>
            <w:pPr>
              <w:rPr>
                <w:color w:val="000000"/>
              </w:rPr>
            </w:pPr>
            <w:r>
              <w:rPr>
                <w:color w:val="000000"/>
              </w:rPr>
              <w:drawing>
                <wp:inline distT="0" distB="0" distL="0" distR="0">
                  <wp:extent cx="2743200" cy="2371725"/>
                  <wp:effectExtent l="0" t="0" r="0" b="5715"/>
                  <wp:docPr id="1" name="Drawing 0"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Generated"/>
                          <pic:cNvPicPr>
                            <a:picLocks noChangeAspect="1"/>
                          </pic:cNvPicPr>
                        </pic:nvPicPr>
                        <pic:blipFill>
                          <a:blip r:embed="rId6"/>
                          <a:stretch>
                            <a:fillRect/>
                          </a:stretch>
                        </pic:blipFill>
                        <pic:spPr>
                          <a:xfrm>
                            <a:off x="0" y="0"/>
                            <a:ext cx="2743200" cy="2371725"/>
                          </a:xfrm>
                          <a:prstGeom prst="rect">
                            <a:avLst/>
                          </a:prstGeom>
                        </pic:spPr>
                      </pic:pic>
                    </a:graphicData>
                  </a:graphic>
                </wp:inline>
              </w:drawing>
            </w:r>
            <w:r>
              <w:rPr>
                <w:color w:val="000000"/>
              </w:rPr>
              <w:drawing>
                <wp:inline distT="0" distB="0" distL="0" distR="0">
                  <wp:extent cx="2266950" cy="1752600"/>
                  <wp:effectExtent l="0" t="0" r="3810" b="0"/>
                  <wp:docPr id="2"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Generated"/>
                          <pic:cNvPicPr>
                            <a:picLocks noChangeAspect="1"/>
                          </pic:cNvPicPr>
                        </pic:nvPicPr>
                        <pic:blipFill>
                          <a:blip r:embed="rId7"/>
                          <a:stretch>
                            <a:fillRect/>
                          </a:stretch>
                        </pic:blipFill>
                        <pic:spPr>
                          <a:xfrm>
                            <a:off x="0" y="0"/>
                            <a:ext cx="2266950" cy="1752600"/>
                          </a:xfrm>
                          <a:prstGeom prst="rect">
                            <a:avLst/>
                          </a:prstGeom>
                        </pic:spPr>
                      </pic:pic>
                    </a:graphicData>
                  </a:graphic>
                </wp:inline>
              </w:drawing>
            </w:r>
          </w:p>
          <w:p>
            <w:pPr>
              <w:ind w:firstLine="432"/>
              <w:rPr>
                <w:color w:val="000000"/>
              </w:rPr>
            </w:pPr>
            <w:r>
              <w:rPr>
                <w:color w:val="000000"/>
              </w:rPr>
              <w:t>学院制定了保障大赛顺利实施的各种制度：河北省职业院校技能大赛赛项工作规划、河北省职业院校技能大赛赛项各类应急预案，防疫预案。</w:t>
            </w:r>
          </w:p>
          <w:p>
            <w:pPr>
              <w:ind w:firstLine="432"/>
              <w:rPr>
                <w:color w:val="000000"/>
              </w:rPr>
            </w:pPr>
            <w:r>
              <w:rPr>
                <w:rFonts w:hint="eastAsia"/>
                <w:color w:val="000000"/>
              </w:rPr>
              <w:t>学院制定保障各种赛项顺利实施的各种机制、制度及赛项应急预案。同时学院计算机应用工程系主任许焕新 2021年为“云计算” 国赛裁判，信息安全技术应用专业赵培琨老师担任2022年全国职业院校技能大赛网络安全裁判组成员，保证比赛的公平公正。</w:t>
            </w:r>
          </w:p>
          <w:p>
            <w:pPr>
              <w:rPr>
                <w:color w:val="000000"/>
              </w:rPr>
            </w:pPr>
            <w:r>
              <w:rPr>
                <w:color w:val="000000"/>
              </w:rPr>
              <w:t>学院为承办大赛新购置赛训设备，包括</w:t>
            </w:r>
            <w:r>
              <w:rPr>
                <w:rFonts w:hint="eastAsia"/>
                <w:color w:val="000000"/>
              </w:rPr>
              <w:t>比赛设备5</w:t>
            </w:r>
            <w:r>
              <w:rPr>
                <w:color w:val="000000"/>
              </w:rPr>
              <w:t>套，高性能机房3个，内有大赛用一体机电脑共 150台，均为Intel i7处理器、16G内存、1T SSD硬盘，性能优异，比赛场地宽裕，能够保证同时 100 支左右代表队的参赛需求。每个机房均能满足视频监控无死角。</w:t>
            </w:r>
          </w:p>
          <w:p>
            <w:pPr>
              <w:rPr>
                <w:color w:val="000000"/>
              </w:rPr>
            </w:pPr>
            <w:r>
              <w:rPr>
                <w:color w:val="000000"/>
              </w:rPr>
              <w:drawing>
                <wp:inline distT="0" distB="0" distL="0" distR="0">
                  <wp:extent cx="2685415" cy="1913890"/>
                  <wp:effectExtent l="0" t="0" r="12065" b="6350"/>
                  <wp:docPr id="3"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Generated"/>
                          <pic:cNvPicPr>
                            <a:picLocks noChangeAspect="1"/>
                          </pic:cNvPicPr>
                        </pic:nvPicPr>
                        <pic:blipFill>
                          <a:blip r:embed="rId8"/>
                          <a:stretch>
                            <a:fillRect/>
                          </a:stretch>
                        </pic:blipFill>
                        <pic:spPr>
                          <a:xfrm>
                            <a:off x="0" y="0"/>
                            <a:ext cx="2685415" cy="1913890"/>
                          </a:xfrm>
                          <a:prstGeom prst="rect">
                            <a:avLst/>
                          </a:prstGeom>
                        </pic:spPr>
                      </pic:pic>
                    </a:graphicData>
                  </a:graphic>
                </wp:inline>
              </w:drawing>
            </w:r>
            <w:r>
              <w:rPr>
                <w:color w:val="000000"/>
              </w:rPr>
              <w:drawing>
                <wp:inline distT="0" distB="0" distL="114300" distR="114300">
                  <wp:extent cx="2758440" cy="1926590"/>
                  <wp:effectExtent l="0" t="0" r="0" b="8890"/>
                  <wp:docPr id="9" name="图片 9" descr="2022年裁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年裁判"/>
                          <pic:cNvPicPr>
                            <a:picLocks noChangeAspect="1"/>
                          </pic:cNvPicPr>
                        </pic:nvPicPr>
                        <pic:blipFill>
                          <a:blip r:embed="rId9"/>
                          <a:stretch>
                            <a:fillRect/>
                          </a:stretch>
                        </pic:blipFill>
                        <pic:spPr>
                          <a:xfrm>
                            <a:off x="0" y="0"/>
                            <a:ext cx="2758440" cy="1926590"/>
                          </a:xfrm>
                          <a:prstGeom prst="rect">
                            <a:avLst/>
                          </a:prstGeom>
                        </pic:spPr>
                      </pic:pic>
                    </a:graphicData>
                  </a:graphic>
                </wp:inline>
              </w:drawing>
            </w:r>
          </w:p>
          <w:p>
            <w:pPr>
              <w:jc w:val="center"/>
              <w:rPr>
                <w:color w:val="000000"/>
              </w:rPr>
            </w:pPr>
            <w:r>
              <w:rPr>
                <w:color w:val="000000"/>
              </w:rPr>
              <w:drawing>
                <wp:inline distT="0" distB="0" distL="0" distR="0">
                  <wp:extent cx="2940050" cy="2199005"/>
                  <wp:effectExtent l="0" t="0" r="1270" b="10795"/>
                  <wp:docPr id="4" name="Drawing 3"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Generated"/>
                          <pic:cNvPicPr>
                            <a:picLocks noChangeAspect="1"/>
                          </pic:cNvPicPr>
                        </pic:nvPicPr>
                        <pic:blipFill>
                          <a:blip r:embed="rId10"/>
                          <a:stretch>
                            <a:fillRect/>
                          </a:stretch>
                        </pic:blipFill>
                        <pic:spPr>
                          <a:xfrm>
                            <a:off x="0" y="0"/>
                            <a:ext cx="2940050" cy="2199005"/>
                          </a:xfrm>
                          <a:prstGeom prst="rect">
                            <a:avLst/>
                          </a:prstGeom>
                        </pic:spPr>
                      </pic:pic>
                    </a:graphicData>
                  </a:graphic>
                </wp:inline>
              </w:drawing>
            </w:r>
          </w:p>
          <w:p>
            <w:pPr>
              <w:ind w:firstLine="420" w:firstLineChars="200"/>
              <w:jc w:val="left"/>
              <w:rPr>
                <w:color w:val="000000"/>
              </w:rPr>
            </w:pPr>
            <w:r>
              <w:rPr>
                <w:color w:val="000000"/>
              </w:rPr>
              <w:t>同时，学院还拥有举办开闭幕式的阶梯教室，报告厅和体育馆。</w:t>
            </w:r>
          </w:p>
          <w:p>
            <w:pPr>
              <w:jc w:val="center"/>
              <w:rPr>
                <w:color w:val="000000"/>
              </w:rPr>
            </w:pPr>
            <w:r>
              <w:rPr>
                <w:color w:val="000000"/>
              </w:rPr>
              <w:drawing>
                <wp:inline distT="0" distB="0" distL="0" distR="0">
                  <wp:extent cx="2047875" cy="1533525"/>
                  <wp:effectExtent l="0" t="0" r="9525" b="5715"/>
                  <wp:docPr id="5"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Generated"/>
                          <pic:cNvPicPr>
                            <a:picLocks noChangeAspect="1"/>
                          </pic:cNvPicPr>
                        </pic:nvPicPr>
                        <pic:blipFill>
                          <a:blip r:embed="rId11"/>
                          <a:stretch>
                            <a:fillRect/>
                          </a:stretch>
                        </pic:blipFill>
                        <pic:spPr>
                          <a:xfrm>
                            <a:off x="0" y="0"/>
                            <a:ext cx="2047875" cy="1533525"/>
                          </a:xfrm>
                          <a:prstGeom prst="rect">
                            <a:avLst/>
                          </a:prstGeom>
                        </pic:spPr>
                      </pic:pic>
                    </a:graphicData>
                  </a:graphic>
                </wp:inline>
              </w:drawing>
            </w:r>
            <w:r>
              <w:rPr>
                <w:color w:val="000000"/>
              </w:rPr>
              <w:drawing>
                <wp:inline distT="0" distB="0" distL="0" distR="0">
                  <wp:extent cx="2324100" cy="1533525"/>
                  <wp:effectExtent l="0" t="0" r="7620" b="5715"/>
                  <wp:docPr id="6" name="Drawing 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Generated"/>
                          <pic:cNvPicPr>
                            <a:picLocks noChangeAspect="1"/>
                          </pic:cNvPicPr>
                        </pic:nvPicPr>
                        <pic:blipFill>
                          <a:blip r:embed="rId12"/>
                          <a:stretch>
                            <a:fillRect/>
                          </a:stretch>
                        </pic:blipFill>
                        <pic:spPr>
                          <a:xfrm>
                            <a:off x="0" y="0"/>
                            <a:ext cx="2324100" cy="1533525"/>
                          </a:xfrm>
                          <a:prstGeom prst="rect">
                            <a:avLst/>
                          </a:prstGeom>
                        </pic:spPr>
                      </pic:pic>
                    </a:graphicData>
                  </a:graphic>
                </wp:inline>
              </w:drawing>
            </w:r>
          </w:p>
          <w:p>
            <w:pPr>
              <w:jc w:val="center"/>
              <w:rPr>
                <w:color w:val="000000"/>
              </w:rPr>
            </w:pPr>
          </w:p>
          <w:p>
            <w:pPr>
              <w:ind w:firstLine="420" w:firstLineChars="200"/>
              <w:rPr>
                <w:color w:val="000000"/>
              </w:rPr>
            </w:pPr>
            <w:r>
              <w:rPr>
                <w:color w:val="000000"/>
              </w:rPr>
              <w:t xml:space="preserve">我院与大赛设备供应商合作关系良好，设备供应商承诺能够为赛事举办提供优质的硬件设备和软件平台。 </w:t>
            </w:r>
          </w:p>
          <w:p>
            <w:pPr>
              <w:rPr>
                <w:rFonts w:ascii="宋体" w:hAns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60"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仿宋" w:hAnsi="仿宋"/>
                <w:snapToGrid w:val="0"/>
                <w:color w:val="000000"/>
                <w:szCs w:val="21"/>
              </w:rPr>
            </w:pPr>
            <w:r>
              <w:rPr>
                <w:rFonts w:hint="eastAsia" w:ascii="宋体" w:hAnsi="宋体"/>
                <w:b/>
                <w:color w:val="000000"/>
                <w:sz w:val="28"/>
                <w:szCs w:val="28"/>
              </w:rPr>
              <w:t>比赛内容（只非国赛赛项填写，国赛赛项依据国赛样题内容）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60" w:type="dxa"/>
            <w:tcBorders>
              <w:top w:val="single" w:color="000000" w:sz="8" w:space="0"/>
              <w:left w:val="single" w:color="000000" w:sz="8" w:space="0"/>
              <w:bottom w:val="single" w:color="000000" w:sz="8" w:space="0"/>
              <w:right w:val="single" w:color="000000" w:sz="8" w:space="0"/>
            </w:tcBorders>
            <w:shd w:val="clear" w:color="auto" w:fill="FFFFFF"/>
          </w:tcPr>
          <w:p>
            <w:pPr>
              <w:spacing w:line="360" w:lineRule="auto"/>
              <w:ind w:firstLine="480" w:firstLineChars="200"/>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赛项以Python语言为考察语言，从语言基础与算法设计、网页与文本分析和数据处理与分析三方面出发设置考察任务，并以参赛选手任务的完成度、完成任务的质量以及参赛选手自身的职业素养作为竞赛指标，综合考察参赛选手的Python语言程序设计能力与解决问题的能力。</w:t>
            </w:r>
          </w:p>
          <w:p>
            <w:pPr>
              <w:spacing w:line="360" w:lineRule="auto"/>
              <w:ind w:firstLine="480" w:firstLineChars="200"/>
              <w:jc w:val="left"/>
              <w:rPr>
                <w:rFonts w:hint="eastAsia" w:ascii="仿宋" w:hAnsi="仿宋" w:eastAsia="仿宋"/>
                <w:color w:val="000000" w:themeColor="text1"/>
                <w:sz w:val="24"/>
                <w:lang w:eastAsia="zh-CN"/>
                <w14:textFill>
                  <w14:solidFill>
                    <w14:schemeClr w14:val="tx1"/>
                  </w14:solidFill>
                </w14:textFill>
              </w:rPr>
            </w:pPr>
          </w:p>
          <w:p>
            <w:pPr>
              <w:spacing w:line="360" w:lineRule="auto"/>
              <w:ind w:firstLine="480" w:firstLineChars="200"/>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Python语言基础与算法设计</w:t>
            </w:r>
          </w:p>
          <w:p>
            <w:pPr>
              <w:spacing w:line="360" w:lineRule="auto"/>
              <w:ind w:firstLine="480" w:firstLineChars="200"/>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本部分重点考察参赛选手对于Python基础语法和常见计算机算法的掌握，要求</w:t>
            </w:r>
            <w:r>
              <w:rPr>
                <w:rFonts w:hint="eastAsia" w:ascii="仿宋" w:hAnsi="仿宋" w:eastAsia="仿宋"/>
                <w:color w:val="000000" w:themeColor="text1"/>
                <w:sz w:val="24"/>
                <w:lang w:val="en-US" w:eastAsia="zh-CN"/>
                <w14:textFill>
                  <w14:solidFill>
                    <w14:schemeClr w14:val="tx1"/>
                  </w14:solidFill>
                </w14:textFill>
              </w:rPr>
              <w:t>参赛选手</w:t>
            </w:r>
            <w:r>
              <w:rPr>
                <w:rFonts w:hint="eastAsia" w:ascii="仿宋" w:hAnsi="仿宋" w:eastAsia="仿宋"/>
                <w:color w:val="000000" w:themeColor="text1"/>
                <w:sz w:val="24"/>
                <w14:textFill>
                  <w14:solidFill>
                    <w14:schemeClr w14:val="tx1"/>
                  </w14:solidFill>
                </w14:textFill>
              </w:rPr>
              <w:t>能够根据</w:t>
            </w:r>
            <w:r>
              <w:rPr>
                <w:rFonts w:hint="eastAsia" w:ascii="仿宋" w:hAnsi="仿宋" w:eastAsia="仿宋"/>
                <w:color w:val="000000" w:themeColor="text1"/>
                <w:sz w:val="24"/>
                <w:lang w:val="en-US" w:eastAsia="zh-CN"/>
                <w14:textFill>
                  <w14:solidFill>
                    <w14:schemeClr w14:val="tx1"/>
                  </w14:solidFill>
                </w14:textFill>
              </w:rPr>
              <w:t>任务</w:t>
            </w:r>
            <w:r>
              <w:rPr>
                <w:rFonts w:hint="eastAsia" w:ascii="仿宋" w:hAnsi="仿宋" w:eastAsia="仿宋"/>
                <w:color w:val="000000" w:themeColor="text1"/>
                <w:sz w:val="24"/>
                <w14:textFill>
                  <w14:solidFill>
                    <w14:schemeClr w14:val="tx1"/>
                  </w14:solidFill>
                </w14:textFill>
              </w:rPr>
              <w:t>要求，输出正确的计算结果。</w:t>
            </w:r>
          </w:p>
          <w:p>
            <w:pPr>
              <w:spacing w:line="360" w:lineRule="auto"/>
              <w:ind w:firstLine="480" w:firstLineChars="200"/>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任务</w:t>
            </w:r>
            <w:r>
              <w:rPr>
                <w:rFonts w:hint="eastAsia" w:ascii="仿宋" w:hAnsi="仿宋" w:eastAsia="仿宋"/>
                <w:color w:val="000000" w:themeColor="text1"/>
                <w:sz w:val="24"/>
                <w14:textFill>
                  <w14:solidFill>
                    <w14:schemeClr w14:val="tx1"/>
                  </w14:solidFill>
                </w14:textFill>
              </w:rPr>
              <w:t>考察点分为两方面，一方面考察参赛选手对于Python基础语法中的掌握，例如循环遍历、字符串、列表、字典、元组、集合、函数、类等相关知识点；另一方面考察参赛选手的算法设计能力，例如常见的初级排序算法、二分查找算法等相关知识点。</w:t>
            </w:r>
          </w:p>
          <w:p>
            <w:pPr>
              <w:spacing w:line="360" w:lineRule="auto"/>
              <w:ind w:firstLine="480" w:firstLineChars="200"/>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lang w:eastAsia="zh-CN"/>
                <w14:textFill>
                  <w14:solidFill>
                    <w14:schemeClr w14:val="tx1"/>
                  </w14:solidFill>
                </w14:textFill>
              </w:rPr>
              <w:t>）Python网页与文本分析</w:t>
            </w:r>
          </w:p>
          <w:p>
            <w:pPr>
              <w:spacing w:line="360" w:lineRule="auto"/>
              <w:ind w:firstLine="480" w:firstLineChars="200"/>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本部分考察点分为两方面，一方面需要选手了解常用网页结构，熟练使用Python相关工具获取内置专题页面的指定数据；另一方面需要选手了解Python常用文本处理与分析的模块（库），能够根据</w:t>
            </w:r>
            <w:r>
              <w:rPr>
                <w:rFonts w:hint="eastAsia" w:ascii="仿宋" w:hAnsi="仿宋" w:eastAsia="仿宋"/>
                <w:color w:val="000000" w:themeColor="text1"/>
                <w:sz w:val="24"/>
                <w:lang w:val="en-US" w:eastAsia="zh-CN"/>
                <w14:textFill>
                  <w14:solidFill>
                    <w14:schemeClr w14:val="tx1"/>
                  </w14:solidFill>
                </w14:textFill>
              </w:rPr>
              <w:t>任务</w:t>
            </w:r>
            <w:r>
              <w:rPr>
                <w:rFonts w:hint="eastAsia" w:ascii="仿宋" w:hAnsi="仿宋" w:eastAsia="仿宋"/>
                <w:color w:val="000000" w:themeColor="text1"/>
                <w:sz w:val="24"/>
                <w14:textFill>
                  <w14:solidFill>
                    <w14:schemeClr w14:val="tx1"/>
                  </w14:solidFill>
                </w14:textFill>
              </w:rPr>
              <w:t>要求完成指定操作并返回</w:t>
            </w:r>
            <w:r>
              <w:rPr>
                <w:rFonts w:hint="eastAsia" w:ascii="仿宋" w:hAnsi="仿宋" w:eastAsia="仿宋"/>
                <w:color w:val="000000" w:themeColor="text1"/>
                <w:sz w:val="24"/>
                <w:lang w:val="en-US" w:eastAsia="zh-CN"/>
                <w14:textFill>
                  <w14:solidFill>
                    <w14:schemeClr w14:val="tx1"/>
                  </w14:solidFill>
                </w14:textFill>
              </w:rPr>
              <w:t>任务</w:t>
            </w:r>
            <w:r>
              <w:rPr>
                <w:rFonts w:hint="eastAsia" w:ascii="仿宋" w:hAnsi="仿宋" w:eastAsia="仿宋"/>
                <w:color w:val="000000" w:themeColor="text1"/>
                <w:sz w:val="24"/>
                <w14:textFill>
                  <w14:solidFill>
                    <w14:schemeClr w14:val="tx1"/>
                  </w14:solidFill>
                </w14:textFill>
              </w:rPr>
              <w:t>中所需要的数据。</w:t>
            </w:r>
          </w:p>
          <w:p>
            <w:pPr>
              <w:spacing w:line="360" w:lineRule="auto"/>
              <w:ind w:firstLine="480" w:firstLineChars="200"/>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lang w:eastAsia="zh-CN"/>
                <w14:textFill>
                  <w14:solidFill>
                    <w14:schemeClr w14:val="tx1"/>
                  </w14:solidFill>
                </w14:textFill>
              </w:rPr>
              <w:t>）Python数据处理与分析</w:t>
            </w:r>
          </w:p>
          <w:p>
            <w:pPr>
              <w:spacing w:line="360" w:lineRule="auto"/>
              <w:ind w:firstLine="480" w:firstLineChars="200"/>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参赛选手可根据自己的</w:t>
            </w:r>
            <w:r>
              <w:rPr>
                <w:rFonts w:hint="eastAsia" w:ascii="仿宋" w:hAnsi="仿宋" w:eastAsia="仿宋"/>
                <w:color w:val="000000" w:themeColor="text1"/>
                <w:sz w:val="24"/>
                <w:lang w:val="en-US" w:eastAsia="zh-CN"/>
                <w14:textFill>
                  <w14:solidFill>
                    <w14:schemeClr w14:val="tx1"/>
                  </w14:solidFill>
                </w14:textFill>
              </w:rPr>
              <w:t>特长，</w:t>
            </w:r>
            <w:r>
              <w:rPr>
                <w:rFonts w:hint="eastAsia" w:ascii="仿宋" w:hAnsi="仿宋" w:eastAsia="仿宋"/>
                <w:color w:val="000000" w:themeColor="text1"/>
                <w:sz w:val="24"/>
                <w14:textFill>
                  <w14:solidFill>
                    <w14:schemeClr w14:val="tx1"/>
                  </w14:solidFill>
                </w14:textFill>
              </w:rPr>
              <w:t>合理</w:t>
            </w:r>
            <w:r>
              <w:rPr>
                <w:rFonts w:hint="eastAsia" w:ascii="仿宋" w:hAnsi="仿宋" w:eastAsia="仿宋"/>
                <w:color w:val="000000" w:themeColor="text1"/>
                <w:sz w:val="24"/>
                <w:lang w:val="en-US" w:eastAsia="zh-CN"/>
                <w14:textFill>
                  <w14:solidFill>
                    <w14:schemeClr w14:val="tx1"/>
                  </w14:solidFill>
                </w14:textFill>
              </w:rPr>
              <w:t>选择考试任务，</w:t>
            </w:r>
            <w:r>
              <w:rPr>
                <w:rFonts w:hint="eastAsia" w:ascii="仿宋" w:hAnsi="仿宋" w:eastAsia="仿宋"/>
                <w:color w:val="000000" w:themeColor="text1"/>
                <w:sz w:val="24"/>
                <w14:textFill>
                  <w14:solidFill>
                    <w14:schemeClr w14:val="tx1"/>
                  </w14:solidFill>
                </w14:textFill>
              </w:rPr>
              <w:t>分配考试时间，完成相关任务，得到任务期望输出的指定结果，提交准确高效的Python代码。</w:t>
            </w:r>
          </w:p>
          <w:p>
            <w:pPr>
              <w:spacing w:line="360" w:lineRule="auto"/>
              <w:ind w:firstLine="480" w:firstLineChars="200"/>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本部分需要使用的Python相关数据处理与分析的</w:t>
            </w:r>
            <w:r>
              <w:rPr>
                <w:rFonts w:hint="eastAsia" w:ascii="仿宋" w:hAnsi="仿宋" w:eastAsia="仿宋"/>
                <w:color w:val="000000" w:themeColor="text1"/>
                <w:sz w:val="24"/>
                <w:lang w:val="en-US" w:eastAsia="zh-CN"/>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三方包（库），如Numpy和Pandas等，</w:t>
            </w:r>
            <w:r>
              <w:rPr>
                <w:rFonts w:hint="eastAsia" w:ascii="仿宋" w:hAnsi="仿宋" w:eastAsia="仿宋"/>
                <w:color w:val="000000" w:themeColor="text1"/>
                <w:sz w:val="24"/>
                <w:lang w:val="en-US" w:eastAsia="zh-CN"/>
                <w14:textFill>
                  <w14:solidFill>
                    <w14:schemeClr w14:val="tx1"/>
                  </w14:solidFill>
                </w14:textFill>
              </w:rPr>
              <w:t>均已</w:t>
            </w:r>
            <w:r>
              <w:rPr>
                <w:rFonts w:hint="eastAsia" w:ascii="仿宋" w:hAnsi="仿宋" w:eastAsia="仿宋"/>
                <w:color w:val="000000" w:themeColor="text1"/>
                <w:sz w:val="24"/>
                <w14:textFill>
                  <w14:solidFill>
                    <w14:schemeClr w14:val="tx1"/>
                  </w14:solidFill>
                </w14:textFill>
              </w:rPr>
              <w:t>内置于竞赛系统，无需参赛选手手动安装。</w:t>
            </w:r>
          </w:p>
          <w:p>
            <w:pPr>
              <w:autoSpaceDE w:val="0"/>
              <w:autoSpaceDN w:val="0"/>
              <w:spacing w:line="360" w:lineRule="auto"/>
              <w:ind w:firstLine="480" w:firstLineChars="200"/>
              <w:jc w:val="left"/>
              <w:rPr>
                <w:rFonts w:ascii="宋体" w:hAnsi="宋体" w:cs="宋体"/>
                <w:color w:val="000000"/>
                <w:sz w:val="24"/>
              </w:rPr>
            </w:pP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相关赛项承办经验:</w:t>
      </w:r>
    </w:p>
    <w:p/>
    <w:tbl>
      <w:tblPr>
        <w:tblStyle w:val="9"/>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01"/>
        <w:gridCol w:w="2995"/>
        <w:gridCol w:w="958"/>
        <w:gridCol w:w="150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r>
              <w:t xml:space="preserve"> 序号</w:t>
            </w:r>
          </w:p>
        </w:tc>
        <w:tc>
          <w:tcPr>
            <w:tcW w:w="1501" w:type="dxa"/>
          </w:tcPr>
          <w:p>
            <w:r>
              <w:t xml:space="preserve"> 比赛年份</w:t>
            </w:r>
          </w:p>
        </w:tc>
        <w:tc>
          <w:tcPr>
            <w:tcW w:w="2995" w:type="dxa"/>
          </w:tcPr>
          <w:p>
            <w:r>
              <w:t xml:space="preserve"> 赛项名称</w:t>
            </w:r>
          </w:p>
        </w:tc>
        <w:tc>
          <w:tcPr>
            <w:tcW w:w="958" w:type="dxa"/>
          </w:tcPr>
          <w:p>
            <w:r>
              <w:t xml:space="preserve"> 级别</w:t>
            </w:r>
          </w:p>
        </w:tc>
        <w:tc>
          <w:tcPr>
            <w:tcW w:w="1501" w:type="dxa"/>
          </w:tcPr>
          <w:p>
            <w:r>
              <w:t xml:space="preserve"> 参赛人数</w:t>
            </w:r>
          </w:p>
        </w:tc>
        <w:tc>
          <w:tcPr>
            <w:tcW w:w="959" w:type="dxa"/>
          </w:tcPr>
          <w:p>
            <w: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r>
              <w:rPr>
                <w:rFonts w:hint="eastAsia"/>
              </w:rPr>
              <w:t>1</w:t>
            </w:r>
          </w:p>
        </w:tc>
        <w:tc>
          <w:tcPr>
            <w:tcW w:w="1501" w:type="dxa"/>
          </w:tcPr>
          <w:p>
            <w:r>
              <w:t>2021</w:t>
            </w:r>
          </w:p>
        </w:tc>
        <w:tc>
          <w:tcPr>
            <w:tcW w:w="2995" w:type="dxa"/>
          </w:tcPr>
          <w:p>
            <w:r>
              <w:t>云计算技术与应用</w:t>
            </w:r>
          </w:p>
        </w:tc>
        <w:tc>
          <w:tcPr>
            <w:tcW w:w="958" w:type="dxa"/>
          </w:tcPr>
          <w:p>
            <w:r>
              <w:t>3</w:t>
            </w:r>
          </w:p>
        </w:tc>
        <w:tc>
          <w:tcPr>
            <w:tcW w:w="1501" w:type="dxa"/>
          </w:tcPr>
          <w:p>
            <w:r>
              <w:t>58</w:t>
            </w:r>
          </w:p>
        </w:tc>
        <w:tc>
          <w:tcPr>
            <w:tcW w:w="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8" w:type="dxa"/>
            <w:vMerge w:val="restart"/>
          </w:tcPr>
          <w:p>
            <w:r>
              <w:rPr>
                <w:rFonts w:hint="eastAsia"/>
              </w:rPr>
              <w:t>2</w:t>
            </w:r>
          </w:p>
        </w:tc>
        <w:tc>
          <w:tcPr>
            <w:tcW w:w="1501" w:type="dxa"/>
            <w:vMerge w:val="restart"/>
          </w:tcPr>
          <w:p>
            <w:r>
              <w:t>2020</w:t>
            </w:r>
          </w:p>
        </w:tc>
        <w:tc>
          <w:tcPr>
            <w:tcW w:w="2995" w:type="dxa"/>
            <w:vMerge w:val="restart"/>
          </w:tcPr>
          <w:p>
            <w:r>
              <w:t>云计算技术与应用</w:t>
            </w:r>
          </w:p>
        </w:tc>
        <w:tc>
          <w:tcPr>
            <w:tcW w:w="958" w:type="dxa"/>
            <w:vMerge w:val="restart"/>
          </w:tcPr>
          <w:p>
            <w:r>
              <w:t>3</w:t>
            </w:r>
          </w:p>
        </w:tc>
        <w:tc>
          <w:tcPr>
            <w:tcW w:w="1501" w:type="dxa"/>
            <w:vMerge w:val="restart"/>
          </w:tcPr>
          <w:p>
            <w:r>
              <w:t>52</w:t>
            </w:r>
          </w:p>
        </w:tc>
        <w:tc>
          <w:tcPr>
            <w:tcW w:w="959"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r>
              <w:rPr>
                <w:rFonts w:hint="eastAsia"/>
              </w:rPr>
              <w:t>3</w:t>
            </w:r>
          </w:p>
        </w:tc>
        <w:tc>
          <w:tcPr>
            <w:tcW w:w="1501" w:type="dxa"/>
          </w:tcPr>
          <w:p>
            <w:r>
              <w:t>2019</w:t>
            </w:r>
          </w:p>
        </w:tc>
        <w:tc>
          <w:tcPr>
            <w:tcW w:w="2995" w:type="dxa"/>
          </w:tcPr>
          <w:p>
            <w:r>
              <w:t>云计算技术与应用</w:t>
            </w:r>
          </w:p>
        </w:tc>
        <w:tc>
          <w:tcPr>
            <w:tcW w:w="958" w:type="dxa"/>
          </w:tcPr>
          <w:p>
            <w:r>
              <w:t>3</w:t>
            </w:r>
          </w:p>
        </w:tc>
        <w:tc>
          <w:tcPr>
            <w:tcW w:w="1501" w:type="dxa"/>
          </w:tcPr>
          <w:p>
            <w:r>
              <w:t>64</w:t>
            </w:r>
          </w:p>
        </w:tc>
        <w:tc>
          <w:tcPr>
            <w:tcW w:w="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r>
              <w:rPr>
                <w:rFonts w:hint="eastAsia"/>
              </w:rPr>
              <w:t>4</w:t>
            </w:r>
          </w:p>
        </w:tc>
        <w:tc>
          <w:tcPr>
            <w:tcW w:w="1501" w:type="dxa"/>
          </w:tcPr>
          <w:p>
            <w:r>
              <w:rPr>
                <w:rFonts w:hint="eastAsia"/>
              </w:rPr>
              <w:t>2021</w:t>
            </w:r>
          </w:p>
        </w:tc>
        <w:tc>
          <w:tcPr>
            <w:tcW w:w="2995" w:type="dxa"/>
          </w:tcPr>
          <w:p>
            <w:r>
              <w:rPr>
                <w:rFonts w:hint="eastAsia"/>
              </w:rPr>
              <w:t>区块链创新应用与开发</w:t>
            </w:r>
          </w:p>
        </w:tc>
        <w:tc>
          <w:tcPr>
            <w:tcW w:w="958" w:type="dxa"/>
          </w:tcPr>
          <w:p>
            <w:r>
              <w:rPr>
                <w:rFonts w:hint="eastAsia"/>
              </w:rPr>
              <w:t>2</w:t>
            </w:r>
          </w:p>
        </w:tc>
        <w:tc>
          <w:tcPr>
            <w:tcW w:w="1501" w:type="dxa"/>
          </w:tcPr>
          <w:p>
            <w:r>
              <w:rPr>
                <w:rFonts w:hint="eastAsia"/>
              </w:rPr>
              <w:t>150</w:t>
            </w:r>
          </w:p>
        </w:tc>
        <w:tc>
          <w:tcPr>
            <w:tcW w:w="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r>
              <w:rPr>
                <w:rFonts w:hint="eastAsia"/>
              </w:rPr>
              <w:t>5</w:t>
            </w:r>
          </w:p>
        </w:tc>
        <w:tc>
          <w:tcPr>
            <w:tcW w:w="1501" w:type="dxa"/>
          </w:tcPr>
          <w:p>
            <w:r>
              <w:rPr>
                <w:rFonts w:hint="eastAsia"/>
              </w:rPr>
              <w:t>2022</w:t>
            </w:r>
          </w:p>
        </w:tc>
        <w:tc>
          <w:tcPr>
            <w:tcW w:w="2995" w:type="dxa"/>
          </w:tcPr>
          <w:p>
            <w:r>
              <w:rPr>
                <w:rFonts w:hint="eastAsia"/>
              </w:rPr>
              <w:t>区块链技术应用</w:t>
            </w:r>
          </w:p>
        </w:tc>
        <w:tc>
          <w:tcPr>
            <w:tcW w:w="958" w:type="dxa"/>
          </w:tcPr>
          <w:p>
            <w:r>
              <w:rPr>
                <w:rFonts w:hint="eastAsia"/>
              </w:rPr>
              <w:t>2</w:t>
            </w:r>
          </w:p>
        </w:tc>
        <w:tc>
          <w:tcPr>
            <w:tcW w:w="1501" w:type="dxa"/>
          </w:tcPr>
          <w:p>
            <w:r>
              <w:rPr>
                <w:rFonts w:hint="eastAsia"/>
              </w:rPr>
              <w:t>216</w:t>
            </w:r>
          </w:p>
        </w:tc>
        <w:tc>
          <w:tcPr>
            <w:tcW w:w="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r>
              <w:rPr>
                <w:rFonts w:hint="eastAsia"/>
              </w:rPr>
              <w:t>6</w:t>
            </w:r>
          </w:p>
        </w:tc>
        <w:tc>
          <w:tcPr>
            <w:tcW w:w="1501" w:type="dxa"/>
          </w:tcPr>
          <w:p>
            <w:r>
              <w:rPr>
                <w:rFonts w:hint="eastAsia"/>
              </w:rPr>
              <w:t>2021</w:t>
            </w:r>
          </w:p>
        </w:tc>
        <w:tc>
          <w:tcPr>
            <w:tcW w:w="2995" w:type="dxa"/>
          </w:tcPr>
          <w:p>
            <w:r>
              <w:rPr>
                <w:rFonts w:hint="eastAsia"/>
              </w:rPr>
              <w:t>Python编程</w:t>
            </w:r>
          </w:p>
        </w:tc>
        <w:tc>
          <w:tcPr>
            <w:tcW w:w="958" w:type="dxa"/>
          </w:tcPr>
          <w:p>
            <w:r>
              <w:rPr>
                <w:rFonts w:hint="eastAsia"/>
              </w:rPr>
              <w:t>2</w:t>
            </w:r>
          </w:p>
        </w:tc>
        <w:tc>
          <w:tcPr>
            <w:tcW w:w="1501" w:type="dxa"/>
          </w:tcPr>
          <w:p>
            <w:r>
              <w:rPr>
                <w:rFonts w:hint="eastAsia"/>
              </w:rPr>
              <w:t>34</w:t>
            </w:r>
          </w:p>
        </w:tc>
        <w:tc>
          <w:tcPr>
            <w:tcW w:w="959" w:type="dxa"/>
          </w:tcPr>
          <w:p/>
        </w:tc>
      </w:tr>
    </w:tbl>
    <w:p/>
    <w:p/>
    <w:p>
      <w:pPr>
        <w:adjustRightInd w:val="0"/>
        <w:snapToGrid w:val="0"/>
        <w:spacing w:line="560" w:lineRule="exact"/>
        <w:rPr>
          <w:rFonts w:ascii="黑体" w:hAnsi="黑体" w:eastAsia="黑体"/>
          <w:sz w:val="30"/>
          <w:szCs w:val="30"/>
        </w:rPr>
      </w:pPr>
    </w:p>
    <w:p>
      <w:pPr>
        <w:pStyle w:val="4"/>
        <w:rPr>
          <w:rFonts w:ascii="黑体" w:hAnsi="黑体" w:eastAsia="黑体"/>
          <w:sz w:val="30"/>
          <w:szCs w:val="30"/>
        </w:rPr>
      </w:pPr>
    </w:p>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10"/>
        <w:tblpPr w:leftFromText="180" w:rightFromText="180" w:vertAnchor="text" w:tblpXSpec="center" w:tblpY="26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pPr>
              <w:jc w:val="center"/>
            </w:pPr>
            <w:r>
              <w:rPr>
                <w:rFonts w:hint="eastAsia"/>
              </w:rPr>
              <w:t>赛项</w:t>
            </w:r>
          </w:p>
          <w:p>
            <w:pPr>
              <w:jc w:val="center"/>
            </w:pPr>
            <w:r>
              <w:rPr>
                <w:rFonts w:hint="eastAsia"/>
              </w:rPr>
              <w:t>设立</w:t>
            </w:r>
          </w:p>
          <w:p>
            <w:pPr>
              <w:jc w:val="center"/>
            </w:pPr>
            <w:r>
              <w:rPr>
                <w:rFonts w:hint="eastAsia"/>
              </w:rPr>
              <w:t>依据</w:t>
            </w:r>
          </w:p>
        </w:tc>
        <w:tc>
          <w:tcPr>
            <w:tcW w:w="8152" w:type="dxa"/>
            <w:shd w:val="clear" w:color="auto" w:fill="auto"/>
          </w:tcPr>
          <w:p>
            <w:pPr>
              <w:autoSpaceDE w:val="0"/>
              <w:autoSpaceDN w:val="0"/>
              <w:spacing w:line="360" w:lineRule="auto"/>
              <w:ind w:firstLine="480" w:firstLineChars="200"/>
              <w:jc w:val="left"/>
              <w:rPr>
                <w:rFonts w:hint="default" w:ascii="宋体" w:hAnsi="宋体" w:cs="宋体"/>
                <w:color w:val="000000"/>
                <w:sz w:val="24"/>
                <w:lang w:val="en-US" w:eastAsia="zh-CN"/>
              </w:rPr>
            </w:pPr>
            <w:r>
              <w:rPr>
                <w:rFonts w:hint="eastAsia" w:ascii="宋体" w:hAnsi="宋体" w:cs="宋体"/>
                <w:color w:val="000000"/>
                <w:sz w:val="24"/>
                <w:lang w:eastAsia="zh-CN"/>
              </w:rPr>
              <w:t>信息时代的飞速发展凸显交叉学科的价值，也急迫需求新时代掌握计算思维和数据分析能力的人才。掌握必要的数学知识、熟练运用数学和计算机技术的能力是当今世界发展需求的人才的重要能力。对于商务领域，尤其是电子商务领域，数据和基于数据上的分析亦成为了不可多得的宝贵财富。</w:t>
            </w:r>
          </w:p>
          <w:p>
            <w:pPr>
              <w:autoSpaceDE w:val="0"/>
              <w:autoSpaceDN w:val="0"/>
              <w:spacing w:line="360" w:lineRule="auto"/>
              <w:ind w:firstLine="480" w:firstLineChars="200"/>
              <w:jc w:val="left"/>
              <w:rPr>
                <w:rFonts w:hint="default" w:ascii="宋体" w:hAnsi="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val="en-US" w:eastAsia="zh-CN"/>
              </w:rPr>
              <w:t>满足对社会企业对复合型人才日益增长的需求，拓宽学生的职业选择，增强社会适应性，同时也为中高职院校Python编程相关教学工作提供了正确的教学和研究方向。</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2.能够根据专业标准要求，</w:t>
            </w:r>
            <w:r>
              <w:rPr>
                <w:rFonts w:hint="eastAsia" w:ascii="宋体" w:hAnsi="宋体" w:cs="宋体"/>
                <w:color w:val="000000"/>
                <w:sz w:val="24"/>
                <w:lang w:val="en-US" w:eastAsia="zh-CN"/>
              </w:rPr>
              <w:t>定制</w:t>
            </w:r>
            <w:r>
              <w:rPr>
                <w:rFonts w:hint="eastAsia" w:ascii="宋体" w:hAnsi="宋体" w:cs="宋体"/>
                <w:color w:val="000000"/>
                <w:sz w:val="24"/>
              </w:rPr>
              <w:t>Python教学方向，</w:t>
            </w:r>
            <w:r>
              <w:rPr>
                <w:rFonts w:hint="eastAsia" w:ascii="宋体" w:hAnsi="宋体" w:cs="宋体"/>
                <w:color w:val="000000"/>
                <w:sz w:val="24"/>
                <w:lang w:val="en-US" w:eastAsia="zh-CN"/>
              </w:rPr>
              <w:t>而不是</w:t>
            </w:r>
            <w:r>
              <w:rPr>
                <w:rFonts w:hint="eastAsia" w:ascii="宋体" w:hAnsi="宋体" w:cs="宋体"/>
                <w:color w:val="000000"/>
                <w:sz w:val="24"/>
              </w:rPr>
              <w:t>简单地将Python编程教学当作一门计算机课程，</w:t>
            </w:r>
            <w:r>
              <w:rPr>
                <w:rFonts w:hint="eastAsia" w:ascii="宋体" w:hAnsi="宋体" w:cs="宋体"/>
                <w:color w:val="000000"/>
                <w:sz w:val="24"/>
                <w:lang w:val="en-US" w:eastAsia="zh-CN"/>
              </w:rPr>
              <w:t>能够</w:t>
            </w:r>
            <w:r>
              <w:rPr>
                <w:rFonts w:hint="eastAsia" w:ascii="宋体" w:hAnsi="宋体" w:cs="宋体"/>
                <w:color w:val="000000"/>
                <w:sz w:val="24"/>
              </w:rPr>
              <w:t>根据学生的特点，灵活设置学习复杂度。教学难度涵盖容易、中等、困难</w:t>
            </w:r>
            <w:r>
              <w:rPr>
                <w:rFonts w:hint="eastAsia" w:ascii="宋体" w:hAnsi="宋体" w:cs="宋体"/>
                <w:color w:val="000000"/>
                <w:sz w:val="24"/>
                <w:lang w:val="en-US" w:eastAsia="zh-CN"/>
              </w:rPr>
              <w:t>等</w:t>
            </w:r>
            <w:r>
              <w:rPr>
                <w:rFonts w:hint="eastAsia" w:ascii="宋体" w:hAnsi="宋体" w:cs="宋体"/>
                <w:color w:val="000000"/>
                <w:sz w:val="24"/>
              </w:rPr>
              <w:t>三个等级。</w:t>
            </w:r>
          </w:p>
          <w:p>
            <w:pPr>
              <w:autoSpaceDE w:val="0"/>
              <w:autoSpaceDN w:val="0"/>
              <w:spacing w:line="360" w:lineRule="auto"/>
              <w:ind w:firstLine="480" w:firstLineChars="200"/>
              <w:jc w:val="left"/>
              <w:rPr>
                <w:rFonts w:hint="default" w:ascii="宋体" w:hAnsi="宋体" w:cs="宋体"/>
                <w:color w:val="000000"/>
                <w:sz w:val="24"/>
                <w:lang w:val="en-US" w:eastAsia="zh-CN"/>
              </w:rPr>
            </w:pPr>
            <w:r>
              <w:rPr>
                <w:rFonts w:hint="eastAsia" w:ascii="宋体" w:hAnsi="宋体" w:cs="宋体"/>
                <w:color w:val="000000"/>
                <w:sz w:val="24"/>
                <w:lang w:val="en-US" w:eastAsia="zh-CN"/>
              </w:rPr>
              <w:t>3. Python编程竞赛试题全部对接企业岗位真实需求，推进了创新人才培养模式改革,也为学生提供了展示自身才华、实现社会价值的平台与载体。</w:t>
            </w:r>
          </w:p>
          <w:p>
            <w:pPr>
              <w:autoSpaceDE w:val="0"/>
              <w:autoSpaceDN w:val="0"/>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4.能够为学生提高便捷的在线Python编程环境，学生无需自己搭建复杂的编程环境，随时随地能开展编程练习，能实时查看自己的程序运行结果，能保存自己练习成果，极大提高了学生学习Python编程的便捷性、趣味性、实用性。</w:t>
            </w:r>
          </w:p>
          <w:p>
            <w:pPr>
              <w:ind w:firstLine="420" w:firstLineChars="20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pPr>
              <w:jc w:val="center"/>
            </w:pPr>
            <w:r>
              <w:rPr>
                <w:rFonts w:hint="eastAsia"/>
              </w:rPr>
              <w:t>赛项</w:t>
            </w:r>
          </w:p>
          <w:p>
            <w:pPr>
              <w:jc w:val="center"/>
            </w:pPr>
            <w:r>
              <w:rPr>
                <w:rFonts w:hint="eastAsia"/>
              </w:rPr>
              <w:t>定位</w:t>
            </w:r>
          </w:p>
          <w:p>
            <w:pPr>
              <w:jc w:val="center"/>
            </w:pPr>
            <w:r>
              <w:rPr>
                <w:rFonts w:hint="eastAsia"/>
              </w:rPr>
              <w:t>和</w:t>
            </w:r>
          </w:p>
          <w:p>
            <w:pPr>
              <w:jc w:val="center"/>
            </w:pPr>
            <w:r>
              <w:rPr>
                <w:rFonts w:hint="eastAsia"/>
              </w:rPr>
              <w:t>预期</w:t>
            </w:r>
          </w:p>
          <w:p>
            <w:pPr>
              <w:jc w:val="center"/>
            </w:pPr>
            <w:r>
              <w:rPr>
                <w:rFonts w:hint="eastAsia"/>
              </w:rPr>
              <w:t>目标</w:t>
            </w:r>
          </w:p>
        </w:tc>
        <w:tc>
          <w:tcPr>
            <w:tcW w:w="8152" w:type="dxa"/>
            <w:shd w:val="clear" w:color="auto" w:fill="auto"/>
          </w:tcPr>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赛项以Python语言为考察语言，从语言基础与算法设计、网页与文本分析和数据处理与分析三方面出发设置考察任务，并以参赛选手任务的完成度、完成任务的质量以及参赛选手自身的职业素养作为竞赛指标，综合考察参赛选手的Python语言程序设计能力与解决问题的能力。</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通过竞赛，考察参赛选手算法设计、程序编写能力，激发在岗职工、教师崇尚技能的热情，提高在校学生学习技能的激情，促进产教融合、校企合作与产业发展，推动大数据与人工智能人才整体水平的提升。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pPr>
              <w:jc w:val="center"/>
            </w:pPr>
            <w:r>
              <w:rPr>
                <w:rFonts w:hint="eastAsia"/>
              </w:rPr>
              <w:t>主要</w:t>
            </w:r>
          </w:p>
          <w:p>
            <w:pPr>
              <w:jc w:val="center"/>
            </w:pPr>
            <w:r>
              <w:rPr>
                <w:rFonts w:hint="eastAsia"/>
              </w:rPr>
              <w:t>实施</w:t>
            </w:r>
          </w:p>
          <w:p>
            <w:pPr>
              <w:jc w:val="center"/>
            </w:pPr>
            <w:r>
              <w:rPr>
                <w:rFonts w:hint="eastAsia"/>
              </w:rPr>
              <w:t>步骤</w:t>
            </w:r>
          </w:p>
        </w:tc>
        <w:tc>
          <w:tcPr>
            <w:tcW w:w="8152" w:type="dxa"/>
            <w:shd w:val="clear" w:color="auto" w:fill="auto"/>
          </w:tcPr>
          <w:p/>
          <w:p>
            <w:pPr>
              <w:autoSpaceDE w:val="0"/>
              <w:autoSpaceDN w:val="0"/>
              <w:spacing w:line="360" w:lineRule="auto"/>
              <w:ind w:firstLine="480" w:firstLineChars="200"/>
              <w:jc w:val="left"/>
              <w:rPr>
                <w:rFonts w:ascii="宋体" w:hAnsi="宋体" w:cs="宋体"/>
                <w:color w:val="000000"/>
                <w:sz w:val="24"/>
              </w:rPr>
            </w:pPr>
            <w:bookmarkStart w:id="6" w:name="_Toc26591_WPSOffice_Level2"/>
            <w:r>
              <w:rPr>
                <w:rFonts w:hint="eastAsia" w:ascii="宋体" w:hAnsi="宋体" w:cs="宋体"/>
                <w:color w:val="000000"/>
                <w:sz w:val="24"/>
              </w:rPr>
              <w:t>（一）赛前</w:t>
            </w:r>
            <w:bookmarkEnd w:id="6"/>
          </w:p>
          <w:p>
            <w:pPr>
              <w:autoSpaceDE w:val="0"/>
              <w:autoSpaceDN w:val="0"/>
              <w:spacing w:line="360" w:lineRule="auto"/>
              <w:ind w:firstLine="480" w:firstLineChars="200"/>
              <w:jc w:val="left"/>
              <w:rPr>
                <w:rFonts w:ascii="宋体" w:hAnsi="宋体" w:cs="宋体"/>
                <w:color w:val="000000"/>
                <w:sz w:val="24"/>
              </w:rPr>
            </w:pPr>
            <w:bookmarkStart w:id="7" w:name="_Toc18968702"/>
            <w:r>
              <w:rPr>
                <w:rFonts w:hint="eastAsia" w:ascii="宋体" w:hAnsi="宋体" w:cs="宋体"/>
                <w:color w:val="000000"/>
                <w:sz w:val="24"/>
              </w:rPr>
              <w:t>（1）赛场设备确认</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根据实际需要，裁判长于赛前2-3天对场地设备设施等准备工作进行检查确认。</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（2）赛前培训</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裁判长对裁判员于赛前1天进行集中培训、技术对接和设备设施、材料、必备工具确认。</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（3）报到</w:t>
            </w:r>
            <w:bookmarkEnd w:id="7"/>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参赛选手报到时需领取参赛证、参赛资料、餐券。</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（4）赛前说明会</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报到完毕后由主办方统一组织召开赛前说明会，对参赛注意事项、参赛日程进行说明，对参赛选手疑问进行解答。</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（5）签署文件</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所有选手、领队、指导老师、裁判均需签署《竞赛行为规范》；所有参赛选手还需签署《安全责任告知书》、《参赛选手承诺书》、《手机型号登记表》；所有执裁人员还需签署《裁判员保密协议书》。</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（6）参观赛场</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说明会结束后，由主办方统一组织前往赛场，熟悉场地。</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（7）封闭与解封赛场</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参观完赛场后，由监督组长检查赛场，确保赛场无异常后封闭赛场；赛前2小时由监督长带领技术人员解封赛场、启动并检查竞赛设备。</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（8）检录抽签</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赛前1小时，参赛选手前往检录抽签地点，完成检录后，抽取参赛编号。</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（9）入场</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每位选手按照参赛编号到指定位置，等待比赛。</w:t>
            </w:r>
          </w:p>
          <w:p>
            <w:pPr>
              <w:autoSpaceDE w:val="0"/>
              <w:autoSpaceDN w:val="0"/>
              <w:spacing w:line="360" w:lineRule="auto"/>
              <w:ind w:firstLine="482" w:firstLineChars="200"/>
              <w:jc w:val="left"/>
              <w:rPr>
                <w:rFonts w:ascii="宋体" w:hAnsi="宋体" w:cs="宋体"/>
                <w:b/>
                <w:bCs/>
                <w:color w:val="000000"/>
                <w:sz w:val="24"/>
              </w:rPr>
            </w:pPr>
            <w:bookmarkStart w:id="8" w:name="_Toc22439_WPSOffice_Level2"/>
            <w:r>
              <w:rPr>
                <w:rFonts w:hint="eastAsia" w:ascii="宋体" w:hAnsi="宋体" w:cs="宋体"/>
                <w:b/>
                <w:bCs/>
                <w:color w:val="000000"/>
                <w:sz w:val="24"/>
              </w:rPr>
              <w:t>（二）赛中</w:t>
            </w:r>
            <w:bookmarkEnd w:id="8"/>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（1）比赛：由裁判长统一告知选手比赛规则、时间和流程后，宣布比赛正式开始并计时。</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（2）纪律要求：竞赛过程中严禁交头接耳，不得干扰其他参赛选手，严禁扰乱秩序。</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（3）评分：由竞赛系统对选手Python编程结果进行自动评分。</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（4）解密、汇总与公示：由裁判长、监督长共同解密，汇总成绩，确认无误后公示。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pPr>
              <w:jc w:val="center"/>
            </w:pPr>
            <w:r>
              <w:rPr>
                <w:rFonts w:hint="eastAsia"/>
              </w:rPr>
              <w:t>比赛</w:t>
            </w:r>
          </w:p>
          <w:p>
            <w:pPr>
              <w:jc w:val="center"/>
            </w:pPr>
            <w:r>
              <w:rPr>
                <w:rFonts w:hint="eastAsia"/>
              </w:rPr>
              <w:t>主要</w:t>
            </w:r>
          </w:p>
          <w:p>
            <w:pPr>
              <w:jc w:val="center"/>
            </w:pPr>
            <w:r>
              <w:rPr>
                <w:rFonts w:hint="eastAsia"/>
              </w:rPr>
              <w:t>环节</w:t>
            </w:r>
          </w:p>
          <w:p>
            <w:pPr>
              <w:jc w:val="center"/>
            </w:pPr>
            <w:r>
              <w:rPr>
                <w:rFonts w:hint="eastAsia"/>
              </w:rPr>
              <w:t>及</w:t>
            </w:r>
          </w:p>
          <w:p>
            <w:pPr>
              <w:jc w:val="center"/>
            </w:pPr>
            <w:r>
              <w:rPr>
                <w:rFonts w:hint="eastAsia"/>
              </w:rPr>
              <w:t>评判</w:t>
            </w:r>
          </w:p>
          <w:p>
            <w:pPr>
              <w:jc w:val="center"/>
            </w:pPr>
            <w:r>
              <w:rPr>
                <w:rFonts w:hint="eastAsia"/>
              </w:rPr>
              <w:t>标准</w:t>
            </w:r>
          </w:p>
        </w:tc>
        <w:tc>
          <w:tcPr>
            <w:tcW w:w="8152" w:type="dxa"/>
            <w:shd w:val="clear" w:color="auto" w:fill="auto"/>
          </w:tcPr>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赛项总分100分，具体环节及评判标准如下：</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（一）竞赛环节</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Python编程竞赛的总时长为4个小时，分为上午赛场和下午赛场，两场时间均为2小时。</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上午赛场设置有Python语言基础与算法设计和Python网页与文本分析两部分竞赛内容，共2小时；下午赛场设置有Python数据处理与分析竞赛内容，共2小时。</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（1）Python语言基础与算法设计</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本部分重点考察参赛选手对于Python基础语法和常见计算机算法的掌握情况与实际使用能力。</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（2）Python网页与文本分析</w:t>
            </w:r>
          </w:p>
          <w:p>
            <w:pPr>
              <w:autoSpaceDE w:val="0"/>
              <w:autoSpaceDN w:val="0"/>
              <w:spacing w:line="360" w:lineRule="auto"/>
              <w:ind w:firstLine="480" w:firstLineChars="200"/>
              <w:jc w:val="left"/>
              <w:rPr>
                <w:rFonts w:hint="eastAsia" w:ascii="宋体" w:hAnsi="宋体" w:cs="宋体"/>
                <w:color w:val="000000"/>
                <w:sz w:val="24"/>
                <w:lang w:eastAsia="zh-CN"/>
              </w:rPr>
            </w:pPr>
            <w:r>
              <w:rPr>
                <w:rFonts w:hint="eastAsia" w:ascii="宋体" w:hAnsi="宋体" w:cs="宋体"/>
                <w:color w:val="000000"/>
                <w:sz w:val="24"/>
              </w:rPr>
              <w:t>本部分考察点分为两方面，一方面需要选手了解常用网页结构，熟练使用Python相关工具获取内置专题页面的指定数据；另一方面需要选手了解Python常用文本处理与分析的模块（库）</w:t>
            </w:r>
            <w:r>
              <w:rPr>
                <w:rFonts w:hint="eastAsia" w:ascii="宋体" w:hAnsi="宋体" w:cs="宋体"/>
                <w:color w:val="000000"/>
                <w:sz w:val="24"/>
                <w:lang w:eastAsia="zh-CN"/>
              </w:rPr>
              <w:t>。</w:t>
            </w:r>
          </w:p>
          <w:p>
            <w:pPr>
              <w:numPr>
                <w:ilvl w:val="0"/>
                <w:numId w:val="2"/>
              </w:numPr>
              <w:autoSpaceDE w:val="0"/>
              <w:autoSpaceDN w:val="0"/>
              <w:spacing w:line="360" w:lineRule="auto"/>
              <w:ind w:firstLine="480" w:firstLineChars="200"/>
              <w:jc w:val="left"/>
              <w:rPr>
                <w:rFonts w:hint="eastAsia"/>
              </w:rPr>
            </w:pPr>
            <w:r>
              <w:rPr>
                <w:rFonts w:hint="eastAsia" w:ascii="宋体" w:hAnsi="宋体" w:cs="宋体"/>
                <w:color w:val="000000"/>
                <w:sz w:val="24"/>
              </w:rPr>
              <w:t>Python数据处理与分析</w:t>
            </w:r>
          </w:p>
          <w:p>
            <w:pPr>
              <w:numPr>
                <w:ilvl w:val="0"/>
                <w:numId w:val="0"/>
              </w:numPr>
              <w:autoSpaceDE w:val="0"/>
              <w:autoSpaceDN w:val="0"/>
              <w:spacing w:line="360" w:lineRule="auto"/>
              <w:ind w:firstLine="630" w:firstLineChars="300"/>
              <w:jc w:val="left"/>
              <w:rPr>
                <w:rFonts w:hint="default" w:eastAsia="宋体"/>
                <w:lang w:val="en-US" w:eastAsia="zh-CN"/>
              </w:rPr>
            </w:pPr>
            <w:r>
              <w:rPr>
                <w:rFonts w:hint="eastAsia"/>
                <w:lang w:val="en-US" w:eastAsia="zh-CN"/>
              </w:rPr>
              <w:t>本部分重点考察选手</w:t>
            </w:r>
            <w:r>
              <w:rPr>
                <w:rFonts w:hint="eastAsia"/>
              </w:rPr>
              <w:t>数据获取与清洗、数据分析、基础统计分析</w:t>
            </w:r>
            <w:r>
              <w:rPr>
                <w:rFonts w:hint="eastAsia"/>
                <w:lang w:eastAsia="zh-CN"/>
              </w:rPr>
              <w:t>，</w:t>
            </w:r>
            <w:r>
              <w:rPr>
                <w:rFonts w:hint="eastAsia"/>
                <w:lang w:val="en-US" w:eastAsia="zh-CN"/>
              </w:rPr>
              <w:t>numpy、pandas库的熟练掌握情况。</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（二）成绩评定</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1.裁判工作原则</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按照《全国职业院校技能大赛专家和裁判工作管理办法》建立河北省职业院校技能大赛赛项裁判库，裁判长由赛项执委会向大赛执委会推荐，由大赛执委会聘任。赛前建立健全裁判组。裁判组为裁判长负责制，划分裁判小组，并设有专职督导人员 1-2 名，负责比赛过程全程监督，防止营私舞弊。本赛项计划需要裁判8名，现场裁判 2名，打分裁判 3名，加密裁判 3 名。</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赛项需进行三次加密，加密后参赛选手中途不得擅自离开赛场。分别由 3 组加密裁判组织实施加密工作，管理加密结果。监督员全程监督加密过程。</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第一组加密裁判，组织参赛选手进行第一次抽签，产生参赛编号，替换选手参赛证等个人身份信息，填写一次加密记录表连同选手参赛证等个人身份信息证件，装入一次加密结果密封袋中单独保管。</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第二组加密裁判，组织参赛选手进行第二次抽签，确定赛位号，替换选手参赛编号，填写二次加密记录表连同选手参赛编号，装入二次加密结果密封袋中单独保管。</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第三组加密裁判对提交的竞赛文档进行加密。确定竞赛文档号，替换赛位号，</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填写三次加密记录表，装入三次加密结果密封袋中单独保管。</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所有加密结果密封袋的封条均需相应加密裁判和监督人员签字。密封袋在监督人员监督下由加密裁判放置于保密室的保险柜中保存。</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2.裁判评分方法</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裁判组负责竞赛机考评分和结果性评分，由裁判长负责竞赛全过程；裁判员提前报到，报到后所有裁判的手机全部上缴裁判长统一保管，评分结束返回，保证竞赛的公正与公平。</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竞赛现场有监督员、裁判员、监考员、技术支持队伍等组成，分工明确。根据现场环境，每位监考员负责 2-3 组参赛队，1-2名技术支持工程师负责所有工位设备应急。监考员负责与参赛队伍的交流沟通及试卷等材料的收发，裁判员负责设备问题确认和现场执裁，技术支持负责执行裁判确认后的设备应急处理。</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3.成绩产生办法</w:t>
            </w:r>
          </w:p>
          <w:p>
            <w:pPr>
              <w:autoSpaceDE w:val="0"/>
              <w:autoSpaceDN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裁判组在坚持“公平、公正、公开、科学、规范”的原则下，各负其责，按照制订的评分细则进行评分。现场评分：裁判组在比赛过程中对参赛选手的安全文明生产以及系统安装调试情况进行观察和评价进行现场评分。结果评分：比赛结束后，裁判组根据参赛选手提交的比赛结果进行评分。 </w:t>
            </w:r>
          </w:p>
          <w:p>
            <w:pPr>
              <w:autoSpaceDE w:val="0"/>
              <w:autoSpaceDN w:val="0"/>
              <w:spacing w:line="360" w:lineRule="auto"/>
              <w:ind w:firstLine="480" w:firstLineChars="200"/>
              <w:jc w:val="left"/>
            </w:pPr>
            <w:r>
              <w:rPr>
                <w:rFonts w:hint="eastAsia" w:ascii="宋体" w:hAnsi="宋体" w:cs="宋体"/>
                <w:color w:val="000000"/>
                <w:sz w:val="24"/>
              </w:rPr>
              <w:t xml:space="preserve">成绩汇总：比赛成绩经过加密裁判组解密后进行加权计算，确定最终比赛成绩，经总裁判长审核、仲裁组长复核后签字确认。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pPr>
              <w:jc w:val="center"/>
            </w:pPr>
            <w:r>
              <w:rPr>
                <w:rFonts w:hint="eastAsia"/>
              </w:rPr>
              <w:t>组织</w:t>
            </w:r>
          </w:p>
          <w:p>
            <w:pPr>
              <w:jc w:val="center"/>
            </w:pPr>
            <w:r>
              <w:rPr>
                <w:rFonts w:hint="eastAsia"/>
              </w:rPr>
              <w:t>管理</w:t>
            </w:r>
          </w:p>
        </w:tc>
        <w:tc>
          <w:tcPr>
            <w:tcW w:w="8152" w:type="dxa"/>
            <w:shd w:val="clear" w:color="auto" w:fill="auto"/>
          </w:tcPr>
          <w:p>
            <w:pPr>
              <w:autoSpaceDE w:val="0"/>
              <w:autoSpaceDN w:val="0"/>
              <w:spacing w:line="360" w:lineRule="auto"/>
              <w:ind w:firstLine="480" w:firstLineChars="200"/>
              <w:jc w:val="left"/>
              <w:rPr>
                <w:rFonts w:ascii="宋体" w:hAnsi="宋体" w:cs="宋体"/>
                <w:color w:val="000000"/>
                <w:sz w:val="24"/>
              </w:rPr>
            </w:pPr>
            <w:bookmarkStart w:id="9" w:name="_Toc531877621"/>
            <w:bookmarkStart w:id="10" w:name="_Toc531878390"/>
            <w:bookmarkStart w:id="11" w:name="_Toc531880368"/>
            <w:bookmarkStart w:id="12" w:name="_Toc531877712"/>
            <w:r>
              <w:rPr>
                <w:rFonts w:hint="eastAsia" w:ascii="宋体" w:hAnsi="宋体" w:cs="宋体"/>
                <w:color w:val="000000"/>
                <w:sz w:val="24"/>
              </w:rPr>
              <w:t>（一）竞赛组委会</w:t>
            </w:r>
            <w:bookmarkEnd w:id="9"/>
            <w:bookmarkEnd w:id="10"/>
            <w:bookmarkEnd w:id="11"/>
            <w:bookmarkEnd w:id="12"/>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主要职责包括：领导、协调赛项专家组和赛项承办单位开展本赛项的组织工作，选荐赛项专家组人员及赛项裁判与仲裁人员等。组委会设立秘书处、专家委员会、监督仲裁委员会等工作机构。</w:t>
            </w:r>
          </w:p>
          <w:p>
            <w:pPr>
              <w:autoSpaceDE w:val="0"/>
              <w:autoSpaceDN w:val="0"/>
              <w:spacing w:line="360" w:lineRule="auto"/>
              <w:ind w:firstLine="480" w:firstLineChars="200"/>
              <w:jc w:val="left"/>
              <w:rPr>
                <w:rFonts w:ascii="宋体" w:hAnsi="宋体" w:cs="宋体"/>
                <w:color w:val="000000"/>
                <w:sz w:val="24"/>
              </w:rPr>
            </w:pPr>
            <w:bookmarkStart w:id="13" w:name="_Toc531877713"/>
            <w:bookmarkStart w:id="14" w:name="_Toc531880369"/>
            <w:bookmarkStart w:id="15" w:name="_Toc531878391"/>
            <w:bookmarkStart w:id="16" w:name="_Toc531877622"/>
            <w:r>
              <w:rPr>
                <w:rFonts w:hint="eastAsia" w:ascii="宋体" w:hAnsi="宋体" w:cs="宋体"/>
                <w:color w:val="000000"/>
                <w:sz w:val="24"/>
              </w:rPr>
              <w:t>（二）竞赛技术工作委员会</w:t>
            </w:r>
            <w:bookmarkEnd w:id="13"/>
            <w:bookmarkEnd w:id="14"/>
            <w:bookmarkEnd w:id="15"/>
            <w:bookmarkEnd w:id="16"/>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赛项技术工作委员会负责本赛项技术文件编撰、竞赛命题、赛场设计、设备拟定、赛项裁判人员培训、赛项说明会组织、赛事咨询、教学成果展示体验、赛事技术评点、以及大赛组委会安排的其他竞赛技术工作。</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大赛专家不得同时担任不同赛项的专家工作。专家委员会成员可兼任裁判长，但不能负责具体的裁判工作。专家委员会成员所在单位不得参加本赛项比赛。</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专家应遵守工作纪律，严格遵守赛题管理规定中的保密协议。不得透露与赛项有关的任何涉密信息，不得以专家身份私下接受参赛单位和个人聘请咨询讲课，不得收受他人的财物或者其他好处。</w:t>
            </w:r>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专家要积极指导支持裁判工作，但不得影响和干扰裁判独立履行裁判职责。</w:t>
            </w:r>
          </w:p>
          <w:p>
            <w:pPr>
              <w:autoSpaceDE w:val="0"/>
              <w:autoSpaceDN w:val="0"/>
              <w:spacing w:line="360" w:lineRule="auto"/>
              <w:ind w:firstLine="480" w:firstLineChars="200"/>
              <w:jc w:val="left"/>
              <w:rPr>
                <w:rFonts w:ascii="宋体" w:hAnsi="宋体" w:cs="宋体"/>
                <w:color w:val="000000"/>
                <w:sz w:val="24"/>
              </w:rPr>
            </w:pPr>
            <w:bookmarkStart w:id="17" w:name="_Toc531877714"/>
            <w:bookmarkStart w:id="18" w:name="_Toc531877623"/>
            <w:bookmarkStart w:id="19" w:name="_Toc531880370"/>
            <w:bookmarkStart w:id="20" w:name="_Toc531878392"/>
            <w:r>
              <w:rPr>
                <w:rFonts w:hint="eastAsia" w:ascii="宋体" w:hAnsi="宋体" w:cs="宋体"/>
                <w:color w:val="000000"/>
                <w:sz w:val="24"/>
              </w:rPr>
              <w:t>（三）竞赛监督仲裁委员会</w:t>
            </w:r>
            <w:bookmarkEnd w:id="17"/>
            <w:bookmarkEnd w:id="18"/>
            <w:bookmarkEnd w:id="19"/>
            <w:bookmarkEnd w:id="20"/>
          </w:p>
          <w:p>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竞赛监督仲裁委员会主要职责是负责接收由参赛队领队提出的对裁判结果的申诉，组织复议并及时反馈复议结果。</w:t>
            </w:r>
          </w:p>
          <w:p>
            <w:pPr>
              <w:autoSpaceDE w:val="0"/>
              <w:autoSpaceDN w:val="0"/>
              <w:spacing w:line="360" w:lineRule="auto"/>
              <w:ind w:firstLine="480" w:firstLineChars="200"/>
              <w:jc w:val="left"/>
              <w:rPr>
                <w:rFonts w:ascii="宋体" w:hAnsi="宋体" w:cs="宋体"/>
                <w:color w:val="000000"/>
                <w:sz w:val="24"/>
              </w:rPr>
            </w:pPr>
            <w:bookmarkStart w:id="21" w:name="_Toc531878393"/>
            <w:bookmarkStart w:id="22" w:name="_Toc531877624"/>
            <w:bookmarkStart w:id="23" w:name="_Toc531880371"/>
            <w:bookmarkStart w:id="24" w:name="_Toc531877715"/>
            <w:r>
              <w:rPr>
                <w:rFonts w:hint="eastAsia" w:ascii="宋体" w:hAnsi="宋体" w:cs="宋体"/>
                <w:color w:val="000000"/>
                <w:sz w:val="24"/>
              </w:rPr>
              <w:t>（四）竞赛秘书处</w:t>
            </w:r>
            <w:bookmarkEnd w:id="21"/>
            <w:bookmarkEnd w:id="22"/>
            <w:bookmarkEnd w:id="23"/>
            <w:bookmarkEnd w:id="24"/>
          </w:p>
          <w:p>
            <w:r>
              <w:rPr>
                <w:rFonts w:hint="eastAsia" w:ascii="宋体" w:hAnsi="宋体" w:cs="宋体"/>
                <w:color w:val="000000"/>
                <w:sz w:val="24"/>
              </w:rPr>
              <w:t>竞赛秘书处负责竞赛日常事务与技术工作，接受大赛组委会的协调和指导。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pPr>
              <w:jc w:val="center"/>
            </w:pPr>
            <w:r>
              <w:rPr>
                <w:rFonts w:hint="eastAsia"/>
              </w:rPr>
              <w:t>软硬</w:t>
            </w:r>
          </w:p>
          <w:p>
            <w:pPr>
              <w:jc w:val="center"/>
            </w:pPr>
            <w:r>
              <w:rPr>
                <w:rFonts w:hint="eastAsia"/>
              </w:rPr>
              <w:t>件</w:t>
            </w:r>
          </w:p>
          <w:p>
            <w:pPr>
              <w:jc w:val="center"/>
            </w:pPr>
            <w:r>
              <w:rPr>
                <w:rFonts w:hint="eastAsia"/>
              </w:rPr>
              <w:t>设施</w:t>
            </w:r>
          </w:p>
          <w:p>
            <w:pPr>
              <w:jc w:val="center"/>
            </w:pPr>
            <w:r>
              <w:rPr>
                <w:rFonts w:hint="eastAsia"/>
              </w:rPr>
              <w:t>及</w:t>
            </w:r>
          </w:p>
          <w:p>
            <w:pPr>
              <w:jc w:val="center"/>
            </w:pPr>
            <w:r>
              <w:rPr>
                <w:rFonts w:hint="eastAsia"/>
              </w:rPr>
              <w:t>组织</w:t>
            </w:r>
          </w:p>
          <w:p>
            <w:pPr>
              <w:jc w:val="center"/>
            </w:pPr>
            <w:r>
              <w:rPr>
                <w:rFonts w:hint="eastAsia"/>
              </w:rPr>
              <w:t>保障</w:t>
            </w:r>
          </w:p>
        </w:tc>
        <w:tc>
          <w:tcPr>
            <w:tcW w:w="8152" w:type="dxa"/>
            <w:shd w:val="clear" w:color="auto" w:fill="auto"/>
          </w:tcPr>
          <w:p>
            <w:pPr>
              <w:numPr>
                <w:ilvl w:val="0"/>
                <w:numId w:val="3"/>
              </w:numPr>
            </w:pPr>
            <w:r>
              <w:t>软硬件设施</w:t>
            </w:r>
          </w:p>
          <w:p>
            <w:r>
              <w:t>竞赛场地中的每个竞赛工位内设有操作平台。</w:t>
            </w:r>
          </w:p>
          <w:p>
            <w:r>
              <w:t>每个工位内，配有单独带漏电保护空气开关的220 伏交流电源，工位内的电缆线应符合安全要求。每个竞赛工位按照1000W 的用电负荷来规划准备。</w:t>
            </w:r>
          </w:p>
          <w:p>
            <w:r>
              <w:t>每个竞赛工位面积3～4 ２ ｍ ，工位之间由隔板隔开，以确保参赛队之间互不干扰。竞赛工位标明工位号，并配备竞赛平台和技术工作要求的软、硬件。</w:t>
            </w:r>
          </w:p>
          <w:p>
            <w:r>
              <w:t>环境标准要求保证赛场采光（大于500lux）、照明和通风良好，为每支参赛队提供笔、纸张等工具，提供饮用水、垃圾箱。</w:t>
            </w:r>
          </w:p>
          <w:p>
            <w:pPr>
              <w:ind w:firstLine="420" w:firstLineChars="200"/>
            </w:pPr>
            <w:r>
              <w:rPr>
                <w:rFonts w:hint="eastAsia"/>
              </w:rPr>
              <w:t>赛项执委会提供个人计算机（安装 Windows 操作系统），用以组建竞赛操作环境，为参赛选手提供解题过程中的工具软件，并安装 Office 等常用应用软件。</w:t>
            </w:r>
          </w:p>
          <w:p>
            <w:r>
              <w:rPr>
                <w:rFonts w:hint="eastAsia"/>
              </w:rPr>
              <w:t>赛项执委会提供Python编程教赛平台环境。</w:t>
            </w:r>
          </w:p>
          <w:p>
            <w:pPr>
              <w:widowControl/>
              <w:jc w:val="center"/>
              <w:rPr>
                <w:rFonts w:ascii="宋体" w:hAnsi="宋体" w:cs="宋体"/>
                <w:kern w:val="0"/>
                <w:sz w:val="24"/>
              </w:rPr>
            </w:pPr>
            <w:r>
              <w:rPr>
                <w:rFonts w:ascii="宋体" w:hAnsi="宋体" w:cs="宋体"/>
                <w:kern w:val="0"/>
                <w:sz w:val="24"/>
              </w:rPr>
              <w:drawing>
                <wp:inline distT="0" distB="0" distL="0" distR="0">
                  <wp:extent cx="4861560" cy="5158105"/>
                  <wp:effectExtent l="0" t="0" r="0" b="4445"/>
                  <wp:docPr id="7" name="图片 7" descr="C:\Users\Administrator\AppData\Roaming\Tencent\Users\1260050289\QQ\WinTemp\RichOle\VH]Q}Y0V{6T[ZT2503$$58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260050289\QQ\WinTemp\RichOle\VH]Q}Y0V{6T[ZT2503$$58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61560" cy="5158690"/>
                          </a:xfrm>
                          <a:prstGeom prst="rect">
                            <a:avLst/>
                          </a:prstGeom>
                          <a:noFill/>
                          <a:ln>
                            <a:noFill/>
                          </a:ln>
                        </pic:spPr>
                      </pic:pic>
                    </a:graphicData>
                  </a:graphic>
                </wp:inline>
              </w:drawing>
            </w:r>
          </w:p>
          <w:p>
            <w:pPr>
              <w:numPr>
                <w:ilvl w:val="0"/>
                <w:numId w:val="3"/>
              </w:numPr>
            </w:pPr>
            <w:r>
              <w:t>组织分工</w:t>
            </w:r>
          </w:p>
          <w:p>
            <w:r>
              <w:t>1. 本竞赛参与赛项成绩管理的组织机构包括裁判组和监督仲裁组。裁判组实行“裁判长负责制”，设检录裁判、加密裁判、现场裁判和评分裁判。</w:t>
            </w:r>
          </w:p>
          <w:p>
            <w:r>
              <w:t>2. 监督仲裁组对裁判组的工作进行全程监督，并对竞赛成绩抽检复核。</w:t>
            </w:r>
          </w:p>
          <w:p>
            <w:r>
              <w:t>3. 监督仲裁组负责接受由参赛队领队提出的对裁判结果的申诉，组织复议并及时反馈复议结果。</w:t>
            </w:r>
          </w:p>
          <w:p>
            <w:pPr>
              <w:numPr>
                <w:ilvl w:val="0"/>
                <w:numId w:val="3"/>
              </w:numPr>
            </w:pPr>
            <w:r>
              <w:rPr>
                <w:rFonts w:hint="eastAsia"/>
              </w:rPr>
              <w:t>大赛保障</w:t>
            </w:r>
          </w:p>
          <w:p>
            <w:r>
              <w:rPr>
                <w:rFonts w:hint="eastAsia"/>
              </w:rPr>
              <w:t>1.环境安全保障</w:t>
            </w:r>
          </w:p>
          <w:p>
            <w:pPr>
              <w:ind w:firstLine="420" w:firstLineChars="200"/>
            </w:pPr>
            <w:r>
              <w:rPr>
                <w:rFonts w:hint="eastAsia"/>
              </w:rPr>
              <w:t>赛场组织与管理人员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r>
              <w:rPr>
                <w:rFonts w:hint="eastAsia"/>
              </w:rPr>
              <w:t>2.信息安全保障</w:t>
            </w:r>
          </w:p>
          <w:p>
            <w:pPr>
              <w:ind w:firstLine="420" w:firstLineChars="200"/>
            </w:pPr>
            <w:r>
              <w:rPr>
                <w:rFonts w:hint="eastAsia"/>
              </w:rPr>
              <w:t>安装 UPS：采用 UPS 防止现场因突然断电导致的系统数据丢失，额定功率： 3KVA，后备时间：2 小时，电池类型：输出电压：230V±5%V；市电采用双路供电。</w:t>
            </w:r>
          </w:p>
          <w:p>
            <w:r>
              <w:rPr>
                <w:rFonts w:hint="eastAsia"/>
              </w:rPr>
              <w:t>3.操作安全保障</w:t>
            </w:r>
          </w:p>
          <w:p>
            <w:pPr>
              <w:ind w:firstLine="420" w:firstLineChars="200"/>
            </w:pPr>
            <w:r>
              <w:rPr>
                <w:rFonts w:hint="eastAsia"/>
              </w:rPr>
              <w:t>赛前要对选手进行计算机、网络设备、工具等操作的安全培训，进行安全操作的宣讲，确保每个队员能够安全操作设备后方可进行比赛。裁判员在比赛前， 宣读安全注意事项，强调用火、用电安全规则。整个大赛过程邀请当地公安系统、卫生系统和保险系统协助支持。参赛队选手从参赛校到承办校的旅途安全由各省市负责，参赛选手竞赛过程中的安全保障由竞赛组委会负责。</w:t>
            </w:r>
          </w:p>
          <w:p>
            <w:r>
              <w:rPr>
                <w:rFonts w:hint="eastAsia"/>
              </w:rPr>
              <w:t>4.赛项执委会须在赛前组织专人对比赛现场、住宿场所和交通保障进行考察， 并对安全工作提出明确要求。赛场的布置，赛场内的器材、设备，应符合国家有关安全规定。承办单位赛前须按照赛项执委会要求排除安全隐患。</w:t>
            </w:r>
          </w:p>
          <w:p>
            <w:r>
              <w:rPr>
                <w:rFonts w:hint="eastAsia"/>
              </w:rPr>
              <w:t>5.根据大赛组委会和当地教育厅要求做好疫情防控工作。</w:t>
            </w:r>
          </w:p>
          <w:p>
            <w:r>
              <w:rPr>
                <w:rFonts w:hint="eastAsia"/>
              </w:rPr>
              <w:t>6.赛场周围要设立警戒线，防止无关人员进入发生意外事件。比赛现场内应 参照相关职业岗位的要求为选手提供必要的劳动保护。在具有危险性的操作环节， 裁判员要严防选手出现错误操作。</w:t>
            </w:r>
          </w:p>
          <w:p>
            <w:r>
              <w:rPr>
                <w:rFonts w:hint="eastAsia"/>
              </w:rPr>
              <w:t>7.承办单位应提供保证应急预案实施的条件。对于比赛内容涉及高空作业、可能有坠物、大用电量、易发生火灾等情况的赛项，必须明确制度和预案，并配备急救人员与设施。</w:t>
            </w:r>
          </w:p>
          <w:p>
            <w:r>
              <w:rPr>
                <w:rFonts w:hint="eastAsia"/>
              </w:rPr>
              <w:t>8.赛项执委会须会同承办单位制定开放赛场和体验区的人员疏导方案。赛场环境中存在人员密集、车流人流交错的区域，除了设置齐全的指示标志外，须增加引导人员，并开辟备用通道。</w:t>
            </w:r>
          </w:p>
          <w:p>
            <w:r>
              <w:rPr>
                <w:rFonts w:hint="eastAsia"/>
              </w:rPr>
              <w:t>9.大赛期间，赛项承办单位须在赛场管理的关键岗位，增加力量，建立安全管理日志。</w:t>
            </w:r>
          </w:p>
          <w:p>
            <w:r>
              <w:rPr>
                <w:rFonts w:hint="eastAsia"/>
              </w:rPr>
              <w:t>10.参赛选手进入赛位、赛事裁判工作人员进入工作场所，严禁携带通讯、照相摄录设备，禁止携带记录用具。如确有需要，由赛场统一配置、统一管理。赛项可根据需要配置安检设备对进入赛场重要部位的人员进行安检。</w:t>
            </w:r>
          </w:p>
          <w:p>
            <w:r>
              <w:rPr>
                <w:rFonts w:hint="eastAsia"/>
              </w:rPr>
              <w:t>（四）生活条件</w:t>
            </w:r>
          </w:p>
          <w:p>
            <w:r>
              <w:rPr>
                <w:rFonts w:hint="eastAsia"/>
              </w:rPr>
              <w:t>1.比赛期间，原则上由赛事承办单位统一安排参赛选手和指导教师食宿（费用自理）。承办单位须尊重少数民族的信仰及文化，根据国家相关的民族政策， 安排好少数民族选手和教师的饮食起居。</w:t>
            </w:r>
          </w:p>
          <w:p>
            <w:r>
              <w:rPr>
                <w:rFonts w:hint="eastAsia"/>
              </w:rPr>
              <w:t>2.比赛期间安排的住宿地应具有宾馆/住宿经营许可资质。以学校宿舍作为住宿地的，大赛期间的住宿、卫生、饮食安全等由赛项执委会和提供宿舍的学校共同负责。</w:t>
            </w:r>
          </w:p>
          <w:p>
            <w:r>
              <w:rPr>
                <w:rFonts w:hint="eastAsia"/>
              </w:rPr>
              <w:t>3.大赛期间有组织的参观和观摩活动的交通安全由赛项执委会负责。赛项执委会和承办单位须保证比赛期间选手、指导教师和裁判员、工作人员的交通安全。</w:t>
            </w:r>
          </w:p>
          <w:p>
            <w:r>
              <w:rPr>
                <w:rFonts w:hint="eastAsia"/>
              </w:rPr>
              <w:t>4.各赛项的安全管理，除了可以采取必要的安全隔离措施外，应严格遵守国家相关法律法规，保护个人隐私和人身自由。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908" w:type="dxa"/>
            <w:shd w:val="clear" w:color="auto" w:fill="auto"/>
            <w:vAlign w:val="center"/>
          </w:tcPr>
          <w:p>
            <w:pPr>
              <w:jc w:val="center"/>
            </w:pPr>
            <w:r>
              <w:rPr>
                <w:rFonts w:hint="eastAsia"/>
              </w:rPr>
              <w:t>推荐</w:t>
            </w:r>
          </w:p>
          <w:p>
            <w:pPr>
              <w:jc w:val="center"/>
            </w:pPr>
            <w:r>
              <w:rPr>
                <w:rFonts w:hint="eastAsia"/>
              </w:rPr>
              <w:t>国赛</w:t>
            </w:r>
          </w:p>
          <w:p>
            <w:pPr>
              <w:jc w:val="center"/>
            </w:pPr>
            <w:r>
              <w:rPr>
                <w:rFonts w:hint="eastAsia"/>
              </w:rPr>
              <w:t>选手</w:t>
            </w:r>
          </w:p>
          <w:p>
            <w:pPr>
              <w:jc w:val="center"/>
            </w:pPr>
            <w:r>
              <w:rPr>
                <w:rFonts w:hint="eastAsia"/>
              </w:rPr>
              <w:t>程序</w:t>
            </w:r>
          </w:p>
          <w:p>
            <w:pPr>
              <w:jc w:val="center"/>
            </w:pPr>
            <w:r>
              <w:rPr>
                <w:rFonts w:hint="eastAsia"/>
              </w:rPr>
              <w:t>条件</w:t>
            </w:r>
          </w:p>
        </w:tc>
        <w:tc>
          <w:tcPr>
            <w:tcW w:w="815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8" w:type="dxa"/>
            <w:shd w:val="clear" w:color="auto" w:fill="auto"/>
            <w:vAlign w:val="center"/>
          </w:tcPr>
          <w:p>
            <w:pPr>
              <w:jc w:val="center"/>
            </w:pPr>
            <w:r>
              <w:rPr>
                <w:rFonts w:hint="eastAsia"/>
              </w:rPr>
              <w:t>国赛</w:t>
            </w:r>
          </w:p>
          <w:p>
            <w:pPr>
              <w:jc w:val="center"/>
            </w:pPr>
            <w:r>
              <w:rPr>
                <w:rFonts w:hint="eastAsia"/>
              </w:rPr>
              <w:t>集训</w:t>
            </w:r>
          </w:p>
          <w:p>
            <w:pPr>
              <w:jc w:val="center"/>
            </w:pPr>
            <w:r>
              <w:rPr>
                <w:rFonts w:hint="eastAsia"/>
              </w:rPr>
              <w:t>安排</w:t>
            </w:r>
          </w:p>
        </w:tc>
        <w:tc>
          <w:tcPr>
            <w:tcW w:w="815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908" w:type="dxa"/>
            <w:shd w:val="clear" w:color="auto" w:fill="auto"/>
            <w:vAlign w:val="center"/>
          </w:tcPr>
          <w:p>
            <w:pPr>
              <w:jc w:val="center"/>
            </w:pPr>
          </w:p>
          <w:p>
            <w:pPr>
              <w:jc w:val="center"/>
            </w:pPr>
            <w:r>
              <w:rPr>
                <w:rFonts w:hint="eastAsia"/>
              </w:rPr>
              <w:t>其他</w:t>
            </w:r>
          </w:p>
          <w:p>
            <w:pPr>
              <w:jc w:val="center"/>
            </w:pPr>
            <w:r>
              <w:rPr>
                <w:rFonts w:hint="eastAsia"/>
              </w:rPr>
              <w:t>需要</w:t>
            </w:r>
          </w:p>
          <w:p>
            <w:pPr>
              <w:jc w:val="center"/>
            </w:pPr>
            <w:r>
              <w:rPr>
                <w:rFonts w:hint="eastAsia"/>
              </w:rPr>
              <w:t>说明</w:t>
            </w:r>
          </w:p>
          <w:p>
            <w:pPr>
              <w:jc w:val="center"/>
            </w:pPr>
            <w:r>
              <w:rPr>
                <w:rFonts w:hint="eastAsia"/>
              </w:rPr>
              <w:t>的</w:t>
            </w:r>
          </w:p>
          <w:p>
            <w:pPr>
              <w:jc w:val="center"/>
            </w:pPr>
            <w:r>
              <w:rPr>
                <w:rFonts w:hint="eastAsia"/>
              </w:rPr>
              <w:t>情况</w:t>
            </w:r>
          </w:p>
          <w:p>
            <w:pPr>
              <w:jc w:val="center"/>
            </w:pPr>
          </w:p>
        </w:tc>
        <w:tc>
          <w:tcPr>
            <w:tcW w:w="8152" w:type="dxa"/>
            <w:shd w:val="clear" w:color="auto" w:fill="auto"/>
          </w:tcPr>
          <w:p/>
          <w:p/>
        </w:tc>
      </w:tr>
    </w:tbl>
    <w:p>
      <w:pPr>
        <w:numPr>
          <w:ilvl w:val="0"/>
          <w:numId w:val="4"/>
        </w:numPr>
        <w:spacing w:line="520" w:lineRule="exact"/>
        <w:rPr>
          <w:rFonts w:eastAsia="黑体"/>
          <w:sz w:val="30"/>
          <w:szCs w:val="30"/>
        </w:rPr>
      </w:pPr>
      <w:r>
        <w:rPr>
          <w:rFonts w:eastAsia="黑体"/>
          <w:sz w:val="30"/>
          <w:szCs w:val="30"/>
        </w:rPr>
        <w:t>申请单位意见</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978" w:type="dxa"/>
            <w:shd w:val="clear" w:color="auto" w:fill="auto"/>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8082" w:type="dxa"/>
            <w:shd w:val="clear" w:color="auto" w:fill="auto"/>
          </w:tcPr>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w:t>
            </w:r>
          </w:p>
          <w:p>
            <w:r>
              <w:t>申请书所填写的内容属实；赛项承办负责人及参加者的政治和业务素质适合承担本赛项的申报、实施工作；本单位能提供完成本赛项所需的设备、技术和时间；本单位同意承担本赛项顺利开展的全部细则任务。</w:t>
            </w:r>
          </w:p>
          <w:p/>
          <w:p/>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p>
          <w:p>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年 月 日</w:t>
            </w:r>
          </w:p>
        </w:tc>
      </w:tr>
    </w:tbl>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w:altName w:val="Segoe Print"/>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pPr>
                      <w:pStyle w:val="7"/>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C32424"/>
    <w:multiLevelType w:val="singleLevel"/>
    <w:tmpl w:val="5DC32424"/>
    <w:lvl w:ilvl="0" w:tentative="0">
      <w:start w:val="3"/>
      <w:numFmt w:val="decimal"/>
      <w:suff w:val="nothing"/>
      <w:lvlText w:val="（%1）"/>
      <w:lvlJc w:val="left"/>
    </w:lvl>
  </w:abstractNum>
  <w:abstractNum w:abstractNumId="2">
    <w:nsid w:val="62FEEBF3"/>
    <w:multiLevelType w:val="singleLevel"/>
    <w:tmpl w:val="62FEEBF3"/>
    <w:lvl w:ilvl="0" w:tentative="0">
      <w:start w:val="1"/>
      <w:numFmt w:val="chineseCounting"/>
      <w:suff w:val="nothing"/>
      <w:lvlText w:val="（%1）"/>
      <w:lvlJc w:val="left"/>
      <w:rPr>
        <w:rFonts w:hint="eastAsia"/>
      </w:rPr>
    </w:lvl>
  </w:abstractNum>
  <w:abstractNum w:abstractNumId="3">
    <w:nsid w:val="6AF593C9"/>
    <w:multiLevelType w:val="singleLevel"/>
    <w:tmpl w:val="6AF593C9"/>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Njc5N2JmYmVmYTA2ZjczOWRkYmRjYjExZDEwYWUifQ=="/>
  </w:docVars>
  <w:rsids>
    <w:rsidRoot w:val="00564F6E"/>
    <w:rsid w:val="000649FB"/>
    <w:rsid w:val="001E371B"/>
    <w:rsid w:val="00564F6E"/>
    <w:rsid w:val="008F31C0"/>
    <w:rsid w:val="00A8250F"/>
    <w:rsid w:val="00BD56CE"/>
    <w:rsid w:val="00E93B6B"/>
    <w:rsid w:val="05600E1D"/>
    <w:rsid w:val="0F8E2A2A"/>
    <w:rsid w:val="14524026"/>
    <w:rsid w:val="17D3547E"/>
    <w:rsid w:val="18B352B0"/>
    <w:rsid w:val="2A946CEF"/>
    <w:rsid w:val="2BD650E5"/>
    <w:rsid w:val="3CF253B5"/>
    <w:rsid w:val="44F248E6"/>
    <w:rsid w:val="54AF45A2"/>
    <w:rsid w:val="55CE0E13"/>
    <w:rsid w:val="67762CFD"/>
    <w:rsid w:val="6A731776"/>
    <w:rsid w:val="7782124A"/>
    <w:rsid w:val="7D8A5A6D"/>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autoSpaceDE w:val="0"/>
      <w:autoSpaceDN w:val="0"/>
      <w:jc w:val="left"/>
    </w:pPr>
    <w:rPr>
      <w:rFonts w:ascii="等线" w:hAnsi="等线" w:eastAsia="等线" w:cs="等线"/>
      <w:kern w:val="0"/>
      <w:sz w:val="32"/>
      <w:szCs w:val="32"/>
      <w:lang w:val="zh-CN" w:bidi="zh-CN"/>
    </w:rPr>
  </w:style>
  <w:style w:type="paragraph" w:styleId="4">
    <w:name w:val="Plain Text"/>
    <w:basedOn w:val="1"/>
    <w:unhideWhenUsed/>
    <w:qFormat/>
    <w:uiPriority w:val="0"/>
    <w:pPr>
      <w:widowControl/>
      <w:jc w:val="left"/>
    </w:pPr>
    <w:rPr>
      <w:rFonts w:ascii="宋体" w:hAnsi="Courier New" w:cs="Courier New"/>
      <w:kern w:val="0"/>
      <w:szCs w:val="21"/>
    </w:rPr>
  </w:style>
  <w:style w:type="paragraph" w:styleId="5">
    <w:name w:val="Date"/>
    <w:basedOn w:val="1"/>
    <w:next w:val="1"/>
    <w:link w:val="15"/>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link w:val="14"/>
    <w:qFormat/>
    <w:uiPriority w:val="0"/>
    <w:pPr>
      <w:snapToGrid w:val="0"/>
      <w:jc w:val="left"/>
    </w:pPr>
    <w:rPr>
      <w:sz w:val="18"/>
      <w:szCs w:val="18"/>
    </w:rPr>
  </w:style>
  <w:style w:type="paragraph" w:styleId="8">
    <w:name w:val="header"/>
    <w:basedOn w:val="1"/>
    <w:link w:val="13"/>
    <w:qFormat/>
    <w:uiPriority w:val="0"/>
    <w:pPr>
      <w:pBdr>
        <w:bottom w:val="single" w:color="auto" w:sz="6" w:space="1"/>
      </w:pBdr>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表段落1"/>
    <w:basedOn w:val="1"/>
    <w:qFormat/>
    <w:uiPriority w:val="0"/>
    <w:pPr>
      <w:ind w:firstLine="420" w:firstLineChars="200"/>
    </w:pPr>
  </w:style>
  <w:style w:type="character" w:customStyle="1" w:styleId="13">
    <w:name w:val="页眉 Char"/>
    <w:basedOn w:val="11"/>
    <w:link w:val="8"/>
    <w:qFormat/>
    <w:uiPriority w:val="0"/>
    <w:rPr>
      <w:rFonts w:hint="default" w:ascii="Times New Roman" w:hAnsi="Times New Roman" w:eastAsia="宋体" w:cs="Times New Roman"/>
      <w:sz w:val="18"/>
      <w:szCs w:val="18"/>
    </w:rPr>
  </w:style>
  <w:style w:type="character" w:customStyle="1" w:styleId="14">
    <w:name w:val="页脚 Char"/>
    <w:basedOn w:val="11"/>
    <w:link w:val="7"/>
    <w:qFormat/>
    <w:uiPriority w:val="0"/>
    <w:rPr>
      <w:rFonts w:hint="default" w:ascii="Times New Roman" w:hAnsi="Times New Roman" w:eastAsia="宋体" w:cs="Times New Roman"/>
      <w:sz w:val="18"/>
      <w:szCs w:val="18"/>
    </w:rPr>
  </w:style>
  <w:style w:type="character" w:customStyle="1" w:styleId="15">
    <w:name w:val="日期 Char"/>
    <w:basedOn w:val="11"/>
    <w:link w:val="5"/>
    <w:qFormat/>
    <w:uiPriority w:val="0"/>
    <w:rPr>
      <w:kern w:val="2"/>
      <w:sz w:val="21"/>
      <w:szCs w:val="24"/>
    </w:rPr>
  </w:style>
  <w:style w:type="character" w:customStyle="1" w:styleId="16">
    <w:name w:val="正文文本 Char"/>
    <w:basedOn w:val="11"/>
    <w:qFormat/>
    <w:uiPriority w:val="0"/>
    <w:rPr>
      <w:kern w:val="2"/>
      <w:sz w:val="21"/>
      <w:szCs w:val="24"/>
    </w:rPr>
  </w:style>
  <w:style w:type="character" w:customStyle="1" w:styleId="17">
    <w:name w:val="正文文本 Char1"/>
    <w:basedOn w:val="11"/>
    <w:link w:val="2"/>
    <w:qFormat/>
    <w:locked/>
    <w:uiPriority w:val="0"/>
    <w:rPr>
      <w:rFonts w:hint="default" w:ascii="等线" w:hAnsi="等线" w:eastAsia="等线" w:cs="等线"/>
      <w:sz w:val="32"/>
      <w:szCs w:val="32"/>
      <w:lang w:val="zh-CN" w:bidi="zh-CN"/>
    </w:rPr>
  </w:style>
  <w:style w:type="character" w:customStyle="1" w:styleId="18">
    <w:name w:val="批注框文本 Char"/>
    <w:basedOn w:val="11"/>
    <w:link w:val="6"/>
    <w:qFormat/>
    <w:uiPriority w:val="0"/>
    <w:rPr>
      <w:kern w:val="2"/>
      <w:sz w:val="18"/>
      <w:szCs w:val="18"/>
    </w:rPr>
  </w:style>
  <w:style w:type="paragraph" w:customStyle="1" w:styleId="19">
    <w:name w:val="列出段落1"/>
    <w:basedOn w:val="1"/>
    <w:qFormat/>
    <w:uiPriority w:val="0"/>
    <w:pPr>
      <w:ind w:firstLine="420" w:firstLineChars="200"/>
    </w:pPr>
  </w:style>
  <w:style w:type="paragraph" w:customStyle="1" w:styleId="20">
    <w:name w:val="Table Paragraph"/>
    <w:basedOn w:val="1"/>
    <w:qFormat/>
    <w:uiPriority w:val="1"/>
    <w:rPr>
      <w:rFonts w:ascii="仿宋" w:hAnsi="仿宋" w:eastAsia="仿宋" w:cs="仿宋"/>
      <w:lang w:val="zh-CN" w:bidi="zh-CN"/>
    </w:rPr>
  </w:style>
  <w:style w:type="paragraph" w:customStyle="1" w:styleId="21">
    <w:name w:val="p1"/>
    <w:basedOn w:val="1"/>
    <w:qFormat/>
    <w:uiPriority w:val="0"/>
    <w:pPr>
      <w:jc w:val="left"/>
    </w:pPr>
    <w:rPr>
      <w:rFonts w:ascii="times" w:hAnsi="times" w:eastAsia="times"/>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7764</Words>
  <Characters>8204</Characters>
  <Lines>61</Lines>
  <Paragraphs>17</Paragraphs>
  <TotalTime>6</TotalTime>
  <ScaleCrop>false</ScaleCrop>
  <LinksUpToDate>false</LinksUpToDate>
  <CharactersWithSpaces>8323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2022-10-21T08:39:00Z</dcterms:created>
  <dc:creator>china</dc:creator>
  <cp:lastModifiedBy>laijimin</cp:lastModifiedBy>
  <cp:lastPrinted>2021-09-09T15:22:00Z</cp:lastPrinted>
  <dcterms:modified xsi:type="dcterms:W3CDTF">2022-10-21T09:59:35Z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44E3C6EFC6DE4F519D9F614544C2ABC3</vt:lpwstr>
  </property>
</Properties>
</file>