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360" w:lineRule="auto"/>
        <w:jc w:val="center"/>
        <w:rPr>
          <w:rFonts w:ascii="Times New Roman" w:hAnsi="Times New Roman" w:eastAsia="黑体"/>
          <w:b/>
          <w:sz w:val="36"/>
          <w:szCs w:val="36"/>
        </w:rPr>
      </w:pPr>
      <w:r>
        <w:rPr>
          <w:rFonts w:hint="eastAsia" w:ascii="Times New Roman" w:hAnsi="Times New Roman" w:eastAsia="黑体"/>
          <w:b/>
          <w:sz w:val="36"/>
          <w:szCs w:val="36"/>
          <w:lang w:val="en-US" w:eastAsia="zh-CN"/>
        </w:rPr>
        <w:t>2024年河北省</w:t>
      </w:r>
      <w:r>
        <w:rPr>
          <w:rFonts w:hint="eastAsia" w:ascii="Times New Roman" w:hAnsi="Times New Roman" w:eastAsia="黑体"/>
          <w:b/>
          <w:sz w:val="36"/>
          <w:szCs w:val="36"/>
        </w:rPr>
        <w:t>职业院校技能大赛</w:t>
      </w:r>
    </w:p>
    <w:p>
      <w:pPr>
        <w:widowControl w:val="0"/>
        <w:snapToGrid w:val="0"/>
        <w:spacing w:line="360" w:lineRule="auto"/>
        <w:jc w:val="center"/>
        <w:outlineLvl w:val="0"/>
        <w:rPr>
          <w:rFonts w:hint="eastAsia" w:ascii="Times New Roman" w:hAnsi="Times New Roman" w:eastAsia="黑体"/>
          <w:b/>
          <w:sz w:val="36"/>
          <w:szCs w:val="36"/>
        </w:rPr>
      </w:pPr>
      <w:r>
        <w:rPr>
          <w:rFonts w:hint="eastAsia" w:ascii="Times New Roman" w:hAnsi="Times New Roman" w:eastAsia="黑体"/>
          <w:b/>
          <w:sz w:val="36"/>
          <w:szCs w:val="36"/>
        </w:rPr>
        <w:t>跨境电子商务赛项规程</w:t>
      </w:r>
    </w:p>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一、赛项信息</w:t>
      </w:r>
    </w:p>
    <w:tbl>
      <w:tblPr>
        <w:tblStyle w:val="10"/>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1701"/>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4"/>
            <w:vAlign w:val="center"/>
          </w:tcPr>
          <w:p>
            <w:pPr>
              <w:adjustRightInd w:val="0"/>
              <w:snapToGrid w:val="0"/>
              <w:spacing w:line="560" w:lineRule="exact"/>
              <w:jc w:val="center"/>
              <w:rPr>
                <w:rFonts w:ascii="仿宋" w:hAnsi="仿宋" w:eastAsia="仿宋"/>
              </w:rPr>
            </w:pPr>
            <w:r>
              <w:rPr>
                <w:rFonts w:ascii="仿宋" w:hAnsi="仿宋" w:eastAsia="仿宋"/>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4"/>
            <w:vAlign w:val="center"/>
          </w:tcPr>
          <w:p>
            <w:pPr>
              <w:adjustRightInd w:val="0"/>
              <w:snapToGrid w:val="0"/>
              <w:spacing w:line="560" w:lineRule="exact"/>
              <w:jc w:val="center"/>
              <w:rPr>
                <w:rFonts w:ascii="仿宋" w:hAnsi="仿宋" w:eastAsia="仿宋"/>
                <w:b/>
                <w:sz w:val="28"/>
                <w:szCs w:val="28"/>
              </w:rPr>
            </w:pPr>
            <w:r>
              <w:rPr>
                <w:rFonts w:ascii="仿宋" w:hAnsi="仿宋" w:eastAsia="仿宋"/>
              </w:rPr>
              <w:sym w:font="Wingdings 2" w:char="00A3"/>
            </w:r>
            <w:r>
              <w:rPr>
                <w:rFonts w:ascii="仿宋" w:hAnsi="仿宋" w:eastAsia="仿宋"/>
              </w:rPr>
              <w:t xml:space="preserve">中等职业教育   </w:t>
            </w:r>
            <w:r>
              <w:rPr>
                <w:rFonts w:hint="eastAsia" w:ascii="仿宋" w:hAnsi="仿宋" w:eastAsia="仿宋"/>
              </w:rPr>
              <w:t>■</w:t>
            </w:r>
            <w:r>
              <w:rPr>
                <w:rFonts w:ascii="仿宋" w:hAnsi="仿宋" w:eastAsia="仿宋"/>
              </w:rPr>
              <w:t>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4"/>
            <w:vAlign w:val="center"/>
          </w:tcPr>
          <w:p>
            <w:pPr>
              <w:adjustRightInd w:val="0"/>
              <w:snapToGrid w:val="0"/>
              <w:spacing w:line="560" w:lineRule="exact"/>
              <w:jc w:val="center"/>
              <w:rPr>
                <w:rFonts w:ascii="仿宋" w:hAnsi="仿宋" w:eastAsia="仿宋"/>
              </w:rPr>
            </w:pPr>
            <w:r>
              <w:rPr>
                <w:rFonts w:hint="eastAsia" w:ascii="仿宋" w:hAnsi="仿宋" w:eastAsia="仿宋"/>
              </w:rPr>
              <w:t>■</w:t>
            </w:r>
            <w:r>
              <w:rPr>
                <w:rFonts w:ascii="仿宋" w:hAnsi="仿宋" w:eastAsia="仿宋"/>
              </w:rPr>
              <w:t>学生赛（</w:t>
            </w:r>
            <w:r>
              <w:rPr>
                <w:rFonts w:ascii="仿宋" w:hAnsi="仿宋" w:eastAsia="仿宋"/>
              </w:rPr>
              <w:sym w:font="Wingdings 2" w:char="00A3"/>
            </w:r>
            <w:r>
              <w:rPr>
                <w:rFonts w:ascii="仿宋" w:hAnsi="仿宋" w:eastAsia="仿宋"/>
              </w:rPr>
              <w:t>个人/</w:t>
            </w:r>
            <w:r>
              <w:rPr>
                <w:rFonts w:hint="eastAsia" w:ascii="仿宋" w:hAnsi="仿宋" w:eastAsia="仿宋"/>
              </w:rPr>
              <w:t>■</w:t>
            </w:r>
            <w:r>
              <w:rPr>
                <w:rFonts w:ascii="仿宋" w:hAnsi="仿宋" w:eastAsia="仿宋"/>
              </w:rPr>
              <w:t xml:space="preserve">团体） </w:t>
            </w:r>
            <w:r>
              <w:rPr>
                <w:rFonts w:ascii="仿宋" w:hAnsi="仿宋" w:eastAsia="仿宋"/>
              </w:rPr>
              <w:sym w:font="Wingdings 2" w:char="00A3"/>
            </w:r>
            <w:r>
              <w:rPr>
                <w:rFonts w:ascii="仿宋" w:hAnsi="仿宋" w:eastAsia="仿宋"/>
              </w:rPr>
              <w:t xml:space="preserve">师生同赛  </w:t>
            </w:r>
            <w:r>
              <w:rPr>
                <w:rFonts w:ascii="仿宋" w:hAnsi="仿宋" w:eastAsia="仿宋"/>
              </w:rPr>
              <w:sym w:font="Wingdings 2" w:char="00A3"/>
            </w:r>
            <w:r>
              <w:rPr>
                <w:rFonts w:ascii="仿宋" w:hAnsi="仿宋" w:eastAsia="仿宋"/>
              </w:rPr>
              <w:t>教师赛（</w:t>
            </w:r>
            <w:r>
              <w:rPr>
                <w:rFonts w:ascii="仿宋" w:hAnsi="仿宋" w:eastAsia="仿宋"/>
              </w:rPr>
              <w:sym w:font="Wingdings 2" w:char="00A3"/>
            </w:r>
            <w:r>
              <w:rPr>
                <w:rFonts w:ascii="仿宋" w:hAnsi="仿宋" w:eastAsia="仿宋"/>
              </w:rPr>
              <w:t>个人/</w:t>
            </w:r>
            <w:r>
              <w:rPr>
                <w:rFonts w:ascii="仿宋" w:hAnsi="仿宋" w:eastAsia="仿宋"/>
              </w:rPr>
              <w:sym w:font="Wingdings 2" w:char="00A3"/>
            </w:r>
            <w:r>
              <w:rPr>
                <w:rFonts w:ascii="仿宋" w:hAnsi="仿宋" w:eastAsia="仿宋"/>
              </w:rPr>
              <w:t>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4"/>
            <w:vAlign w:val="center"/>
          </w:tcPr>
          <w:p>
            <w:pPr>
              <w:adjustRightInd w:val="0"/>
              <w:snapToGrid w:val="0"/>
              <w:spacing w:line="560" w:lineRule="exact"/>
              <w:jc w:val="center"/>
              <w:rPr>
                <w:rFonts w:ascii="仿宋" w:hAnsi="仿宋" w:eastAsia="仿宋"/>
              </w:rPr>
            </w:pPr>
            <w:r>
              <w:rPr>
                <w:rFonts w:ascii="仿宋" w:hAnsi="仿宋" w:eastAsia="仿宋"/>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271" w:type="dxa"/>
            <w:vAlign w:val="center"/>
          </w:tcPr>
          <w:p>
            <w:pPr>
              <w:adjustRightInd w:val="0"/>
              <w:snapToGrid w:val="0"/>
              <w:jc w:val="center"/>
              <w:rPr>
                <w:rFonts w:ascii="仿宋" w:hAnsi="仿宋" w:eastAsia="仿宋"/>
                <w:b/>
              </w:rPr>
            </w:pPr>
            <w:r>
              <w:rPr>
                <w:rFonts w:ascii="仿宋" w:hAnsi="仿宋" w:eastAsia="仿宋"/>
              </w:rPr>
              <w:t>专业大类</w:t>
            </w:r>
          </w:p>
        </w:tc>
        <w:tc>
          <w:tcPr>
            <w:tcW w:w="1418" w:type="dxa"/>
            <w:vAlign w:val="center"/>
          </w:tcPr>
          <w:p>
            <w:pPr>
              <w:adjustRightInd w:val="0"/>
              <w:snapToGrid w:val="0"/>
              <w:jc w:val="center"/>
              <w:rPr>
                <w:rFonts w:ascii="仿宋" w:hAnsi="仿宋" w:eastAsia="仿宋"/>
                <w:b/>
              </w:rPr>
            </w:pPr>
            <w:r>
              <w:rPr>
                <w:rFonts w:ascii="仿宋" w:hAnsi="仿宋" w:eastAsia="仿宋"/>
              </w:rPr>
              <w:t>专业类</w:t>
            </w:r>
          </w:p>
        </w:tc>
        <w:tc>
          <w:tcPr>
            <w:tcW w:w="1701" w:type="dxa"/>
            <w:vAlign w:val="center"/>
          </w:tcPr>
          <w:p>
            <w:pPr>
              <w:adjustRightInd w:val="0"/>
              <w:snapToGrid w:val="0"/>
              <w:jc w:val="center"/>
              <w:rPr>
                <w:rFonts w:ascii="仿宋" w:hAnsi="仿宋" w:eastAsia="仿宋"/>
                <w:b/>
              </w:rPr>
            </w:pPr>
            <w:r>
              <w:rPr>
                <w:rFonts w:ascii="仿宋" w:hAnsi="仿宋" w:eastAsia="仿宋"/>
              </w:rPr>
              <w:t>专业名称</w:t>
            </w:r>
          </w:p>
        </w:tc>
        <w:tc>
          <w:tcPr>
            <w:tcW w:w="4688" w:type="dxa"/>
            <w:vAlign w:val="center"/>
          </w:tcPr>
          <w:p>
            <w:pPr>
              <w:adjustRightInd w:val="0"/>
              <w:snapToGrid w:val="0"/>
              <w:jc w:val="center"/>
              <w:rPr>
                <w:rFonts w:ascii="仿宋" w:hAnsi="仿宋" w:eastAsia="仿宋"/>
              </w:rPr>
            </w:pPr>
            <w:r>
              <w:rPr>
                <w:rFonts w:ascii="仿宋" w:hAnsi="仿宋" w:eastAsia="仿宋"/>
              </w:rPr>
              <w:t>核心课程</w:t>
            </w:r>
          </w:p>
          <w:p>
            <w:pPr>
              <w:adjustRightInd w:val="0"/>
              <w:snapToGrid w:val="0"/>
              <w:jc w:val="center"/>
              <w:rPr>
                <w:rFonts w:ascii="仿宋" w:hAnsi="仿宋" w:eastAsia="仿宋"/>
                <w:b/>
              </w:rPr>
            </w:pPr>
            <w:r>
              <w:rPr>
                <w:rFonts w:ascii="仿宋" w:hAnsi="仿宋" w:eastAsia="仿宋"/>
                <w:szCs w:val="21"/>
              </w:rPr>
              <w:t>（对应每个专业，明确涉及的专业核心课程）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restart"/>
            <w:vAlign w:val="center"/>
          </w:tcPr>
          <w:p>
            <w:pPr>
              <w:adjustRightInd w:val="0"/>
              <w:snapToGrid w:val="0"/>
              <w:jc w:val="center"/>
              <w:rPr>
                <w:rFonts w:ascii="仿宋" w:hAnsi="仿宋" w:eastAsia="仿宋"/>
                <w:bCs/>
              </w:rPr>
            </w:pPr>
            <w:r>
              <w:rPr>
                <w:rFonts w:hint="eastAsia" w:ascii="仿宋" w:hAnsi="仿宋" w:eastAsia="仿宋"/>
                <w:bCs/>
              </w:rPr>
              <w:t>财经</w:t>
            </w:r>
          </w:p>
          <w:p>
            <w:pPr>
              <w:adjustRightInd w:val="0"/>
              <w:snapToGrid w:val="0"/>
              <w:jc w:val="center"/>
              <w:rPr>
                <w:rFonts w:ascii="仿宋" w:hAnsi="仿宋" w:eastAsia="仿宋"/>
                <w:bCs/>
              </w:rPr>
            </w:pPr>
            <w:r>
              <w:rPr>
                <w:rFonts w:hint="eastAsia" w:ascii="仿宋" w:hAnsi="仿宋" w:eastAsia="仿宋"/>
                <w:bCs/>
              </w:rPr>
              <w:t>商贸类</w:t>
            </w:r>
          </w:p>
          <w:p>
            <w:pPr>
              <w:adjustRightInd w:val="0"/>
              <w:snapToGrid w:val="0"/>
              <w:jc w:val="center"/>
              <w:rPr>
                <w:rFonts w:ascii="仿宋" w:hAnsi="仿宋" w:eastAsia="仿宋"/>
                <w:bCs/>
              </w:rPr>
            </w:pPr>
            <w:r>
              <w:rPr>
                <w:rFonts w:hint="eastAsia" w:ascii="仿宋" w:hAnsi="仿宋" w:eastAsia="仿宋"/>
                <w:bCs/>
              </w:rPr>
              <w:t>（53）</w:t>
            </w:r>
          </w:p>
        </w:tc>
        <w:tc>
          <w:tcPr>
            <w:tcW w:w="1418" w:type="dxa"/>
            <w:vMerge w:val="restart"/>
            <w:vAlign w:val="center"/>
          </w:tcPr>
          <w:p>
            <w:pPr>
              <w:adjustRightInd w:val="0"/>
              <w:snapToGrid w:val="0"/>
              <w:jc w:val="center"/>
              <w:rPr>
                <w:rFonts w:ascii="仿宋" w:hAnsi="仿宋" w:eastAsia="仿宋"/>
                <w:bCs/>
              </w:rPr>
            </w:pPr>
            <w:r>
              <w:rPr>
                <w:rFonts w:hint="eastAsia" w:ascii="仿宋" w:hAnsi="仿宋" w:eastAsia="仿宋"/>
                <w:bCs/>
              </w:rPr>
              <w:t>电子</w:t>
            </w:r>
          </w:p>
          <w:p>
            <w:pPr>
              <w:adjustRightInd w:val="0"/>
              <w:snapToGrid w:val="0"/>
              <w:jc w:val="center"/>
              <w:rPr>
                <w:rFonts w:ascii="仿宋" w:hAnsi="仿宋" w:eastAsia="仿宋"/>
                <w:bCs/>
              </w:rPr>
            </w:pPr>
            <w:r>
              <w:rPr>
                <w:rFonts w:hint="eastAsia" w:ascii="仿宋" w:hAnsi="仿宋" w:eastAsia="仿宋"/>
                <w:bCs/>
              </w:rPr>
              <w:t>商务类</w:t>
            </w:r>
          </w:p>
          <w:p>
            <w:pPr>
              <w:adjustRightInd w:val="0"/>
              <w:snapToGrid w:val="0"/>
              <w:jc w:val="center"/>
              <w:rPr>
                <w:rFonts w:ascii="仿宋" w:hAnsi="仿宋" w:eastAsia="仿宋"/>
                <w:bCs/>
              </w:rPr>
            </w:pPr>
            <w:r>
              <w:rPr>
                <w:rFonts w:hint="eastAsia" w:ascii="仿宋" w:hAnsi="仿宋" w:eastAsia="仿宋"/>
                <w:bCs/>
              </w:rPr>
              <w:t>（5307）</w:t>
            </w:r>
          </w:p>
        </w:tc>
        <w:tc>
          <w:tcPr>
            <w:tcW w:w="1701" w:type="dxa"/>
            <w:vMerge w:val="restart"/>
            <w:vAlign w:val="center"/>
          </w:tcPr>
          <w:p>
            <w:pPr>
              <w:adjustRightInd w:val="0"/>
              <w:snapToGrid w:val="0"/>
              <w:jc w:val="center"/>
              <w:rPr>
                <w:rFonts w:ascii="仿宋" w:hAnsi="仿宋" w:eastAsia="仿宋"/>
                <w:bCs/>
              </w:rPr>
            </w:pPr>
            <w:r>
              <w:rPr>
                <w:rFonts w:hint="eastAsia" w:ascii="仿宋" w:hAnsi="仿宋" w:eastAsia="仿宋"/>
                <w:bCs/>
              </w:rPr>
              <w:t>跨境电子商务（530702）</w:t>
            </w:r>
          </w:p>
        </w:tc>
        <w:tc>
          <w:tcPr>
            <w:tcW w:w="4688" w:type="dxa"/>
          </w:tcPr>
          <w:p>
            <w:pPr>
              <w:adjustRightInd w:val="0"/>
              <w:snapToGrid w:val="0"/>
              <w:jc w:val="center"/>
              <w:rPr>
                <w:rFonts w:ascii="仿宋" w:hAnsi="仿宋" w:eastAsia="仿宋"/>
                <w:b/>
              </w:rPr>
            </w:pPr>
            <w:r>
              <w:rPr>
                <w:rFonts w:hint="eastAsia" w:ascii="仿宋" w:hAnsi="仿宋" w:eastAsia="仿宋"/>
              </w:rPr>
              <w:t>跨境电商运营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跨境电商数据分析与应用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选品管理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视觉营销设计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国际市场推广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跨境电商客户服务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跨境供应链管理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restart"/>
            <w:vAlign w:val="center"/>
          </w:tcPr>
          <w:p>
            <w:pPr>
              <w:adjustRightInd w:val="0"/>
              <w:snapToGrid w:val="0"/>
              <w:jc w:val="center"/>
              <w:rPr>
                <w:rFonts w:ascii="仿宋" w:hAnsi="仿宋" w:eastAsia="仿宋"/>
                <w:bCs/>
              </w:rPr>
            </w:pPr>
            <w:r>
              <w:rPr>
                <w:rFonts w:hint="eastAsia" w:ascii="仿宋" w:hAnsi="仿宋" w:eastAsia="仿宋"/>
                <w:bCs/>
              </w:rPr>
              <w:t>电子商务</w:t>
            </w:r>
          </w:p>
          <w:p>
            <w:pPr>
              <w:adjustRightInd w:val="0"/>
              <w:snapToGrid w:val="0"/>
              <w:jc w:val="center"/>
              <w:rPr>
                <w:rFonts w:ascii="仿宋" w:hAnsi="仿宋" w:eastAsia="仿宋"/>
                <w:bCs/>
              </w:rPr>
            </w:pPr>
            <w:r>
              <w:rPr>
                <w:rFonts w:hint="eastAsia" w:ascii="仿宋" w:hAnsi="仿宋" w:eastAsia="仿宋"/>
                <w:bCs/>
              </w:rPr>
              <w:t>（530701）</w:t>
            </w:r>
          </w:p>
        </w:tc>
        <w:tc>
          <w:tcPr>
            <w:tcW w:w="4688" w:type="dxa"/>
          </w:tcPr>
          <w:p>
            <w:pPr>
              <w:adjustRightInd w:val="0"/>
              <w:snapToGrid w:val="0"/>
              <w:jc w:val="center"/>
              <w:rPr>
                <w:rFonts w:ascii="仿宋" w:hAnsi="仿宋" w:eastAsia="仿宋"/>
                <w:b/>
              </w:rPr>
            </w:pPr>
            <w:r>
              <w:rPr>
                <w:rFonts w:hint="eastAsia" w:ascii="仿宋" w:hAnsi="仿宋" w:eastAsia="仿宋"/>
              </w:rPr>
              <w:t>网店运营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互联网产品开发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视觉营销设计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数据化运营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零售门店O2O运营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互联网销售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网络营销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社群运营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restart"/>
            <w:vAlign w:val="center"/>
          </w:tcPr>
          <w:p>
            <w:pPr>
              <w:adjustRightInd w:val="0"/>
              <w:snapToGrid w:val="0"/>
              <w:jc w:val="center"/>
              <w:rPr>
                <w:rFonts w:ascii="仿宋" w:hAnsi="仿宋" w:eastAsia="仿宋"/>
                <w:bCs/>
              </w:rPr>
            </w:pPr>
            <w:r>
              <w:rPr>
                <w:rFonts w:hint="eastAsia" w:ascii="仿宋" w:hAnsi="仿宋" w:eastAsia="仿宋"/>
                <w:bCs/>
              </w:rPr>
              <w:t>经济</w:t>
            </w:r>
          </w:p>
          <w:p>
            <w:pPr>
              <w:adjustRightInd w:val="0"/>
              <w:snapToGrid w:val="0"/>
              <w:jc w:val="center"/>
              <w:rPr>
                <w:rFonts w:ascii="仿宋" w:hAnsi="仿宋" w:eastAsia="仿宋"/>
                <w:bCs/>
              </w:rPr>
            </w:pPr>
            <w:r>
              <w:rPr>
                <w:rFonts w:hint="eastAsia" w:ascii="仿宋" w:hAnsi="仿宋" w:eastAsia="仿宋"/>
                <w:bCs/>
              </w:rPr>
              <w:t>贸易类</w:t>
            </w:r>
          </w:p>
          <w:p>
            <w:pPr>
              <w:adjustRightInd w:val="0"/>
              <w:snapToGrid w:val="0"/>
              <w:jc w:val="center"/>
              <w:rPr>
                <w:rFonts w:ascii="仿宋" w:hAnsi="仿宋" w:eastAsia="仿宋"/>
                <w:bCs/>
              </w:rPr>
            </w:pPr>
            <w:r>
              <w:rPr>
                <w:rFonts w:hint="eastAsia" w:ascii="仿宋" w:hAnsi="仿宋" w:eastAsia="仿宋"/>
                <w:bCs/>
              </w:rPr>
              <w:t>（5305）</w:t>
            </w:r>
          </w:p>
        </w:tc>
        <w:tc>
          <w:tcPr>
            <w:tcW w:w="1701" w:type="dxa"/>
            <w:vMerge w:val="restart"/>
            <w:vAlign w:val="center"/>
          </w:tcPr>
          <w:p>
            <w:pPr>
              <w:adjustRightInd w:val="0"/>
              <w:snapToGrid w:val="0"/>
              <w:jc w:val="center"/>
              <w:rPr>
                <w:rFonts w:ascii="仿宋" w:hAnsi="仿宋" w:eastAsia="仿宋"/>
                <w:bCs/>
              </w:rPr>
            </w:pPr>
            <w:r>
              <w:rPr>
                <w:rFonts w:hint="eastAsia" w:ascii="仿宋" w:hAnsi="仿宋" w:eastAsia="仿宋"/>
                <w:bCs/>
              </w:rPr>
              <w:t>国际经济与</w:t>
            </w:r>
          </w:p>
          <w:p>
            <w:pPr>
              <w:adjustRightInd w:val="0"/>
              <w:snapToGrid w:val="0"/>
              <w:jc w:val="center"/>
              <w:rPr>
                <w:rFonts w:ascii="仿宋" w:hAnsi="仿宋" w:eastAsia="仿宋"/>
                <w:bCs/>
              </w:rPr>
            </w:pPr>
            <w:r>
              <w:rPr>
                <w:rFonts w:hint="eastAsia" w:ascii="仿宋" w:hAnsi="仿宋" w:eastAsia="仿宋"/>
                <w:bCs/>
              </w:rPr>
              <w:t>贸易</w:t>
            </w:r>
          </w:p>
          <w:p>
            <w:pPr>
              <w:adjustRightInd w:val="0"/>
              <w:snapToGrid w:val="0"/>
              <w:jc w:val="center"/>
              <w:rPr>
                <w:rFonts w:ascii="仿宋" w:hAnsi="仿宋" w:eastAsia="仿宋"/>
                <w:bCs/>
              </w:rPr>
            </w:pPr>
            <w:r>
              <w:rPr>
                <w:rFonts w:hint="eastAsia" w:ascii="仿宋" w:hAnsi="仿宋" w:eastAsia="仿宋"/>
                <w:bCs/>
              </w:rPr>
              <w:t>（530501）</w:t>
            </w:r>
          </w:p>
        </w:tc>
        <w:tc>
          <w:tcPr>
            <w:tcW w:w="4688" w:type="dxa"/>
          </w:tcPr>
          <w:p>
            <w:pPr>
              <w:adjustRightInd w:val="0"/>
              <w:snapToGrid w:val="0"/>
              <w:jc w:val="center"/>
              <w:rPr>
                <w:rFonts w:ascii="仿宋" w:hAnsi="仿宋" w:eastAsia="仿宋"/>
                <w:bCs/>
              </w:rPr>
            </w:pPr>
            <w:r>
              <w:rPr>
                <w:rFonts w:hint="eastAsia" w:ascii="仿宋" w:hAnsi="仿宋" w:eastAsia="仿宋"/>
                <w:bCs/>
              </w:rPr>
              <w:t>进出口业务操作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外贸单证操作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外贸跟单操作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外贸英文函电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跨境电商B2B运营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跨境电商B2B销售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b/>
              </w:rPr>
            </w:pPr>
            <w:r>
              <w:rPr>
                <w:rFonts w:hint="eastAsia" w:ascii="仿宋" w:hAnsi="仿宋" w:eastAsia="仿宋"/>
              </w:rPr>
              <w:t>跨境电商B2B营销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continue"/>
            <w:vAlign w:val="center"/>
          </w:tcPr>
          <w:p>
            <w:pPr>
              <w:adjustRightInd w:val="0"/>
              <w:snapToGrid w:val="0"/>
              <w:jc w:val="center"/>
              <w:rPr>
                <w:rFonts w:ascii="仿宋" w:hAnsi="仿宋" w:eastAsia="仿宋"/>
                <w:bCs/>
              </w:rPr>
            </w:pPr>
          </w:p>
        </w:tc>
        <w:tc>
          <w:tcPr>
            <w:tcW w:w="4688" w:type="dxa"/>
          </w:tcPr>
          <w:p>
            <w:pPr>
              <w:adjustRightInd w:val="0"/>
              <w:snapToGrid w:val="0"/>
              <w:jc w:val="center"/>
              <w:rPr>
                <w:rFonts w:ascii="仿宋" w:hAnsi="仿宋" w:eastAsia="仿宋"/>
              </w:rPr>
            </w:pPr>
            <w:r>
              <w:rPr>
                <w:rFonts w:hint="eastAsia" w:ascii="仿宋" w:hAnsi="仿宋" w:eastAsia="仿宋"/>
              </w:rPr>
              <w:t>外贸风险管理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1418" w:type="dxa"/>
            <w:vMerge w:val="continue"/>
            <w:vAlign w:val="center"/>
          </w:tcPr>
          <w:p>
            <w:pPr>
              <w:adjustRightInd w:val="0"/>
              <w:snapToGrid w:val="0"/>
              <w:jc w:val="center"/>
              <w:rPr>
                <w:rFonts w:ascii="仿宋" w:hAnsi="仿宋" w:eastAsia="仿宋"/>
                <w:bCs/>
              </w:rPr>
            </w:pPr>
          </w:p>
        </w:tc>
        <w:tc>
          <w:tcPr>
            <w:tcW w:w="1701" w:type="dxa"/>
            <w:vMerge w:val="restart"/>
            <w:vAlign w:val="center"/>
          </w:tcPr>
          <w:p>
            <w:pPr>
              <w:adjustRightInd w:val="0"/>
              <w:snapToGrid w:val="0"/>
              <w:jc w:val="center"/>
              <w:rPr>
                <w:rFonts w:ascii="仿宋" w:hAnsi="仿宋" w:eastAsia="仿宋"/>
                <w:bCs/>
              </w:rPr>
            </w:pPr>
            <w:r>
              <w:rPr>
                <w:rFonts w:hint="eastAsia" w:ascii="仿宋" w:hAnsi="仿宋" w:eastAsia="仿宋"/>
                <w:bCs/>
              </w:rPr>
              <w:t>国际商务</w:t>
            </w:r>
          </w:p>
          <w:p>
            <w:pPr>
              <w:adjustRightInd w:val="0"/>
              <w:snapToGrid w:val="0"/>
              <w:jc w:val="center"/>
              <w:rPr>
                <w:rFonts w:ascii="仿宋" w:hAnsi="仿宋" w:eastAsia="仿宋"/>
                <w:bCs/>
              </w:rPr>
            </w:pPr>
            <w:r>
              <w:rPr>
                <w:rFonts w:hint="eastAsia" w:ascii="仿宋" w:hAnsi="仿宋" w:eastAsia="仿宋"/>
                <w:bCs/>
              </w:rPr>
              <w:t>（530502）</w:t>
            </w:r>
          </w:p>
        </w:tc>
        <w:tc>
          <w:tcPr>
            <w:tcW w:w="4688" w:type="dxa"/>
          </w:tcPr>
          <w:p>
            <w:pPr>
              <w:adjustRightInd w:val="0"/>
              <w:snapToGrid w:val="0"/>
              <w:jc w:val="center"/>
              <w:rPr>
                <w:rFonts w:ascii="仿宋" w:hAnsi="仿宋" w:eastAsia="仿宋"/>
              </w:rPr>
            </w:pPr>
            <w:r>
              <w:rPr>
                <w:rFonts w:hint="eastAsia" w:ascii="仿宋" w:hAnsi="仿宋" w:eastAsia="仿宋"/>
              </w:rPr>
              <w:t>国际商务英语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国际商务沟通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国际贸易实务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国际市场营销实务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跨境电商实务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国际金融实务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全球采购与供应链管理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国际投资与跨国企业管理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restart"/>
            <w:vAlign w:val="center"/>
          </w:tcPr>
          <w:p>
            <w:pPr>
              <w:adjustRightInd w:val="0"/>
              <w:snapToGrid w:val="0"/>
              <w:jc w:val="center"/>
              <w:rPr>
                <w:rFonts w:ascii="仿宋" w:hAnsi="仿宋" w:eastAsia="仿宋"/>
                <w:bCs/>
              </w:rPr>
            </w:pPr>
            <w:r>
              <w:rPr>
                <w:rFonts w:hint="eastAsia" w:ascii="仿宋" w:hAnsi="仿宋" w:eastAsia="仿宋"/>
                <w:bCs/>
              </w:rPr>
              <w:t>关务与</w:t>
            </w:r>
          </w:p>
          <w:p>
            <w:pPr>
              <w:adjustRightInd w:val="0"/>
              <w:snapToGrid w:val="0"/>
              <w:jc w:val="center"/>
              <w:rPr>
                <w:rFonts w:ascii="仿宋" w:hAnsi="仿宋" w:eastAsia="仿宋"/>
                <w:bCs/>
              </w:rPr>
            </w:pPr>
            <w:r>
              <w:rPr>
                <w:rFonts w:hint="eastAsia" w:ascii="仿宋" w:hAnsi="仿宋" w:eastAsia="仿宋"/>
                <w:bCs/>
              </w:rPr>
              <w:t>外贸服务</w:t>
            </w:r>
          </w:p>
          <w:p>
            <w:pPr>
              <w:adjustRightInd w:val="0"/>
              <w:snapToGrid w:val="0"/>
              <w:jc w:val="center"/>
              <w:rPr>
                <w:rFonts w:ascii="仿宋" w:hAnsi="仿宋" w:eastAsia="仿宋"/>
                <w:b/>
              </w:rPr>
            </w:pPr>
            <w:r>
              <w:rPr>
                <w:rFonts w:hint="eastAsia" w:ascii="仿宋" w:hAnsi="仿宋" w:eastAsia="仿宋"/>
                <w:bCs/>
              </w:rPr>
              <w:t>（530503）</w:t>
            </w:r>
          </w:p>
        </w:tc>
        <w:tc>
          <w:tcPr>
            <w:tcW w:w="4688" w:type="dxa"/>
          </w:tcPr>
          <w:p>
            <w:pPr>
              <w:adjustRightInd w:val="0"/>
              <w:snapToGrid w:val="0"/>
              <w:jc w:val="center"/>
              <w:rPr>
                <w:rFonts w:ascii="仿宋" w:hAnsi="仿宋" w:eastAsia="仿宋"/>
              </w:rPr>
            </w:pPr>
            <w:r>
              <w:rPr>
                <w:rFonts w:hint="eastAsia" w:ascii="仿宋" w:hAnsi="仿宋" w:eastAsia="仿宋"/>
              </w:rPr>
              <w:t>通关实务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通关单证实务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国际货运代理实务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进出口商品归类实务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进出口税费核算实务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出入境安全与管制实务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跨境贸易合规管理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restart"/>
            <w:vAlign w:val="center"/>
          </w:tcPr>
          <w:p>
            <w:pPr>
              <w:adjustRightInd w:val="0"/>
              <w:snapToGrid w:val="0"/>
              <w:jc w:val="center"/>
              <w:rPr>
                <w:rFonts w:ascii="仿宋" w:hAnsi="仿宋" w:eastAsia="仿宋"/>
                <w:bCs/>
              </w:rPr>
            </w:pPr>
            <w:r>
              <w:rPr>
                <w:rFonts w:hint="eastAsia" w:ascii="仿宋" w:hAnsi="仿宋" w:eastAsia="仿宋"/>
                <w:bCs/>
              </w:rPr>
              <w:t>教育与</w:t>
            </w:r>
          </w:p>
          <w:p>
            <w:pPr>
              <w:adjustRightInd w:val="0"/>
              <w:snapToGrid w:val="0"/>
              <w:jc w:val="center"/>
              <w:rPr>
                <w:rFonts w:ascii="仿宋" w:hAnsi="仿宋" w:eastAsia="仿宋"/>
                <w:bCs/>
              </w:rPr>
            </w:pPr>
            <w:r>
              <w:rPr>
                <w:rFonts w:hint="eastAsia" w:ascii="仿宋" w:hAnsi="仿宋" w:eastAsia="仿宋"/>
                <w:bCs/>
              </w:rPr>
              <w:t>体育大</w:t>
            </w:r>
          </w:p>
          <w:p>
            <w:pPr>
              <w:adjustRightInd w:val="0"/>
              <w:snapToGrid w:val="0"/>
              <w:jc w:val="center"/>
              <w:rPr>
                <w:rFonts w:ascii="仿宋" w:hAnsi="仿宋" w:eastAsia="仿宋"/>
                <w:bCs/>
              </w:rPr>
            </w:pPr>
            <w:r>
              <w:rPr>
                <w:rFonts w:hint="eastAsia" w:ascii="仿宋" w:hAnsi="仿宋" w:eastAsia="仿宋"/>
                <w:bCs/>
              </w:rPr>
              <w:t>类（57）</w:t>
            </w:r>
          </w:p>
        </w:tc>
        <w:tc>
          <w:tcPr>
            <w:tcW w:w="1418" w:type="dxa"/>
            <w:vMerge w:val="restart"/>
            <w:vAlign w:val="center"/>
          </w:tcPr>
          <w:p>
            <w:pPr>
              <w:adjustRightInd w:val="0"/>
              <w:snapToGrid w:val="0"/>
              <w:jc w:val="center"/>
              <w:rPr>
                <w:rFonts w:ascii="仿宋" w:hAnsi="仿宋" w:eastAsia="仿宋"/>
                <w:bCs/>
              </w:rPr>
            </w:pPr>
            <w:r>
              <w:rPr>
                <w:rFonts w:hint="eastAsia" w:ascii="仿宋" w:hAnsi="仿宋" w:eastAsia="仿宋"/>
                <w:bCs/>
              </w:rPr>
              <w:t>语言类</w:t>
            </w:r>
          </w:p>
          <w:p>
            <w:pPr>
              <w:adjustRightInd w:val="0"/>
              <w:snapToGrid w:val="0"/>
              <w:jc w:val="center"/>
              <w:rPr>
                <w:rFonts w:ascii="仿宋" w:hAnsi="仿宋" w:eastAsia="仿宋"/>
                <w:bCs/>
              </w:rPr>
            </w:pPr>
            <w:r>
              <w:rPr>
                <w:rFonts w:hint="eastAsia" w:ascii="仿宋" w:hAnsi="仿宋" w:eastAsia="仿宋"/>
                <w:bCs/>
              </w:rPr>
              <w:t>（5702）</w:t>
            </w:r>
          </w:p>
        </w:tc>
        <w:tc>
          <w:tcPr>
            <w:tcW w:w="1701" w:type="dxa"/>
            <w:vMerge w:val="restart"/>
            <w:vAlign w:val="center"/>
          </w:tcPr>
          <w:p>
            <w:pPr>
              <w:adjustRightInd w:val="0"/>
              <w:snapToGrid w:val="0"/>
              <w:jc w:val="center"/>
              <w:rPr>
                <w:rFonts w:ascii="仿宋" w:hAnsi="仿宋" w:eastAsia="仿宋"/>
                <w:bCs/>
              </w:rPr>
            </w:pPr>
            <w:r>
              <w:rPr>
                <w:rFonts w:hint="eastAsia" w:ascii="仿宋" w:hAnsi="仿宋" w:eastAsia="仿宋"/>
                <w:bCs/>
              </w:rPr>
              <w:t>商务英语</w:t>
            </w:r>
          </w:p>
          <w:p>
            <w:pPr>
              <w:adjustRightInd w:val="0"/>
              <w:snapToGrid w:val="0"/>
              <w:jc w:val="center"/>
              <w:rPr>
                <w:rFonts w:ascii="仿宋" w:hAnsi="仿宋" w:eastAsia="仿宋"/>
                <w:bCs/>
              </w:rPr>
            </w:pPr>
            <w:r>
              <w:rPr>
                <w:rFonts w:hint="eastAsia" w:ascii="仿宋" w:hAnsi="仿宋" w:eastAsia="仿宋"/>
                <w:bCs/>
              </w:rPr>
              <w:t>（570201）</w:t>
            </w:r>
          </w:p>
        </w:tc>
        <w:tc>
          <w:tcPr>
            <w:tcW w:w="4688" w:type="dxa"/>
          </w:tcPr>
          <w:p>
            <w:pPr>
              <w:adjustRightInd w:val="0"/>
              <w:snapToGrid w:val="0"/>
              <w:jc w:val="center"/>
              <w:rPr>
                <w:rFonts w:ascii="仿宋" w:hAnsi="仿宋" w:eastAsia="仿宋"/>
              </w:rPr>
            </w:pPr>
            <w:r>
              <w:rPr>
                <w:rFonts w:hint="eastAsia" w:ascii="仿宋" w:hAnsi="仿宋" w:eastAsia="仿宋"/>
              </w:rPr>
              <w:t>综合商务英语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跨文化商务交际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商务英语函电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商务英语翻译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商务接待与谈判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国际贸易实务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跨境电商实务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
              </w:rPr>
            </w:pPr>
          </w:p>
        </w:tc>
        <w:tc>
          <w:tcPr>
            <w:tcW w:w="1418" w:type="dxa"/>
            <w:vMerge w:val="continue"/>
            <w:vAlign w:val="center"/>
          </w:tcPr>
          <w:p>
            <w:pPr>
              <w:adjustRightInd w:val="0"/>
              <w:snapToGrid w:val="0"/>
              <w:jc w:val="center"/>
              <w:rPr>
                <w:rFonts w:ascii="仿宋" w:hAnsi="仿宋" w:eastAsia="仿宋"/>
                <w:b/>
              </w:rPr>
            </w:pPr>
          </w:p>
        </w:tc>
        <w:tc>
          <w:tcPr>
            <w:tcW w:w="1701" w:type="dxa"/>
            <w:vMerge w:val="continue"/>
            <w:vAlign w:val="center"/>
          </w:tcPr>
          <w:p>
            <w:pPr>
              <w:adjustRightInd w:val="0"/>
              <w:snapToGrid w:val="0"/>
              <w:jc w:val="center"/>
              <w:rPr>
                <w:rFonts w:ascii="仿宋" w:hAnsi="仿宋" w:eastAsia="仿宋"/>
                <w:b/>
              </w:rPr>
            </w:pPr>
          </w:p>
        </w:tc>
        <w:tc>
          <w:tcPr>
            <w:tcW w:w="4688" w:type="dxa"/>
          </w:tcPr>
          <w:p>
            <w:pPr>
              <w:adjustRightInd w:val="0"/>
              <w:snapToGrid w:val="0"/>
              <w:jc w:val="center"/>
              <w:rPr>
                <w:rFonts w:ascii="仿宋" w:hAnsi="仿宋" w:eastAsia="仿宋"/>
              </w:rPr>
            </w:pPr>
            <w:r>
              <w:rPr>
                <w:rFonts w:hint="eastAsia" w:ascii="仿宋" w:hAnsi="仿宋" w:eastAsia="仿宋"/>
              </w:rPr>
              <w:t>外贸单证操作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9078" w:type="dxa"/>
            <w:gridSpan w:val="4"/>
            <w:vAlign w:val="center"/>
          </w:tcPr>
          <w:p>
            <w:pPr>
              <w:adjustRightInd w:val="0"/>
              <w:snapToGrid w:val="0"/>
              <w:jc w:val="center"/>
              <w:rPr>
                <w:rFonts w:ascii="仿宋" w:hAnsi="仿宋" w:eastAsia="仿宋"/>
                <w:b/>
                <w:sz w:val="28"/>
                <w:szCs w:val="28"/>
              </w:rPr>
            </w:pPr>
            <w:r>
              <w:rPr>
                <w:rFonts w:hint="eastAsia" w:ascii="仿宋" w:hAnsi="仿宋" w:eastAsia="仿宋"/>
                <w:b/>
                <w:sz w:val="28"/>
                <w:szCs w:val="28"/>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Align w:val="center"/>
          </w:tcPr>
          <w:p>
            <w:pPr>
              <w:adjustRightInd w:val="0"/>
              <w:snapToGrid w:val="0"/>
              <w:jc w:val="center"/>
              <w:rPr>
                <w:rFonts w:ascii="仿宋" w:hAnsi="仿宋" w:eastAsia="仿宋"/>
                <w:bCs/>
              </w:rPr>
            </w:pPr>
            <w:r>
              <w:rPr>
                <w:rFonts w:hint="eastAsia" w:ascii="仿宋" w:hAnsi="仿宋" w:eastAsia="仿宋"/>
                <w:bCs/>
              </w:rPr>
              <w:t>产业</w:t>
            </w:r>
          </w:p>
          <w:p>
            <w:pPr>
              <w:adjustRightInd w:val="0"/>
              <w:snapToGrid w:val="0"/>
              <w:jc w:val="center"/>
              <w:rPr>
                <w:rFonts w:ascii="仿宋" w:hAnsi="仿宋" w:eastAsia="仿宋"/>
                <w:bCs/>
              </w:rPr>
            </w:pPr>
            <w:r>
              <w:rPr>
                <w:rFonts w:hint="eastAsia" w:ascii="仿宋" w:hAnsi="仿宋" w:eastAsia="仿宋"/>
                <w:bCs/>
              </w:rPr>
              <w:t>行业</w:t>
            </w:r>
          </w:p>
        </w:tc>
        <w:tc>
          <w:tcPr>
            <w:tcW w:w="3119" w:type="dxa"/>
            <w:gridSpan w:val="2"/>
            <w:vAlign w:val="center"/>
          </w:tcPr>
          <w:p>
            <w:pPr>
              <w:adjustRightInd w:val="0"/>
              <w:snapToGrid w:val="0"/>
              <w:jc w:val="center"/>
              <w:rPr>
                <w:rFonts w:ascii="仿宋" w:hAnsi="仿宋" w:eastAsia="仿宋"/>
                <w:bCs/>
              </w:rPr>
            </w:pPr>
            <w:r>
              <w:rPr>
                <w:rFonts w:hint="eastAsia" w:ascii="仿宋" w:hAnsi="仿宋" w:eastAsia="仿宋"/>
                <w:bCs/>
              </w:rPr>
              <w:t>岗位（群）</w:t>
            </w:r>
          </w:p>
        </w:tc>
        <w:tc>
          <w:tcPr>
            <w:tcW w:w="4688" w:type="dxa"/>
            <w:vAlign w:val="center"/>
          </w:tcPr>
          <w:p>
            <w:pPr>
              <w:adjustRightInd w:val="0"/>
              <w:snapToGrid w:val="0"/>
              <w:jc w:val="center"/>
              <w:rPr>
                <w:rFonts w:ascii="仿宋" w:hAnsi="仿宋" w:eastAsia="仿宋"/>
                <w:bCs/>
              </w:rPr>
            </w:pPr>
            <w:r>
              <w:rPr>
                <w:rFonts w:hint="eastAsia" w:ascii="仿宋" w:hAnsi="仿宋" w:eastAsia="仿宋"/>
                <w:bCs/>
              </w:rPr>
              <w:t>核心能力</w:t>
            </w:r>
          </w:p>
          <w:p>
            <w:pPr>
              <w:adjustRightInd w:val="0"/>
              <w:snapToGrid w:val="0"/>
              <w:jc w:val="center"/>
              <w:rPr>
                <w:rFonts w:ascii="仿宋" w:hAnsi="仿宋" w:eastAsia="仿宋"/>
                <w:bCs/>
                <w:szCs w:val="21"/>
              </w:rPr>
            </w:pPr>
            <w:r>
              <w:rPr>
                <w:rFonts w:hint="eastAsia" w:ascii="仿宋" w:hAnsi="仿宋" w:eastAsia="仿宋"/>
                <w:bCs/>
                <w:szCs w:val="21"/>
              </w:rPr>
              <w:t>（对应每个岗位（群），明确核心能力要求）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restart"/>
            <w:vAlign w:val="center"/>
          </w:tcPr>
          <w:p>
            <w:pPr>
              <w:adjustRightInd w:val="0"/>
              <w:snapToGrid w:val="0"/>
              <w:jc w:val="center"/>
              <w:rPr>
                <w:rFonts w:ascii="仿宋" w:hAnsi="仿宋" w:eastAsia="仿宋"/>
                <w:bCs/>
              </w:rPr>
            </w:pPr>
            <w:r>
              <w:rPr>
                <w:rFonts w:hint="eastAsia" w:ascii="仿宋" w:hAnsi="仿宋" w:eastAsia="仿宋"/>
                <w:bCs/>
              </w:rPr>
              <w:t>互联网</w:t>
            </w:r>
          </w:p>
          <w:p>
            <w:pPr>
              <w:adjustRightInd w:val="0"/>
              <w:snapToGrid w:val="0"/>
              <w:jc w:val="center"/>
              <w:rPr>
                <w:rFonts w:ascii="仿宋" w:hAnsi="仿宋" w:eastAsia="仿宋"/>
                <w:bCs/>
              </w:rPr>
            </w:pPr>
            <w:r>
              <w:rPr>
                <w:rFonts w:hint="eastAsia" w:ascii="仿宋" w:hAnsi="仿宋" w:eastAsia="仿宋"/>
                <w:bCs/>
              </w:rPr>
              <w:t>和相</w:t>
            </w:r>
          </w:p>
          <w:p>
            <w:pPr>
              <w:adjustRightInd w:val="0"/>
              <w:snapToGrid w:val="0"/>
              <w:jc w:val="center"/>
              <w:rPr>
                <w:rFonts w:ascii="仿宋" w:hAnsi="仿宋" w:eastAsia="仿宋"/>
                <w:bCs/>
              </w:rPr>
            </w:pPr>
            <w:r>
              <w:rPr>
                <w:rFonts w:hint="eastAsia" w:ascii="仿宋" w:hAnsi="仿宋" w:eastAsia="仿宋"/>
                <w:bCs/>
              </w:rPr>
              <w:t>关服务</w:t>
            </w:r>
          </w:p>
          <w:p>
            <w:pPr>
              <w:adjustRightInd w:val="0"/>
              <w:snapToGrid w:val="0"/>
              <w:jc w:val="center"/>
              <w:rPr>
                <w:rFonts w:ascii="仿宋" w:hAnsi="仿宋" w:eastAsia="仿宋"/>
                <w:bCs/>
              </w:rPr>
            </w:pPr>
            <w:r>
              <w:rPr>
                <w:rFonts w:hint="eastAsia" w:ascii="仿宋" w:hAnsi="仿宋" w:eastAsia="仿宋"/>
                <w:bCs/>
              </w:rPr>
              <w:t>（64）、</w:t>
            </w:r>
          </w:p>
          <w:p>
            <w:pPr>
              <w:adjustRightInd w:val="0"/>
              <w:snapToGrid w:val="0"/>
              <w:jc w:val="center"/>
              <w:rPr>
                <w:rFonts w:ascii="仿宋" w:hAnsi="仿宋" w:eastAsia="仿宋"/>
                <w:bCs/>
              </w:rPr>
            </w:pPr>
            <w:r>
              <w:rPr>
                <w:rFonts w:hint="eastAsia" w:ascii="仿宋" w:hAnsi="仿宋" w:eastAsia="仿宋"/>
                <w:bCs/>
              </w:rPr>
              <w:t>批发业</w:t>
            </w:r>
          </w:p>
          <w:p>
            <w:pPr>
              <w:adjustRightInd w:val="0"/>
              <w:snapToGrid w:val="0"/>
              <w:jc w:val="center"/>
              <w:rPr>
                <w:rFonts w:ascii="仿宋" w:hAnsi="仿宋" w:eastAsia="仿宋"/>
                <w:bCs/>
              </w:rPr>
            </w:pPr>
            <w:r>
              <w:rPr>
                <w:rFonts w:hint="eastAsia" w:ascii="仿宋" w:hAnsi="仿宋" w:eastAsia="仿宋"/>
                <w:bCs/>
              </w:rPr>
              <w:t>（51）、</w:t>
            </w:r>
          </w:p>
          <w:p>
            <w:pPr>
              <w:adjustRightInd w:val="0"/>
              <w:snapToGrid w:val="0"/>
              <w:jc w:val="center"/>
              <w:rPr>
                <w:rFonts w:ascii="仿宋" w:hAnsi="仿宋" w:eastAsia="仿宋"/>
                <w:bCs/>
              </w:rPr>
            </w:pPr>
            <w:r>
              <w:rPr>
                <w:rFonts w:hint="eastAsia" w:ascii="仿宋" w:hAnsi="仿宋" w:eastAsia="仿宋"/>
                <w:bCs/>
              </w:rPr>
              <w:t>零售业</w:t>
            </w:r>
          </w:p>
          <w:p>
            <w:pPr>
              <w:adjustRightInd w:val="0"/>
              <w:snapToGrid w:val="0"/>
              <w:jc w:val="center"/>
              <w:rPr>
                <w:rFonts w:ascii="仿宋" w:hAnsi="仿宋" w:eastAsia="仿宋"/>
                <w:bCs/>
              </w:rPr>
            </w:pPr>
            <w:r>
              <w:rPr>
                <w:rFonts w:hint="eastAsia" w:ascii="仿宋" w:hAnsi="仿宋" w:eastAsia="仿宋"/>
                <w:bCs/>
              </w:rPr>
              <w:t>（52）</w:t>
            </w:r>
          </w:p>
        </w:tc>
        <w:tc>
          <w:tcPr>
            <w:tcW w:w="3119" w:type="dxa"/>
            <w:gridSpan w:val="2"/>
            <w:vAlign w:val="center"/>
          </w:tcPr>
          <w:p>
            <w:pPr>
              <w:adjustRightInd w:val="0"/>
              <w:snapToGrid w:val="0"/>
              <w:jc w:val="center"/>
              <w:rPr>
                <w:rFonts w:ascii="仿宋" w:hAnsi="仿宋" w:eastAsia="仿宋"/>
                <w:bCs/>
              </w:rPr>
            </w:pPr>
            <w:r>
              <w:rPr>
                <w:rFonts w:hint="eastAsia" w:ascii="仿宋" w:hAnsi="仿宋" w:eastAsia="仿宋"/>
                <w:bCs/>
              </w:rPr>
              <w:t>跨境电商运营专员</w:t>
            </w:r>
          </w:p>
        </w:tc>
        <w:tc>
          <w:tcPr>
            <w:tcW w:w="4688" w:type="dxa"/>
            <w:vAlign w:val="center"/>
          </w:tcPr>
          <w:p>
            <w:pPr>
              <w:adjustRightInd w:val="0"/>
              <w:snapToGrid w:val="0"/>
              <w:jc w:val="both"/>
              <w:rPr>
                <w:rFonts w:ascii="仿宋" w:hAnsi="仿宋" w:eastAsia="仿宋"/>
                <w:bCs/>
              </w:rPr>
            </w:pPr>
            <w:r>
              <w:rPr>
                <w:rFonts w:hint="eastAsia" w:ascii="仿宋" w:hAnsi="仿宋" w:eastAsia="仿宋"/>
                <w:bCs/>
              </w:rPr>
              <w:t>具有跨境电子商务平台使用能力，完成选</w:t>
            </w:r>
          </w:p>
          <w:p>
            <w:pPr>
              <w:adjustRightInd w:val="0"/>
              <w:snapToGrid w:val="0"/>
              <w:jc w:val="both"/>
              <w:rPr>
                <w:rFonts w:ascii="仿宋" w:hAnsi="仿宋" w:eastAsia="仿宋"/>
                <w:bCs/>
              </w:rPr>
            </w:pPr>
            <w:r>
              <w:rPr>
                <w:rFonts w:hint="eastAsia" w:ascii="仿宋" w:hAnsi="仿宋" w:eastAsia="仿宋"/>
                <w:bCs/>
              </w:rPr>
              <w:t>品分析、店铺注册、产品发布、店铺运营、站内活动策划、数据分析与应用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3119" w:type="dxa"/>
            <w:gridSpan w:val="2"/>
            <w:vAlign w:val="center"/>
          </w:tcPr>
          <w:p>
            <w:pPr>
              <w:adjustRightInd w:val="0"/>
              <w:snapToGrid w:val="0"/>
              <w:jc w:val="center"/>
              <w:rPr>
                <w:rFonts w:ascii="仿宋" w:hAnsi="仿宋" w:eastAsia="仿宋"/>
                <w:bCs/>
              </w:rPr>
            </w:pPr>
            <w:r>
              <w:rPr>
                <w:rFonts w:hint="eastAsia" w:ascii="仿宋" w:hAnsi="仿宋" w:eastAsia="仿宋"/>
                <w:bCs/>
              </w:rPr>
              <w:t>海外推广专员</w:t>
            </w:r>
          </w:p>
        </w:tc>
        <w:tc>
          <w:tcPr>
            <w:tcW w:w="4688" w:type="dxa"/>
            <w:vAlign w:val="center"/>
          </w:tcPr>
          <w:p>
            <w:pPr>
              <w:adjustRightInd w:val="0"/>
              <w:snapToGrid w:val="0"/>
              <w:jc w:val="both"/>
              <w:rPr>
                <w:rFonts w:ascii="仿宋" w:hAnsi="仿宋" w:eastAsia="仿宋"/>
                <w:bCs/>
              </w:rPr>
            </w:pPr>
            <w:r>
              <w:rPr>
                <w:rFonts w:hint="eastAsia" w:ascii="仿宋" w:hAnsi="仿宋" w:eastAsia="仿宋"/>
                <w:bCs/>
              </w:rPr>
              <w:t>具有结合产品和品牌特点，制订海外推广策划方案的能力，能够开展搜索引擎营销、社会媒体营销、广告投放等站外推广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3119" w:type="dxa"/>
            <w:gridSpan w:val="2"/>
            <w:vAlign w:val="center"/>
          </w:tcPr>
          <w:p>
            <w:pPr>
              <w:adjustRightInd w:val="0"/>
              <w:snapToGrid w:val="0"/>
              <w:jc w:val="center"/>
              <w:rPr>
                <w:rFonts w:ascii="仿宋" w:hAnsi="仿宋" w:eastAsia="仿宋"/>
                <w:bCs/>
              </w:rPr>
            </w:pPr>
            <w:r>
              <w:rPr>
                <w:rFonts w:hint="eastAsia" w:ascii="仿宋" w:hAnsi="仿宋" w:eastAsia="仿宋"/>
                <w:bCs/>
              </w:rPr>
              <w:t>视觉营销设计专员</w:t>
            </w:r>
          </w:p>
        </w:tc>
        <w:tc>
          <w:tcPr>
            <w:tcW w:w="4688" w:type="dxa"/>
            <w:vAlign w:val="center"/>
          </w:tcPr>
          <w:p>
            <w:pPr>
              <w:adjustRightInd w:val="0"/>
              <w:snapToGrid w:val="0"/>
              <w:jc w:val="both"/>
              <w:rPr>
                <w:rFonts w:ascii="仿宋" w:hAnsi="仿宋" w:eastAsia="仿宋"/>
                <w:bCs/>
              </w:rPr>
            </w:pPr>
            <w:r>
              <w:rPr>
                <w:rFonts w:hint="eastAsia" w:ascii="仿宋" w:hAnsi="仿宋" w:eastAsia="仿宋"/>
                <w:bCs/>
              </w:rPr>
              <w:t>具有图像和短视频处理软件应用能力，根据跨境电子商务运营要求完成商品、店铺、活动的视觉设计与内容优化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3119" w:type="dxa"/>
            <w:gridSpan w:val="2"/>
            <w:vAlign w:val="center"/>
          </w:tcPr>
          <w:p>
            <w:pPr>
              <w:adjustRightInd w:val="0"/>
              <w:snapToGrid w:val="0"/>
              <w:jc w:val="center"/>
              <w:rPr>
                <w:rFonts w:ascii="仿宋" w:hAnsi="仿宋" w:eastAsia="仿宋"/>
                <w:bCs/>
              </w:rPr>
            </w:pPr>
            <w:r>
              <w:rPr>
                <w:rFonts w:hint="eastAsia" w:ascii="仿宋" w:hAnsi="仿宋" w:eastAsia="仿宋"/>
                <w:bCs/>
              </w:rPr>
              <w:t>跨境电商数据分析专员</w:t>
            </w:r>
          </w:p>
        </w:tc>
        <w:tc>
          <w:tcPr>
            <w:tcW w:w="4688" w:type="dxa"/>
            <w:vAlign w:val="center"/>
          </w:tcPr>
          <w:p>
            <w:pPr>
              <w:adjustRightInd w:val="0"/>
              <w:snapToGrid w:val="0"/>
              <w:jc w:val="both"/>
              <w:rPr>
                <w:rFonts w:ascii="仿宋" w:hAnsi="仿宋" w:eastAsia="仿宋"/>
                <w:bCs/>
              </w:rPr>
            </w:pPr>
            <w:r>
              <w:rPr>
                <w:rFonts w:hint="eastAsia" w:ascii="仿宋" w:hAnsi="仿宋" w:eastAsia="仿宋"/>
                <w:bCs/>
              </w:rPr>
              <w:t>具有适应产业数字化发展需求的数据采集、分析、展示和应用等技能及信息技术能力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3119" w:type="dxa"/>
            <w:gridSpan w:val="2"/>
            <w:vAlign w:val="center"/>
          </w:tcPr>
          <w:p>
            <w:pPr>
              <w:adjustRightInd w:val="0"/>
              <w:snapToGrid w:val="0"/>
              <w:jc w:val="center"/>
              <w:rPr>
                <w:rFonts w:ascii="仿宋" w:hAnsi="仿宋" w:eastAsia="仿宋"/>
                <w:bCs/>
              </w:rPr>
            </w:pPr>
            <w:r>
              <w:rPr>
                <w:rFonts w:hint="eastAsia" w:ascii="仿宋" w:hAnsi="仿宋" w:eastAsia="仿宋"/>
                <w:bCs/>
              </w:rPr>
              <w:t>跨境电商直播专员</w:t>
            </w:r>
          </w:p>
        </w:tc>
        <w:tc>
          <w:tcPr>
            <w:tcW w:w="4688" w:type="dxa"/>
            <w:vAlign w:val="center"/>
          </w:tcPr>
          <w:p>
            <w:pPr>
              <w:adjustRightInd w:val="0"/>
              <w:snapToGrid w:val="0"/>
              <w:jc w:val="both"/>
              <w:rPr>
                <w:rFonts w:ascii="仿宋" w:hAnsi="仿宋" w:eastAsia="仿宋"/>
                <w:bCs/>
              </w:rPr>
            </w:pPr>
            <w:r>
              <w:rPr>
                <w:rFonts w:hint="eastAsia" w:ascii="仿宋" w:hAnsi="仿宋" w:eastAsia="仿宋"/>
                <w:bCs/>
              </w:rPr>
              <w:t>具有直播策划与运营、流量引入、直播数据分析与优化的能力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3119" w:type="dxa"/>
            <w:gridSpan w:val="2"/>
            <w:vAlign w:val="center"/>
          </w:tcPr>
          <w:p>
            <w:pPr>
              <w:adjustRightInd w:val="0"/>
              <w:snapToGrid w:val="0"/>
              <w:jc w:val="center"/>
              <w:rPr>
                <w:rFonts w:ascii="仿宋" w:hAnsi="仿宋" w:eastAsia="仿宋"/>
                <w:bCs/>
              </w:rPr>
            </w:pPr>
            <w:r>
              <w:rPr>
                <w:rFonts w:hint="eastAsia" w:ascii="仿宋" w:hAnsi="仿宋" w:eastAsia="仿宋"/>
                <w:bCs/>
              </w:rPr>
              <w:t>跨境电商客服专员</w:t>
            </w:r>
          </w:p>
        </w:tc>
        <w:tc>
          <w:tcPr>
            <w:tcW w:w="4688" w:type="dxa"/>
            <w:vAlign w:val="center"/>
          </w:tcPr>
          <w:p>
            <w:pPr>
              <w:adjustRightInd w:val="0"/>
              <w:snapToGrid w:val="0"/>
              <w:jc w:val="both"/>
              <w:rPr>
                <w:rFonts w:ascii="仿宋" w:hAnsi="仿宋" w:eastAsia="仿宋"/>
                <w:bCs/>
              </w:rPr>
            </w:pPr>
            <w:r>
              <w:rPr>
                <w:rFonts w:hint="eastAsia" w:ascii="仿宋" w:hAnsi="仿宋" w:eastAsia="仿宋"/>
                <w:bCs/>
              </w:rPr>
              <w:t>具有良好的跨文化沟通和外语表达能力，能回复客户咨询、跟踪客户订单、分析客户数据、维护客户关系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1" w:type="dxa"/>
            <w:vMerge w:val="continue"/>
            <w:vAlign w:val="center"/>
          </w:tcPr>
          <w:p>
            <w:pPr>
              <w:adjustRightInd w:val="0"/>
              <w:snapToGrid w:val="0"/>
              <w:jc w:val="center"/>
              <w:rPr>
                <w:rFonts w:ascii="仿宋" w:hAnsi="仿宋" w:eastAsia="仿宋"/>
                <w:bCs/>
              </w:rPr>
            </w:pPr>
          </w:p>
        </w:tc>
        <w:tc>
          <w:tcPr>
            <w:tcW w:w="3119" w:type="dxa"/>
            <w:gridSpan w:val="2"/>
            <w:vAlign w:val="center"/>
          </w:tcPr>
          <w:p>
            <w:pPr>
              <w:adjustRightInd w:val="0"/>
              <w:snapToGrid w:val="0"/>
              <w:jc w:val="center"/>
              <w:rPr>
                <w:rFonts w:ascii="仿宋" w:hAnsi="仿宋" w:eastAsia="仿宋"/>
                <w:bCs/>
              </w:rPr>
            </w:pPr>
            <w:r>
              <w:rPr>
                <w:rFonts w:hint="eastAsia" w:ascii="仿宋" w:hAnsi="仿宋" w:eastAsia="仿宋"/>
                <w:bCs/>
              </w:rPr>
              <w:t>跨境物流专员</w:t>
            </w:r>
          </w:p>
        </w:tc>
        <w:tc>
          <w:tcPr>
            <w:tcW w:w="4688" w:type="dxa"/>
            <w:vAlign w:val="center"/>
          </w:tcPr>
          <w:p>
            <w:pPr>
              <w:adjustRightInd w:val="0"/>
              <w:snapToGrid w:val="0"/>
              <w:jc w:val="both"/>
              <w:rPr>
                <w:rFonts w:ascii="仿宋" w:hAnsi="仿宋" w:eastAsia="仿宋"/>
                <w:bCs/>
              </w:rPr>
            </w:pPr>
            <w:r>
              <w:rPr>
                <w:rFonts w:hint="eastAsia" w:ascii="仿宋" w:hAnsi="仿宋" w:eastAsia="仿宋"/>
                <w:bCs/>
              </w:rPr>
              <w:t>具有制订跨境电子商务物流方案能力，完</w:t>
            </w:r>
          </w:p>
          <w:p>
            <w:pPr>
              <w:adjustRightInd w:val="0"/>
              <w:snapToGrid w:val="0"/>
              <w:jc w:val="both"/>
              <w:rPr>
                <w:rFonts w:ascii="仿宋" w:hAnsi="仿宋" w:eastAsia="仿宋"/>
                <w:bCs/>
              </w:rPr>
            </w:pPr>
            <w:r>
              <w:rPr>
                <w:rFonts w:hint="eastAsia" w:ascii="仿宋" w:hAnsi="仿宋" w:eastAsia="仿宋"/>
                <w:bCs/>
              </w:rPr>
              <w:t>成产品采购、仓储、发货、服务商管理、</w:t>
            </w:r>
          </w:p>
          <w:p>
            <w:pPr>
              <w:adjustRightInd w:val="0"/>
              <w:snapToGrid w:val="0"/>
              <w:jc w:val="both"/>
              <w:rPr>
                <w:rFonts w:ascii="仿宋" w:hAnsi="仿宋" w:eastAsia="仿宋"/>
                <w:bCs/>
              </w:rPr>
            </w:pPr>
            <w:r>
              <w:rPr>
                <w:rFonts w:hint="eastAsia" w:ascii="仿宋" w:hAnsi="仿宋" w:eastAsia="仿宋"/>
                <w:bCs/>
              </w:rPr>
              <w:t>进程跟踪、物流数据分析、异常处理、风</w:t>
            </w:r>
          </w:p>
          <w:p>
            <w:pPr>
              <w:adjustRightInd w:val="0"/>
              <w:snapToGrid w:val="0"/>
              <w:jc w:val="both"/>
              <w:rPr>
                <w:rFonts w:ascii="仿宋" w:hAnsi="仿宋" w:eastAsia="仿宋"/>
                <w:bCs/>
              </w:rPr>
            </w:pPr>
            <w:r>
              <w:rPr>
                <w:rFonts w:hint="eastAsia" w:ascii="仿宋" w:hAnsi="仿宋" w:eastAsia="仿宋"/>
                <w:bCs/>
              </w:rPr>
              <w:t>险预警</w:t>
            </w:r>
          </w:p>
        </w:tc>
      </w:tr>
    </w:tbl>
    <w:p>
      <w:pPr>
        <w:widowControl w:val="0"/>
        <w:spacing w:line="360" w:lineRule="auto"/>
        <w:ind w:firstLine="602" w:firstLineChars="200"/>
        <w:outlineLvl w:val="0"/>
        <w:rPr>
          <w:rFonts w:hint="eastAsia" w:ascii="仿宋" w:hAnsi="仿宋" w:eastAsia="仿宋" w:cs="宋体"/>
          <w:b/>
          <w:sz w:val="30"/>
          <w:szCs w:val="30"/>
        </w:rPr>
      </w:pPr>
      <w:r>
        <w:rPr>
          <w:rFonts w:hint="eastAsia" w:ascii="仿宋" w:hAnsi="仿宋" w:eastAsia="仿宋" w:cs="宋体"/>
          <w:b/>
          <w:sz w:val="30"/>
          <w:szCs w:val="30"/>
        </w:rPr>
        <w:t>二、竞赛目标</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随着全球电子商务和数字经济的崛起、互联网的高度普及、物流基础和支付体系加快建设，跨境电子商务成为外贸发展的新业态，我国跨境电子商务行业进出口规模呈持续增长的发展态势。为了鼓励和支持跨境电子商务的发展，我国制定了一系列国家扶持政策。党的二十大报告中也明确指出“打造具有国际竞争力的数字产业集群”“创新服务贸易发展机制，发展数字贸易，加快建设贸易强国”的指导思想。</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本赛项旨在落实国家的对外贸易发展战略，深化产教融合，协同推动跨境电子商务行业创新与发展，赋能经济社会和现代职业教育高质量发展。对接跨境电子商务领域的新技术、新业态、新模式、新要求，通过大赛让参赛选手掌握真实企业进出口跨境电子商务业务流程和工作内容；培养选手在企业真实项目环境下进行数据化选品与发布、商品视觉营销设计、跨境店铺运营数据分析、跨境直播、跨境店铺运营海外推广、跨境物流通关、跨境运费税费核算、客户服务与问题处理的能力，同时培养选手探究学习、终身学习和可持续发展的能力。</w:t>
      </w:r>
    </w:p>
    <w:p>
      <w:pPr>
        <w:widowControl w:val="0"/>
        <w:spacing w:line="360" w:lineRule="auto"/>
        <w:ind w:firstLine="560" w:firstLineChars="200"/>
        <w:rPr>
          <w:rFonts w:ascii="仿宋" w:hAnsi="仿宋" w:eastAsia="仿宋"/>
          <w:b/>
          <w:sz w:val="30"/>
          <w:szCs w:val="30"/>
        </w:rPr>
      </w:pPr>
      <w:r>
        <w:rPr>
          <w:rFonts w:hint="eastAsia" w:ascii="仿宋" w:hAnsi="仿宋" w:eastAsia="仿宋"/>
          <w:bCs/>
          <w:sz w:val="28"/>
          <w:szCs w:val="28"/>
        </w:rPr>
        <w:t>赛项围绕跨境电子商务典型岗位的要求进行设计，通过大赛推动龙头、产教融合型等企业深度参与职业教育的人才培养、科技创新、社会服务、就业创业等各个环节；检验高职院校教学水平，引领专业建设和“三教”改革，促进“岗课赛证”协同育人，营造崇尚技能的社会氛围；强化赛后资源转化，将竞赛成果转化为教材、课程和实训项目等资源，融入教学、服务教学，为国家发展战略提供跨境电子商务领域高素质技术技能人才。</w:t>
      </w:r>
    </w:p>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三、竞赛内容</w:t>
      </w:r>
    </w:p>
    <w:p>
      <w:pPr>
        <w:widowControl w:val="0"/>
        <w:spacing w:line="360" w:lineRule="auto"/>
        <w:ind w:firstLine="562" w:firstLineChars="200"/>
        <w:outlineLvl w:val="1"/>
        <w:rPr>
          <w:rFonts w:ascii="仿宋" w:hAnsi="仿宋" w:eastAsia="仿宋"/>
          <w:b/>
          <w:sz w:val="28"/>
          <w:szCs w:val="28"/>
        </w:rPr>
      </w:pPr>
      <w:r>
        <w:rPr>
          <w:rFonts w:hint="eastAsia" w:ascii="仿宋" w:hAnsi="仿宋" w:eastAsia="仿宋"/>
          <w:b/>
          <w:sz w:val="28"/>
          <w:szCs w:val="28"/>
          <w:lang w:eastAsia="zh-CN"/>
        </w:rPr>
        <w:t>（</w:t>
      </w:r>
      <w:r>
        <w:rPr>
          <w:rFonts w:hint="eastAsia" w:ascii="仿宋" w:hAnsi="仿宋" w:eastAsia="仿宋"/>
          <w:b/>
          <w:sz w:val="28"/>
          <w:szCs w:val="28"/>
          <w:lang w:val="en-US" w:eastAsia="zh-CN"/>
        </w:rPr>
        <w:t>一</w:t>
      </w:r>
      <w:r>
        <w:rPr>
          <w:rFonts w:hint="eastAsia" w:ascii="仿宋" w:hAnsi="仿宋" w:eastAsia="仿宋"/>
          <w:b/>
          <w:sz w:val="28"/>
          <w:szCs w:val="28"/>
          <w:lang w:eastAsia="zh-CN"/>
        </w:rPr>
        <w:t>）</w:t>
      </w:r>
      <w:r>
        <w:rPr>
          <w:rFonts w:hint="eastAsia" w:ascii="仿宋" w:hAnsi="仿宋" w:eastAsia="仿宋"/>
          <w:b/>
          <w:sz w:val="28"/>
          <w:szCs w:val="28"/>
        </w:rPr>
        <w:t>赛项整体内容介绍</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本赛项为学生赛，围绕职业教育国家教学标准要求、跨境电子商务新业态的进出口业务真实工作过程任务要求和企业生产现实需要进行设计，全面考查参赛选手跨境电子商务出口、进口业务的职业核心技能与职业素养。</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赛项面向跨境电子商务采购专员、跨境电子商务视觉设计专员、跨境电子商务运营专员、跨境电子商务海外推广专员、跨境电子商务物流专员、跨境电子商务关务专员等岗位（群）设计竞赛任务。以深挖海内外市场需求，跨境电子商务的数据化选品、图片与短视频视觉营销设计、店铺商品发布，跨境电子商务数据化运营、跨境电子商务直播海外推广、跨境电子商务运营数据分析与应用、跨境电子商务物流方案设计、跨境电子商务税费策划、跨境电子商务通关操作、跨境电子商务客户服务等典型工作任务的完成质量和职业素养作为竞赛内容，全面考查选手的专业核心能力，考查选手的管理意识、合规意识、成本意识、风险意识、服务意识、劳动意识等职业素养，以及逻辑思维、</w:t>
      </w:r>
      <w:r>
        <w:rPr>
          <w:rFonts w:hint="eastAsia" w:ascii="仿宋" w:hAnsi="仿宋" w:eastAsia="仿宋"/>
          <w:bCs/>
          <w:spacing w:val="-4"/>
          <w:sz w:val="28"/>
          <w:szCs w:val="28"/>
        </w:rPr>
        <w:t>协作沟通、时间管理、数据分析、业务运营、创新创业等综合能</w:t>
      </w:r>
      <w:r>
        <w:rPr>
          <w:rFonts w:hint="eastAsia" w:ascii="仿宋" w:hAnsi="仿宋" w:eastAsia="仿宋"/>
          <w:bCs/>
          <w:sz w:val="28"/>
          <w:szCs w:val="28"/>
        </w:rPr>
        <w:t>力。</w:t>
      </w:r>
    </w:p>
    <w:p>
      <w:pPr>
        <w:widowControl w:val="0"/>
        <w:spacing w:line="360" w:lineRule="auto"/>
        <w:ind w:firstLine="564"/>
        <w:rPr>
          <w:rFonts w:ascii="仿宋" w:hAnsi="仿宋" w:eastAsia="仿宋"/>
          <w:bCs/>
          <w:sz w:val="28"/>
          <w:szCs w:val="28"/>
        </w:rPr>
      </w:pPr>
      <w:r>
        <w:rPr>
          <w:rFonts w:hint="eastAsia" w:ascii="仿宋" w:hAnsi="仿宋" w:eastAsia="仿宋"/>
          <w:bCs/>
          <w:sz w:val="28"/>
          <w:szCs w:val="28"/>
        </w:rPr>
        <w:t>本赛项现场竞赛时长480分钟（8小时）。竞赛内容包括3个模块、10项子任务。具体竞赛内容结构、成绩比例，如</w:t>
      </w:r>
      <w:r>
        <w:rPr>
          <w:rFonts w:hint="eastAsia" w:ascii="仿宋" w:hAnsi="仿宋" w:eastAsia="仿宋"/>
          <w:bCs/>
          <w:sz w:val="28"/>
          <w:szCs w:val="28"/>
          <w:lang w:val="en-US" w:eastAsia="zh-CN"/>
        </w:rPr>
        <w:t>图</w:t>
      </w:r>
      <w:r>
        <w:rPr>
          <w:rFonts w:hint="eastAsia" w:ascii="仿宋" w:hAnsi="仿宋" w:eastAsia="仿宋"/>
          <w:bCs/>
          <w:sz w:val="28"/>
          <w:szCs w:val="28"/>
        </w:rPr>
        <w:t>所示。</w:t>
      </w:r>
    </w:p>
    <w:p>
      <w:pPr>
        <w:widowControl w:val="0"/>
        <w:spacing w:line="360" w:lineRule="auto"/>
        <w:jc w:val="center"/>
        <w:rPr>
          <w:rFonts w:ascii="黑体" w:hAnsi="黑体" w:eastAsia="黑体"/>
          <w:bCs/>
          <w:sz w:val="28"/>
          <w:szCs w:val="28"/>
        </w:rPr>
      </w:pPr>
      <w:r>
        <w:rPr>
          <w:rFonts w:hint="eastAsia" w:ascii="黑体" w:hAnsi="黑体" w:eastAsia="黑体"/>
          <w:bCs/>
          <w:sz w:val="28"/>
          <w:szCs w:val="28"/>
        </w:rPr>
        <w:t>竞赛内容与成绩比例</w:t>
      </w:r>
    </w:p>
    <w:tbl>
      <w:tblPr>
        <w:tblStyle w:val="11"/>
        <w:tblW w:w="8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872"/>
        <w:gridCol w:w="4394"/>
        <w:gridCol w:w="1276"/>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838" w:type="dxa"/>
            <w:gridSpan w:val="2"/>
            <w:vAlign w:val="center"/>
          </w:tcPr>
          <w:p>
            <w:pPr>
              <w:widowControl w:val="0"/>
              <w:spacing w:line="288" w:lineRule="auto"/>
              <w:jc w:val="center"/>
              <w:rPr>
                <w:rFonts w:ascii="仿宋" w:hAnsi="仿宋" w:eastAsia="仿宋"/>
                <w:bCs/>
              </w:rPr>
            </w:pPr>
            <w:r>
              <w:rPr>
                <w:rFonts w:hint="eastAsia" w:ascii="仿宋" w:hAnsi="仿宋" w:eastAsia="仿宋"/>
                <w:bCs/>
              </w:rPr>
              <w:t>模块</w:t>
            </w:r>
          </w:p>
        </w:tc>
        <w:tc>
          <w:tcPr>
            <w:tcW w:w="4394" w:type="dxa"/>
            <w:vAlign w:val="center"/>
          </w:tcPr>
          <w:p>
            <w:pPr>
              <w:widowControl w:val="0"/>
              <w:spacing w:line="288" w:lineRule="auto"/>
              <w:jc w:val="center"/>
              <w:rPr>
                <w:rFonts w:ascii="仿宋" w:hAnsi="仿宋" w:eastAsia="仿宋"/>
                <w:bCs/>
              </w:rPr>
            </w:pPr>
            <w:r>
              <w:rPr>
                <w:rFonts w:hint="eastAsia" w:ascii="仿宋" w:hAnsi="仿宋" w:eastAsia="仿宋"/>
                <w:bCs/>
              </w:rPr>
              <w:t>主要内容</w:t>
            </w:r>
          </w:p>
        </w:tc>
        <w:tc>
          <w:tcPr>
            <w:tcW w:w="1276" w:type="dxa"/>
            <w:vAlign w:val="center"/>
          </w:tcPr>
          <w:p>
            <w:pPr>
              <w:widowControl w:val="0"/>
              <w:spacing w:line="288" w:lineRule="auto"/>
              <w:jc w:val="center"/>
              <w:rPr>
                <w:rFonts w:ascii="仿宋" w:hAnsi="仿宋" w:eastAsia="仿宋"/>
                <w:bCs/>
              </w:rPr>
            </w:pPr>
            <w:r>
              <w:rPr>
                <w:rFonts w:hint="eastAsia" w:ascii="仿宋" w:hAnsi="仿宋" w:eastAsia="仿宋"/>
                <w:bCs/>
              </w:rPr>
              <w:t>比赛时长</w:t>
            </w:r>
          </w:p>
        </w:tc>
        <w:tc>
          <w:tcPr>
            <w:tcW w:w="888" w:type="dxa"/>
            <w:vAlign w:val="center"/>
          </w:tcPr>
          <w:p>
            <w:pPr>
              <w:widowControl w:val="0"/>
              <w:spacing w:line="288" w:lineRule="auto"/>
              <w:jc w:val="center"/>
              <w:rPr>
                <w:rFonts w:ascii="仿宋" w:hAnsi="仿宋" w:eastAsia="仿宋"/>
                <w:bCs/>
              </w:rPr>
            </w:pPr>
            <w:r>
              <w:rPr>
                <w:rFonts w:hint="eastAsia" w:ascii="仿宋" w:hAnsi="仿宋" w:eastAsia="仿宋"/>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widowControl w:val="0"/>
              <w:spacing w:line="288" w:lineRule="auto"/>
              <w:jc w:val="center"/>
              <w:rPr>
                <w:rFonts w:ascii="仿宋" w:hAnsi="仿宋" w:eastAsia="仿宋"/>
                <w:bCs/>
              </w:rPr>
            </w:pPr>
            <w:r>
              <w:rPr>
                <w:rFonts w:hint="eastAsia" w:ascii="仿宋" w:hAnsi="仿宋" w:eastAsia="仿宋"/>
                <w:bCs/>
              </w:rPr>
              <w:t>模块一</w:t>
            </w:r>
          </w:p>
        </w:tc>
        <w:tc>
          <w:tcPr>
            <w:tcW w:w="872" w:type="dxa"/>
            <w:vAlign w:val="center"/>
          </w:tcPr>
          <w:p>
            <w:pPr>
              <w:widowControl w:val="0"/>
              <w:spacing w:line="288" w:lineRule="auto"/>
              <w:jc w:val="center"/>
              <w:rPr>
                <w:rFonts w:ascii="仿宋" w:hAnsi="仿宋" w:eastAsia="仿宋"/>
                <w:bCs/>
              </w:rPr>
            </w:pPr>
            <w:r>
              <w:rPr>
                <w:rFonts w:hint="eastAsia" w:ascii="仿宋" w:hAnsi="仿宋" w:eastAsia="仿宋"/>
                <w:bCs/>
              </w:rPr>
              <w:t>跨境电子商务数据化选品与发布</w:t>
            </w:r>
          </w:p>
        </w:tc>
        <w:tc>
          <w:tcPr>
            <w:tcW w:w="4394" w:type="dxa"/>
          </w:tcPr>
          <w:p>
            <w:pPr>
              <w:widowControl w:val="0"/>
              <w:spacing w:line="288" w:lineRule="auto"/>
              <w:jc w:val="both"/>
              <w:rPr>
                <w:rFonts w:ascii="仿宋" w:hAnsi="仿宋" w:eastAsia="仿宋"/>
                <w:bCs/>
              </w:rPr>
            </w:pPr>
            <w:r>
              <w:rPr>
                <w:rFonts w:hint="eastAsia" w:ascii="仿宋" w:hAnsi="仿宋" w:eastAsia="仿宋"/>
                <w:bCs/>
              </w:rPr>
              <w:t>根据平台提供的市场数据和跨境电子商务任务背景，使用数据分析工具、选择优势商品；完成店铺LOGO、店招、Banner 设计制作、商品主图设计制作、商品详情页视觉营销设计制作、商品短视频视觉营销设计制作；选择合适的商品关键词并撰写商品标题、进行商品定价、设置物流模板等操作，成功发布商品；</w:t>
            </w:r>
          </w:p>
        </w:tc>
        <w:tc>
          <w:tcPr>
            <w:tcW w:w="1276" w:type="dxa"/>
            <w:vAlign w:val="center"/>
          </w:tcPr>
          <w:p>
            <w:pPr>
              <w:widowControl w:val="0"/>
              <w:spacing w:line="288" w:lineRule="auto"/>
              <w:jc w:val="center"/>
              <w:rPr>
                <w:rFonts w:ascii="仿宋" w:hAnsi="仿宋" w:eastAsia="仿宋"/>
                <w:bCs/>
              </w:rPr>
            </w:pPr>
            <w:r>
              <w:rPr>
                <w:rFonts w:hint="eastAsia" w:ascii="仿宋" w:hAnsi="仿宋" w:eastAsia="仿宋"/>
                <w:bCs/>
              </w:rPr>
              <w:t>1</w:t>
            </w:r>
            <w:r>
              <w:rPr>
                <w:rFonts w:ascii="仿宋" w:hAnsi="仿宋" w:eastAsia="仿宋"/>
                <w:bCs/>
              </w:rPr>
              <w:t>50</w:t>
            </w:r>
            <w:r>
              <w:rPr>
                <w:rFonts w:hint="eastAsia" w:ascii="仿宋" w:hAnsi="仿宋" w:eastAsia="仿宋"/>
                <w:bCs/>
              </w:rPr>
              <w:t>分钟</w:t>
            </w:r>
          </w:p>
        </w:tc>
        <w:tc>
          <w:tcPr>
            <w:tcW w:w="888" w:type="dxa"/>
            <w:vAlign w:val="center"/>
          </w:tcPr>
          <w:p>
            <w:pPr>
              <w:widowControl w:val="0"/>
              <w:spacing w:line="288" w:lineRule="auto"/>
              <w:jc w:val="center"/>
              <w:rPr>
                <w:rFonts w:ascii="仿宋" w:hAnsi="仿宋" w:eastAsia="仿宋"/>
                <w:bCs/>
              </w:rPr>
            </w:pPr>
            <w:r>
              <w:rPr>
                <w:rFonts w:hint="eastAsia" w:ascii="仿宋" w:hAnsi="仿宋" w:eastAsia="仿宋"/>
                <w:bCs/>
              </w:rPr>
              <w:t>3</w:t>
            </w:r>
            <w:r>
              <w:rPr>
                <w:rFonts w:hint="eastAsia" w:ascii="仿宋" w:hAnsi="仿宋" w:eastAsia="仿宋"/>
                <w:bCs/>
                <w:lang w:val="en-US" w:eastAsia="zh-CN"/>
              </w:rPr>
              <w:t>5</w:t>
            </w:r>
            <w:r>
              <w:rPr>
                <w:rFonts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widowControl w:val="0"/>
              <w:spacing w:line="288" w:lineRule="auto"/>
              <w:jc w:val="center"/>
              <w:rPr>
                <w:rFonts w:ascii="仿宋" w:hAnsi="仿宋" w:eastAsia="仿宋"/>
                <w:bCs/>
              </w:rPr>
            </w:pPr>
            <w:r>
              <w:rPr>
                <w:rFonts w:hint="eastAsia" w:ascii="仿宋" w:hAnsi="仿宋" w:eastAsia="仿宋"/>
                <w:bCs/>
              </w:rPr>
              <w:t>模块二</w:t>
            </w:r>
          </w:p>
        </w:tc>
        <w:tc>
          <w:tcPr>
            <w:tcW w:w="872" w:type="dxa"/>
            <w:vAlign w:val="center"/>
          </w:tcPr>
          <w:p>
            <w:pPr>
              <w:widowControl w:val="0"/>
              <w:spacing w:line="288" w:lineRule="auto"/>
              <w:jc w:val="center"/>
              <w:rPr>
                <w:rFonts w:ascii="仿宋" w:hAnsi="仿宋" w:eastAsia="仿宋"/>
                <w:bCs/>
              </w:rPr>
            </w:pPr>
            <w:r>
              <w:rPr>
                <w:rFonts w:hint="eastAsia" w:ascii="仿宋" w:hAnsi="仿宋" w:eastAsia="仿宋"/>
                <w:bCs/>
              </w:rPr>
              <w:t>跨境电子商务数据化运营与推广</w:t>
            </w:r>
          </w:p>
        </w:tc>
        <w:tc>
          <w:tcPr>
            <w:tcW w:w="4394" w:type="dxa"/>
            <w:vAlign w:val="center"/>
          </w:tcPr>
          <w:p>
            <w:pPr>
              <w:widowControl w:val="0"/>
              <w:spacing w:line="288" w:lineRule="auto"/>
              <w:jc w:val="both"/>
              <w:rPr>
                <w:rFonts w:ascii="仿宋" w:hAnsi="仿宋" w:eastAsia="仿宋"/>
                <w:bCs/>
              </w:rPr>
            </w:pPr>
            <w:r>
              <w:rPr>
                <w:rFonts w:hint="eastAsia" w:ascii="仿宋" w:hAnsi="仿宋" w:eastAsia="仿宋"/>
                <w:bCs/>
              </w:rPr>
              <w:t>根据所给数据，利用运营推广预算，通过免费和付费两种推广方式，完成店铺商品引流推广；撰写英文直播脚本并完成10分钟跨境电商直播销售；对运营数据进行分析诊断，撰写并制作店铺运营周期可视化总结报告。</w:t>
            </w:r>
          </w:p>
        </w:tc>
        <w:tc>
          <w:tcPr>
            <w:tcW w:w="1276" w:type="dxa"/>
            <w:vAlign w:val="center"/>
          </w:tcPr>
          <w:p>
            <w:pPr>
              <w:widowControl w:val="0"/>
              <w:spacing w:line="288" w:lineRule="auto"/>
              <w:jc w:val="center"/>
              <w:rPr>
                <w:rFonts w:ascii="仿宋" w:hAnsi="仿宋" w:eastAsia="仿宋"/>
                <w:bCs/>
              </w:rPr>
            </w:pPr>
            <w:r>
              <w:rPr>
                <w:rFonts w:hint="eastAsia" w:ascii="仿宋" w:hAnsi="仿宋" w:eastAsia="仿宋"/>
                <w:bCs/>
              </w:rPr>
              <w:t>2</w:t>
            </w:r>
            <w:r>
              <w:rPr>
                <w:rFonts w:ascii="仿宋" w:hAnsi="仿宋" w:eastAsia="仿宋"/>
                <w:bCs/>
              </w:rPr>
              <w:t>10</w:t>
            </w:r>
            <w:r>
              <w:rPr>
                <w:rFonts w:hint="eastAsia" w:ascii="仿宋" w:hAnsi="仿宋" w:eastAsia="仿宋"/>
                <w:bCs/>
              </w:rPr>
              <w:t>分钟</w:t>
            </w:r>
          </w:p>
        </w:tc>
        <w:tc>
          <w:tcPr>
            <w:tcW w:w="888" w:type="dxa"/>
            <w:vAlign w:val="center"/>
          </w:tcPr>
          <w:p>
            <w:pPr>
              <w:widowControl w:val="0"/>
              <w:spacing w:line="288" w:lineRule="auto"/>
              <w:jc w:val="center"/>
              <w:rPr>
                <w:rFonts w:ascii="仿宋" w:hAnsi="仿宋" w:eastAsia="仿宋"/>
                <w:bCs/>
              </w:rPr>
            </w:pPr>
            <w:r>
              <w:rPr>
                <w:rFonts w:hint="eastAsia" w:ascii="仿宋" w:hAnsi="仿宋" w:eastAsia="仿宋"/>
                <w:bCs/>
              </w:rPr>
              <w:t>4</w:t>
            </w:r>
            <w:r>
              <w:rPr>
                <w:rFonts w:ascii="仿宋" w:hAnsi="仿宋" w:eastAsia="仿宋"/>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widowControl w:val="0"/>
              <w:spacing w:line="288" w:lineRule="auto"/>
              <w:jc w:val="center"/>
              <w:rPr>
                <w:rFonts w:ascii="仿宋" w:hAnsi="仿宋" w:eastAsia="仿宋"/>
                <w:bCs/>
              </w:rPr>
            </w:pPr>
            <w:r>
              <w:rPr>
                <w:rFonts w:hint="eastAsia" w:ascii="仿宋" w:hAnsi="仿宋" w:eastAsia="仿宋"/>
                <w:bCs/>
              </w:rPr>
              <w:t>模块三</w:t>
            </w:r>
          </w:p>
        </w:tc>
        <w:tc>
          <w:tcPr>
            <w:tcW w:w="872" w:type="dxa"/>
            <w:vAlign w:val="center"/>
          </w:tcPr>
          <w:p>
            <w:pPr>
              <w:widowControl w:val="0"/>
              <w:spacing w:line="288" w:lineRule="auto"/>
              <w:jc w:val="center"/>
              <w:rPr>
                <w:rFonts w:ascii="仿宋" w:hAnsi="仿宋" w:eastAsia="仿宋"/>
                <w:bCs/>
              </w:rPr>
            </w:pPr>
            <w:r>
              <w:rPr>
                <w:rFonts w:hint="eastAsia" w:ascii="仿宋" w:hAnsi="仿宋" w:eastAsia="仿宋"/>
                <w:bCs/>
              </w:rPr>
              <w:t>跨境电子商务合规通关</w:t>
            </w:r>
          </w:p>
        </w:tc>
        <w:tc>
          <w:tcPr>
            <w:tcW w:w="4394" w:type="dxa"/>
            <w:vAlign w:val="center"/>
          </w:tcPr>
          <w:p>
            <w:pPr>
              <w:widowControl w:val="0"/>
              <w:spacing w:line="288" w:lineRule="auto"/>
              <w:jc w:val="both"/>
              <w:rPr>
                <w:rFonts w:hint="eastAsia" w:ascii="仿宋" w:hAnsi="仿宋" w:eastAsia="仿宋"/>
                <w:bCs/>
                <w:lang w:eastAsia="zh-CN"/>
              </w:rPr>
            </w:pPr>
            <w:r>
              <w:rPr>
                <w:rFonts w:hint="eastAsia" w:ascii="仿宋" w:hAnsi="仿宋" w:eastAsia="仿宋"/>
                <w:bCs/>
              </w:rPr>
              <w:t>根据不同的跨境电子商务任务背景，设计跨境物流方案，选择正确的物流方式，准确计算物流费用；进行跨境电子商务的合规通关操作，能正确选择海关监管方式，并设计对应的通关方案，策划税费</w:t>
            </w:r>
            <w:r>
              <w:rPr>
                <w:rFonts w:hint="eastAsia" w:ascii="仿宋" w:hAnsi="仿宋" w:eastAsia="仿宋"/>
                <w:bCs/>
                <w:lang w:eastAsia="zh-CN"/>
              </w:rPr>
              <w:t>；</w:t>
            </w:r>
            <w:r>
              <w:rPr>
                <w:rFonts w:hint="eastAsia" w:ascii="仿宋" w:hAnsi="仿宋" w:eastAsia="仿宋"/>
                <w:bCs/>
              </w:rPr>
              <w:t>能有效开展客户服务，对客户提出的问题进行合理和有效地回复与处理。</w:t>
            </w:r>
          </w:p>
        </w:tc>
        <w:tc>
          <w:tcPr>
            <w:tcW w:w="1276" w:type="dxa"/>
            <w:vAlign w:val="center"/>
          </w:tcPr>
          <w:p>
            <w:pPr>
              <w:widowControl w:val="0"/>
              <w:spacing w:line="288" w:lineRule="auto"/>
              <w:jc w:val="center"/>
              <w:rPr>
                <w:rFonts w:ascii="仿宋" w:hAnsi="仿宋" w:eastAsia="仿宋"/>
                <w:bCs/>
              </w:rPr>
            </w:pPr>
            <w:r>
              <w:rPr>
                <w:rFonts w:hint="eastAsia" w:ascii="仿宋" w:hAnsi="仿宋" w:eastAsia="仿宋"/>
                <w:bCs/>
              </w:rPr>
              <w:t>1</w:t>
            </w:r>
            <w:r>
              <w:rPr>
                <w:rFonts w:ascii="仿宋" w:hAnsi="仿宋" w:eastAsia="仿宋"/>
                <w:bCs/>
              </w:rPr>
              <w:t>20</w:t>
            </w:r>
            <w:r>
              <w:rPr>
                <w:rFonts w:hint="eastAsia" w:ascii="仿宋" w:hAnsi="仿宋" w:eastAsia="仿宋"/>
                <w:bCs/>
              </w:rPr>
              <w:t>分钟</w:t>
            </w:r>
          </w:p>
        </w:tc>
        <w:tc>
          <w:tcPr>
            <w:tcW w:w="888" w:type="dxa"/>
            <w:vAlign w:val="center"/>
          </w:tcPr>
          <w:p>
            <w:pPr>
              <w:widowControl w:val="0"/>
              <w:spacing w:line="288" w:lineRule="auto"/>
              <w:jc w:val="center"/>
              <w:rPr>
                <w:rFonts w:ascii="仿宋" w:hAnsi="仿宋" w:eastAsia="仿宋"/>
                <w:bCs/>
              </w:rPr>
            </w:pPr>
            <w:r>
              <w:rPr>
                <w:rFonts w:hint="eastAsia" w:ascii="仿宋" w:hAnsi="仿宋" w:eastAsia="仿宋"/>
                <w:bCs/>
                <w:lang w:val="en-US" w:eastAsia="zh-CN"/>
              </w:rPr>
              <w:t>20</w:t>
            </w:r>
            <w:r>
              <w:rPr>
                <w:rFonts w:ascii="仿宋" w:hAnsi="仿宋" w:eastAsia="仿宋"/>
                <w:bCs/>
              </w:rPr>
              <w:t>%</w:t>
            </w:r>
          </w:p>
        </w:tc>
      </w:tr>
    </w:tbl>
    <w:p>
      <w:pPr>
        <w:widowControl w:val="0"/>
        <w:spacing w:line="360" w:lineRule="auto"/>
        <w:ind w:firstLine="562" w:firstLineChars="200"/>
        <w:outlineLvl w:val="1"/>
        <w:rPr>
          <w:rFonts w:hint="eastAsia" w:ascii="仿宋" w:hAnsi="仿宋" w:eastAsia="仿宋" w:cs="宋体"/>
          <w:b/>
          <w:sz w:val="28"/>
          <w:szCs w:val="28"/>
          <w:lang w:eastAsia="zh-CN"/>
        </w:rPr>
      </w:pPr>
      <w:r>
        <w:rPr>
          <w:rFonts w:hint="eastAsia" w:ascii="仿宋" w:hAnsi="仿宋" w:eastAsia="仿宋" w:cs="宋体"/>
          <w:b/>
          <w:sz w:val="28"/>
          <w:szCs w:val="28"/>
          <w:lang w:eastAsia="zh-CN"/>
        </w:rPr>
        <w:t>（</w:t>
      </w:r>
      <w:r>
        <w:rPr>
          <w:rFonts w:hint="eastAsia" w:ascii="仿宋" w:hAnsi="仿宋" w:eastAsia="仿宋" w:cs="宋体"/>
          <w:b/>
          <w:sz w:val="28"/>
          <w:szCs w:val="28"/>
          <w:lang w:val="en-US" w:eastAsia="zh-CN"/>
        </w:rPr>
        <w:t>二</w:t>
      </w:r>
      <w:r>
        <w:rPr>
          <w:rFonts w:hint="eastAsia" w:ascii="仿宋" w:hAnsi="仿宋" w:eastAsia="仿宋" w:cs="宋体"/>
          <w:b/>
          <w:sz w:val="28"/>
          <w:szCs w:val="28"/>
          <w:lang w:eastAsia="zh-CN"/>
        </w:rPr>
        <w:t>）赛项模块、比赛时长及分值配比</w:t>
      </w:r>
    </w:p>
    <w:p>
      <w:pPr>
        <w:widowControl w:val="0"/>
        <w:spacing w:line="360" w:lineRule="auto"/>
        <w:jc w:val="center"/>
        <w:rPr>
          <w:rFonts w:ascii="仿宋" w:hAnsi="仿宋" w:eastAsia="仿宋"/>
          <w:bCs/>
          <w:sz w:val="28"/>
          <w:szCs w:val="28"/>
        </w:rPr>
      </w:pPr>
      <w:r>
        <w:rPr>
          <w:rFonts w:hint="eastAsia" w:ascii="黑体" w:hAnsi="黑体" w:eastAsia="黑体"/>
          <w:bCs/>
          <w:sz w:val="28"/>
          <w:szCs w:val="28"/>
        </w:rPr>
        <w:t>赛项模块主要内容、比赛时长及分值权重</w:t>
      </w:r>
    </w:p>
    <w:tbl>
      <w:tblPr>
        <w:tblStyle w:val="11"/>
        <w:tblW w:w="8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872"/>
        <w:gridCol w:w="4553"/>
        <w:gridCol w:w="1212"/>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1838" w:type="dxa"/>
            <w:gridSpan w:val="2"/>
            <w:vAlign w:val="center"/>
          </w:tcPr>
          <w:p>
            <w:pPr>
              <w:widowControl w:val="0"/>
              <w:spacing w:line="288" w:lineRule="auto"/>
              <w:jc w:val="center"/>
              <w:rPr>
                <w:rFonts w:ascii="仿宋" w:hAnsi="仿宋" w:eastAsia="仿宋"/>
                <w:bCs/>
              </w:rPr>
            </w:pPr>
            <w:r>
              <w:rPr>
                <w:rFonts w:hint="eastAsia" w:ascii="仿宋" w:hAnsi="仿宋" w:eastAsia="仿宋"/>
                <w:bCs/>
              </w:rPr>
              <w:t>模块</w:t>
            </w:r>
          </w:p>
        </w:tc>
        <w:tc>
          <w:tcPr>
            <w:tcW w:w="4553" w:type="dxa"/>
            <w:vAlign w:val="center"/>
          </w:tcPr>
          <w:p>
            <w:pPr>
              <w:widowControl w:val="0"/>
              <w:spacing w:line="288" w:lineRule="auto"/>
              <w:jc w:val="center"/>
              <w:rPr>
                <w:rFonts w:ascii="仿宋" w:hAnsi="仿宋" w:eastAsia="仿宋"/>
                <w:bCs/>
              </w:rPr>
            </w:pPr>
            <w:r>
              <w:rPr>
                <w:rFonts w:hint="eastAsia" w:ascii="仿宋" w:hAnsi="仿宋" w:eastAsia="仿宋"/>
                <w:bCs/>
              </w:rPr>
              <w:t>主要内容</w:t>
            </w:r>
          </w:p>
        </w:tc>
        <w:tc>
          <w:tcPr>
            <w:tcW w:w="1212" w:type="dxa"/>
            <w:vAlign w:val="center"/>
          </w:tcPr>
          <w:p>
            <w:pPr>
              <w:widowControl w:val="0"/>
              <w:spacing w:line="288" w:lineRule="auto"/>
              <w:jc w:val="center"/>
              <w:rPr>
                <w:rFonts w:ascii="仿宋" w:hAnsi="仿宋" w:eastAsia="仿宋"/>
                <w:bCs/>
              </w:rPr>
            </w:pPr>
            <w:r>
              <w:rPr>
                <w:rFonts w:hint="eastAsia" w:ascii="仿宋" w:hAnsi="仿宋" w:eastAsia="仿宋"/>
                <w:bCs/>
              </w:rPr>
              <w:t>比赛时长</w:t>
            </w:r>
          </w:p>
        </w:tc>
        <w:tc>
          <w:tcPr>
            <w:tcW w:w="793" w:type="dxa"/>
            <w:vAlign w:val="center"/>
          </w:tcPr>
          <w:p>
            <w:pPr>
              <w:widowControl w:val="0"/>
              <w:spacing w:line="288" w:lineRule="auto"/>
              <w:jc w:val="center"/>
              <w:rPr>
                <w:rFonts w:ascii="仿宋" w:hAnsi="仿宋" w:eastAsia="仿宋"/>
                <w:bCs/>
              </w:rPr>
            </w:pPr>
            <w:r>
              <w:rPr>
                <w:rFonts w:hint="eastAsia" w:ascii="仿宋" w:hAnsi="仿宋" w:eastAsia="仿宋"/>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widowControl w:val="0"/>
              <w:spacing w:line="288" w:lineRule="auto"/>
              <w:jc w:val="center"/>
              <w:rPr>
                <w:rFonts w:ascii="仿宋" w:hAnsi="仿宋" w:eastAsia="仿宋"/>
                <w:bCs/>
              </w:rPr>
            </w:pPr>
            <w:r>
              <w:rPr>
                <w:rFonts w:hint="eastAsia" w:ascii="仿宋" w:hAnsi="仿宋" w:eastAsia="仿宋"/>
                <w:bCs/>
              </w:rPr>
              <w:t>模块一</w:t>
            </w:r>
          </w:p>
        </w:tc>
        <w:tc>
          <w:tcPr>
            <w:tcW w:w="872" w:type="dxa"/>
            <w:vAlign w:val="center"/>
          </w:tcPr>
          <w:p>
            <w:pPr>
              <w:widowControl w:val="0"/>
              <w:spacing w:line="288" w:lineRule="auto"/>
              <w:jc w:val="center"/>
              <w:rPr>
                <w:rFonts w:ascii="仿宋" w:hAnsi="仿宋" w:eastAsia="仿宋"/>
                <w:bCs/>
              </w:rPr>
            </w:pPr>
            <w:r>
              <w:rPr>
                <w:rFonts w:hint="eastAsia" w:ascii="仿宋" w:hAnsi="仿宋" w:eastAsia="仿宋"/>
                <w:bCs/>
              </w:rPr>
              <w:t>跨境电子商务数据化选品与发布</w:t>
            </w:r>
          </w:p>
        </w:tc>
        <w:tc>
          <w:tcPr>
            <w:tcW w:w="4553" w:type="dxa"/>
          </w:tcPr>
          <w:p>
            <w:pPr>
              <w:widowControl w:val="0"/>
              <w:autoSpaceDE w:val="0"/>
              <w:autoSpaceDN w:val="0"/>
              <w:adjustRightInd w:val="0"/>
              <w:spacing w:line="288" w:lineRule="auto"/>
              <w:jc w:val="both"/>
              <w:rPr>
                <w:rFonts w:ascii="仿宋" w:hAnsi="仿宋" w:eastAsia="仿宋" w:cs="仿宋_GB2312"/>
                <w:b/>
                <w:bCs/>
              </w:rPr>
            </w:pPr>
            <w:r>
              <w:rPr>
                <w:rFonts w:hint="eastAsia" w:ascii="仿宋" w:hAnsi="仿宋" w:eastAsia="仿宋" w:cs="仿宋_GB2312"/>
                <w:b/>
                <w:bCs/>
              </w:rPr>
              <w:t>1.跨境电子商务数据化选品</w:t>
            </w:r>
          </w:p>
          <w:p>
            <w:pPr>
              <w:widowControl w:val="0"/>
              <w:autoSpaceDE w:val="0"/>
              <w:autoSpaceDN w:val="0"/>
              <w:adjustRightInd w:val="0"/>
              <w:spacing w:line="288" w:lineRule="auto"/>
              <w:jc w:val="both"/>
              <w:rPr>
                <w:rFonts w:ascii="仿宋" w:hAnsi="仿宋" w:eastAsia="仿宋" w:cs="仿宋_GB2312"/>
              </w:rPr>
            </w:pPr>
            <w:r>
              <w:rPr>
                <w:rFonts w:hint="eastAsia" w:ascii="仿宋" w:hAnsi="仿宋" w:eastAsia="仿宋" w:cs="仿宋_GB2312"/>
              </w:rPr>
              <w:t>根据平台提供数据化运营看板，使用数据分析工具，选择潜力商品、优势商品。</w:t>
            </w:r>
          </w:p>
          <w:p>
            <w:pPr>
              <w:widowControl w:val="0"/>
              <w:autoSpaceDE w:val="0"/>
              <w:autoSpaceDN w:val="0"/>
              <w:adjustRightInd w:val="0"/>
              <w:spacing w:line="288" w:lineRule="auto"/>
              <w:jc w:val="both"/>
              <w:rPr>
                <w:rFonts w:ascii="仿宋" w:hAnsi="仿宋" w:eastAsia="仿宋" w:cs="仿宋_GB2312"/>
                <w:b/>
                <w:bCs/>
              </w:rPr>
            </w:pPr>
            <w:r>
              <w:rPr>
                <w:rFonts w:hint="eastAsia" w:ascii="仿宋" w:hAnsi="仿宋" w:eastAsia="仿宋" w:cs="仿宋_GB2312"/>
                <w:b/>
                <w:bCs/>
              </w:rPr>
              <w:t>2.跨境电子商务视觉营销设计</w:t>
            </w:r>
          </w:p>
          <w:p>
            <w:pPr>
              <w:widowControl w:val="0"/>
              <w:autoSpaceDE w:val="0"/>
              <w:autoSpaceDN w:val="0"/>
              <w:adjustRightInd w:val="0"/>
              <w:spacing w:line="288" w:lineRule="auto"/>
              <w:jc w:val="both"/>
              <w:rPr>
                <w:rFonts w:ascii="仿宋" w:hAnsi="仿宋" w:eastAsia="仿宋" w:cs="仿宋_GB2312"/>
                <w:spacing w:val="-6"/>
              </w:rPr>
            </w:pPr>
            <w:r>
              <w:rPr>
                <w:rFonts w:hint="eastAsia" w:ascii="仿宋" w:hAnsi="仿宋" w:eastAsia="仿宋" w:cs="仿宋_GB2312"/>
                <w:spacing w:val="-6"/>
              </w:rPr>
              <w:t>（</w:t>
            </w:r>
            <w:r>
              <w:rPr>
                <w:rFonts w:ascii="仿宋" w:hAnsi="仿宋" w:eastAsia="仿宋" w:cs="仿宋_GB2312"/>
                <w:spacing w:val="-6"/>
              </w:rPr>
              <w:t>1</w:t>
            </w:r>
            <w:r>
              <w:rPr>
                <w:rFonts w:hint="eastAsia" w:ascii="仿宋" w:hAnsi="仿宋" w:eastAsia="仿宋" w:cs="仿宋_GB2312"/>
                <w:spacing w:val="-6"/>
              </w:rPr>
              <w:t>）店铺</w:t>
            </w:r>
            <w:r>
              <w:rPr>
                <w:rFonts w:ascii="仿宋" w:hAnsi="仿宋" w:eastAsia="仿宋" w:cs="TimesNewRomanPSMT"/>
                <w:spacing w:val="-6"/>
              </w:rPr>
              <w:t>LOGO</w:t>
            </w:r>
            <w:r>
              <w:rPr>
                <w:rFonts w:hint="eastAsia" w:ascii="仿宋" w:hAnsi="仿宋" w:eastAsia="仿宋" w:cs="仿宋_GB2312"/>
                <w:spacing w:val="-6"/>
              </w:rPr>
              <w:t>、店招、</w:t>
            </w:r>
            <w:r>
              <w:rPr>
                <w:rFonts w:ascii="仿宋" w:hAnsi="仿宋" w:eastAsia="仿宋" w:cs="TimesNewRomanPSMT"/>
                <w:spacing w:val="-6"/>
              </w:rPr>
              <w:t>Banner</w:t>
            </w:r>
            <w:r>
              <w:rPr>
                <w:rFonts w:hint="eastAsia" w:ascii="仿宋" w:hAnsi="仿宋" w:eastAsia="仿宋" w:cs="仿宋_GB2312"/>
                <w:spacing w:val="-6"/>
              </w:rPr>
              <w:t>设计与制作</w:t>
            </w:r>
          </w:p>
          <w:p>
            <w:pPr>
              <w:widowControl w:val="0"/>
              <w:autoSpaceDE w:val="0"/>
              <w:autoSpaceDN w:val="0"/>
              <w:adjustRightInd w:val="0"/>
              <w:spacing w:line="288" w:lineRule="auto"/>
              <w:jc w:val="both"/>
              <w:rPr>
                <w:rFonts w:ascii="仿宋" w:hAnsi="仿宋" w:eastAsia="仿宋" w:cs="仿宋_GB2312"/>
              </w:rPr>
            </w:pPr>
            <w:r>
              <w:rPr>
                <w:rFonts w:hint="eastAsia" w:ascii="仿宋" w:hAnsi="仿宋" w:eastAsia="仿宋" w:cs="仿宋_GB2312"/>
              </w:rPr>
              <w:t>根据任务提供的图片和文本素材，制作贴合主题的图片作为店铺</w:t>
            </w:r>
            <w:r>
              <w:rPr>
                <w:rFonts w:ascii="仿宋" w:hAnsi="仿宋" w:eastAsia="仿宋" w:cs="仿宋_GB2312"/>
              </w:rPr>
              <w:t>LOGO</w:t>
            </w:r>
            <w:r>
              <w:rPr>
                <w:rFonts w:hint="eastAsia" w:ascii="仿宋" w:hAnsi="仿宋" w:eastAsia="仿宋" w:cs="仿宋_GB2312"/>
              </w:rPr>
              <w:t>、店招和Banner，要求设计独特，具有一定的创新性。</w:t>
            </w:r>
          </w:p>
          <w:p>
            <w:pPr>
              <w:widowControl w:val="0"/>
              <w:autoSpaceDE w:val="0"/>
              <w:autoSpaceDN w:val="0"/>
              <w:adjustRightInd w:val="0"/>
              <w:spacing w:line="288" w:lineRule="auto"/>
              <w:jc w:val="both"/>
              <w:rPr>
                <w:rFonts w:ascii="仿宋" w:hAnsi="仿宋" w:eastAsia="仿宋" w:cs="仿宋_GB2312"/>
              </w:rPr>
            </w:pPr>
            <w:r>
              <w:rPr>
                <w:rFonts w:hint="eastAsia" w:ascii="仿宋" w:hAnsi="仿宋" w:eastAsia="仿宋" w:cs="仿宋_GB2312"/>
              </w:rPr>
              <w:t>（</w:t>
            </w:r>
            <w:r>
              <w:rPr>
                <w:rFonts w:ascii="仿宋" w:hAnsi="仿宋" w:eastAsia="仿宋" w:cs="仿宋_GB2312"/>
              </w:rPr>
              <w:t>2</w:t>
            </w:r>
            <w:r>
              <w:rPr>
                <w:rFonts w:hint="eastAsia" w:ascii="仿宋" w:hAnsi="仿宋" w:eastAsia="仿宋"/>
              </w:rPr>
              <w:t>）</w:t>
            </w:r>
            <w:r>
              <w:rPr>
                <w:rFonts w:hint="eastAsia" w:ascii="仿宋" w:hAnsi="仿宋" w:eastAsia="仿宋" w:cs="仿宋_GB2312"/>
              </w:rPr>
              <w:t>商品主图设计与制作</w:t>
            </w:r>
          </w:p>
          <w:p>
            <w:pPr>
              <w:widowControl w:val="0"/>
              <w:autoSpaceDE w:val="0"/>
              <w:autoSpaceDN w:val="0"/>
              <w:adjustRightInd w:val="0"/>
              <w:spacing w:line="288" w:lineRule="auto"/>
              <w:jc w:val="both"/>
              <w:rPr>
                <w:rFonts w:ascii="仿宋" w:hAnsi="仿宋" w:eastAsia="仿宋" w:cs="仿宋_GB2312"/>
              </w:rPr>
            </w:pPr>
            <w:r>
              <w:rPr>
                <w:rFonts w:hint="eastAsia" w:ascii="仿宋" w:hAnsi="仿宋" w:eastAsia="仿宋" w:cs="仿宋_GB2312"/>
              </w:rPr>
              <w:t>根据店铺营销需求及产品定位，结合平台给定的设计素材，遵照商品主图设计规范及平台规则，策划商品主图展示内容，完成商品主图制作。</w:t>
            </w:r>
          </w:p>
          <w:p>
            <w:pPr>
              <w:widowControl w:val="0"/>
              <w:autoSpaceDE w:val="0"/>
              <w:autoSpaceDN w:val="0"/>
              <w:adjustRightInd w:val="0"/>
              <w:spacing w:line="288" w:lineRule="auto"/>
              <w:jc w:val="both"/>
              <w:rPr>
                <w:rFonts w:ascii="仿宋" w:hAnsi="仿宋" w:eastAsia="仿宋" w:cs="仿宋_GB2312"/>
              </w:rPr>
            </w:pPr>
            <w:r>
              <w:rPr>
                <w:rFonts w:hint="eastAsia" w:ascii="仿宋" w:hAnsi="仿宋" w:eastAsia="仿宋" w:cs="仿宋_GB2312"/>
              </w:rPr>
              <w:t>（</w:t>
            </w:r>
            <w:r>
              <w:rPr>
                <w:rFonts w:ascii="仿宋" w:hAnsi="仿宋" w:eastAsia="仿宋" w:cs="仿宋_GB2312"/>
              </w:rPr>
              <w:t>3</w:t>
            </w:r>
            <w:r>
              <w:rPr>
                <w:rFonts w:hint="eastAsia" w:ascii="仿宋" w:hAnsi="仿宋" w:eastAsia="仿宋" w:cs="仿宋_GB2312"/>
              </w:rPr>
              <w:t>）产品详情页视觉营销设计与制作</w:t>
            </w:r>
          </w:p>
          <w:p>
            <w:pPr>
              <w:widowControl w:val="0"/>
              <w:autoSpaceDE w:val="0"/>
              <w:autoSpaceDN w:val="0"/>
              <w:adjustRightInd w:val="0"/>
              <w:spacing w:line="288" w:lineRule="auto"/>
              <w:jc w:val="both"/>
              <w:rPr>
                <w:rFonts w:ascii="仿宋" w:hAnsi="仿宋" w:eastAsia="仿宋" w:cs="仿宋_GB2312"/>
              </w:rPr>
            </w:pPr>
            <w:r>
              <w:rPr>
                <w:rFonts w:hint="eastAsia" w:ascii="仿宋" w:hAnsi="仿宋" w:eastAsia="仿宋" w:cs="仿宋_GB2312"/>
              </w:rPr>
              <w:t>根据店铺营销需求及产品定位，结合给定的设计素材，遵照详情页图片设计规范及跨境电商平台规则，提炼产品卖点、特色、设置产品基本信息，完成</w:t>
            </w:r>
            <w:r>
              <w:rPr>
                <w:rFonts w:hint="eastAsia" w:ascii="仿宋" w:hAnsi="仿宋" w:eastAsia="仿宋" w:cs="仿宋_GB2312"/>
                <w:spacing w:val="-4"/>
              </w:rPr>
              <w:t>产品详情页视觉营销设计。</w:t>
            </w:r>
          </w:p>
          <w:p>
            <w:pPr>
              <w:widowControl w:val="0"/>
              <w:autoSpaceDE w:val="0"/>
              <w:autoSpaceDN w:val="0"/>
              <w:adjustRightInd w:val="0"/>
              <w:spacing w:line="288" w:lineRule="auto"/>
              <w:jc w:val="both"/>
              <w:rPr>
                <w:rFonts w:ascii="仿宋" w:hAnsi="仿宋" w:eastAsia="仿宋" w:cs="仿宋_GB2312"/>
              </w:rPr>
            </w:pPr>
            <w:r>
              <w:rPr>
                <w:rFonts w:hint="eastAsia" w:ascii="仿宋" w:hAnsi="仿宋" w:eastAsia="仿宋" w:cs="仿宋_GB2312"/>
              </w:rPr>
              <w:t>（4）商品短视频视觉营销设计与制作</w:t>
            </w:r>
          </w:p>
          <w:p>
            <w:pPr>
              <w:widowControl w:val="0"/>
              <w:autoSpaceDE w:val="0"/>
              <w:autoSpaceDN w:val="0"/>
              <w:adjustRightInd w:val="0"/>
              <w:spacing w:line="288" w:lineRule="auto"/>
              <w:jc w:val="both"/>
              <w:rPr>
                <w:rFonts w:ascii="仿宋" w:hAnsi="仿宋" w:eastAsia="仿宋" w:cs="仿宋_GB2312"/>
              </w:rPr>
            </w:pPr>
            <w:r>
              <w:rPr>
                <w:rFonts w:hint="eastAsia" w:ascii="仿宋" w:hAnsi="仿宋" w:eastAsia="仿宋" w:cs="仿宋_GB2312"/>
              </w:rPr>
              <w:t>按照店铺营销需求及产品定位，根据任务提供的视频、图片、音乐等设计素材，遵照产品短视频设计规范及平台规则，完成产品短视频剪辑制作。</w:t>
            </w:r>
          </w:p>
          <w:p>
            <w:pPr>
              <w:widowControl w:val="0"/>
              <w:autoSpaceDE w:val="0"/>
              <w:autoSpaceDN w:val="0"/>
              <w:adjustRightInd w:val="0"/>
              <w:spacing w:line="288" w:lineRule="auto"/>
              <w:jc w:val="both"/>
              <w:rPr>
                <w:rFonts w:ascii="仿宋" w:hAnsi="仿宋" w:eastAsia="仿宋" w:cs="仿宋_GB2312"/>
                <w:b/>
                <w:bCs/>
              </w:rPr>
            </w:pPr>
            <w:r>
              <w:rPr>
                <w:rFonts w:hint="eastAsia" w:ascii="仿宋" w:hAnsi="仿宋" w:eastAsia="仿宋" w:cs="仿宋_GB2312"/>
                <w:b/>
                <w:bCs/>
              </w:rPr>
              <w:t>3.跨境电子商务商品发布</w:t>
            </w:r>
          </w:p>
          <w:p>
            <w:pPr>
              <w:widowControl w:val="0"/>
              <w:autoSpaceDE w:val="0"/>
              <w:autoSpaceDN w:val="0"/>
              <w:adjustRightInd w:val="0"/>
              <w:spacing w:line="288" w:lineRule="auto"/>
              <w:jc w:val="both"/>
              <w:rPr>
                <w:rFonts w:ascii="仿宋" w:hAnsi="仿宋" w:eastAsia="仿宋"/>
                <w:bCs/>
              </w:rPr>
            </w:pPr>
            <w:r>
              <w:rPr>
                <w:rFonts w:hint="eastAsia" w:ascii="仿宋" w:hAnsi="仿宋" w:eastAsia="仿宋" w:cs="仿宋_GB2312"/>
              </w:rPr>
              <w:t>使用数据分析工具选择正确的商品关键词，并撰写商品标题、进行商品定价、设置物流模板等操作，成功发布商品。</w:t>
            </w:r>
          </w:p>
        </w:tc>
        <w:tc>
          <w:tcPr>
            <w:tcW w:w="1212" w:type="dxa"/>
            <w:vAlign w:val="center"/>
          </w:tcPr>
          <w:p>
            <w:pPr>
              <w:widowControl w:val="0"/>
              <w:spacing w:line="288" w:lineRule="auto"/>
              <w:jc w:val="center"/>
              <w:rPr>
                <w:rFonts w:ascii="仿宋" w:hAnsi="仿宋" w:eastAsia="仿宋"/>
                <w:bCs/>
              </w:rPr>
            </w:pPr>
            <w:r>
              <w:rPr>
                <w:rFonts w:hint="eastAsia" w:ascii="仿宋" w:hAnsi="仿宋" w:eastAsia="仿宋"/>
                <w:bCs/>
              </w:rPr>
              <w:t>1</w:t>
            </w:r>
            <w:r>
              <w:rPr>
                <w:rFonts w:ascii="仿宋" w:hAnsi="仿宋" w:eastAsia="仿宋"/>
                <w:bCs/>
              </w:rPr>
              <w:t>50</w:t>
            </w:r>
            <w:r>
              <w:rPr>
                <w:rFonts w:hint="eastAsia" w:ascii="仿宋" w:hAnsi="仿宋" w:eastAsia="仿宋"/>
                <w:bCs/>
              </w:rPr>
              <w:t>分钟</w:t>
            </w:r>
          </w:p>
        </w:tc>
        <w:tc>
          <w:tcPr>
            <w:tcW w:w="793" w:type="dxa"/>
            <w:vAlign w:val="center"/>
          </w:tcPr>
          <w:p>
            <w:pPr>
              <w:widowControl w:val="0"/>
              <w:spacing w:line="288" w:lineRule="auto"/>
              <w:jc w:val="center"/>
              <w:rPr>
                <w:rFonts w:ascii="仿宋" w:hAnsi="仿宋" w:eastAsia="仿宋"/>
                <w:bCs/>
              </w:rPr>
            </w:pPr>
            <w:r>
              <w:rPr>
                <w:rFonts w:hint="eastAsia" w:ascii="仿宋" w:hAnsi="仿宋" w:eastAsia="仿宋"/>
                <w:bCs/>
              </w:rPr>
              <w:t>3</w:t>
            </w:r>
            <w:r>
              <w:rPr>
                <w:rFonts w:hint="eastAsia" w:ascii="仿宋" w:hAnsi="仿宋" w:eastAsia="仿宋"/>
                <w:bCs/>
                <w:lang w:val="en-US" w:eastAsia="zh-CN"/>
              </w:rPr>
              <w:t>5</w:t>
            </w:r>
            <w:r>
              <w:rPr>
                <w:rFonts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widowControl w:val="0"/>
              <w:spacing w:line="288" w:lineRule="auto"/>
              <w:jc w:val="center"/>
              <w:rPr>
                <w:rFonts w:ascii="仿宋" w:hAnsi="仿宋" w:eastAsia="仿宋"/>
                <w:bCs/>
              </w:rPr>
            </w:pPr>
            <w:r>
              <w:rPr>
                <w:rFonts w:hint="eastAsia" w:ascii="仿宋" w:hAnsi="仿宋" w:eastAsia="仿宋"/>
                <w:bCs/>
              </w:rPr>
              <w:t>模块二</w:t>
            </w:r>
          </w:p>
        </w:tc>
        <w:tc>
          <w:tcPr>
            <w:tcW w:w="872" w:type="dxa"/>
            <w:vAlign w:val="center"/>
          </w:tcPr>
          <w:p>
            <w:pPr>
              <w:widowControl w:val="0"/>
              <w:spacing w:line="288" w:lineRule="auto"/>
              <w:jc w:val="center"/>
              <w:rPr>
                <w:rFonts w:ascii="仿宋" w:hAnsi="仿宋" w:eastAsia="仿宋"/>
                <w:bCs/>
              </w:rPr>
            </w:pPr>
            <w:r>
              <w:rPr>
                <w:rFonts w:hint="eastAsia" w:ascii="仿宋" w:hAnsi="仿宋" w:eastAsia="仿宋"/>
                <w:bCs/>
              </w:rPr>
              <w:t>跨境电子商务数据化运营与推广</w:t>
            </w:r>
          </w:p>
        </w:tc>
        <w:tc>
          <w:tcPr>
            <w:tcW w:w="4553" w:type="dxa"/>
            <w:vAlign w:val="center"/>
          </w:tcPr>
          <w:p>
            <w:pPr>
              <w:widowControl w:val="0"/>
              <w:autoSpaceDE w:val="0"/>
              <w:autoSpaceDN w:val="0"/>
              <w:adjustRightInd w:val="0"/>
              <w:spacing w:line="288" w:lineRule="auto"/>
              <w:jc w:val="both"/>
              <w:rPr>
                <w:rFonts w:ascii="仿宋" w:hAnsi="仿宋" w:eastAsia="仿宋" w:cs="仿宋_GB2312"/>
                <w:b/>
                <w:bCs/>
              </w:rPr>
            </w:pPr>
            <w:r>
              <w:rPr>
                <w:rFonts w:hint="eastAsia" w:ascii="仿宋" w:hAnsi="仿宋" w:eastAsia="仿宋" w:cs="仿宋_GB2312"/>
                <w:b/>
                <w:bCs/>
                <w:lang w:val="en-US" w:eastAsia="zh-CN"/>
              </w:rPr>
              <w:t>4</w:t>
            </w:r>
            <w:r>
              <w:rPr>
                <w:rFonts w:hint="eastAsia" w:ascii="仿宋" w:hAnsi="仿宋" w:eastAsia="仿宋" w:cs="仿宋_GB2312"/>
                <w:b/>
                <w:bCs/>
              </w:rPr>
              <w:t>.跨境电子商务数据化运营推广</w:t>
            </w:r>
          </w:p>
          <w:p>
            <w:pPr>
              <w:widowControl w:val="0"/>
              <w:autoSpaceDE w:val="0"/>
              <w:autoSpaceDN w:val="0"/>
              <w:adjustRightInd w:val="0"/>
              <w:spacing w:line="288" w:lineRule="auto"/>
              <w:jc w:val="both"/>
              <w:rPr>
                <w:rFonts w:ascii="仿宋" w:hAnsi="仿宋" w:eastAsia="仿宋" w:cs="仿宋_GB2312"/>
              </w:rPr>
            </w:pPr>
            <w:r>
              <w:rPr>
                <w:rFonts w:hint="eastAsia" w:ascii="仿宋" w:hAnsi="仿宋" w:eastAsia="仿宋" w:cs="仿宋_GB2312"/>
              </w:rPr>
              <w:t>根据平台提供的基础数据，利用运营推广的预算，通过免费和付费两种推广方式，完成店铺商品引流推广；通过分析运营周期内产品品类的销售数据、引流推广数据、营销转化等运营数据，优化店铺商品营销推广，提升店铺运营周期商品的曝光量、浏览量、点击量、转化量，全面提高店铺运营周期的引流转化能力、竞争力及盈利能力。</w:t>
            </w:r>
          </w:p>
          <w:p>
            <w:pPr>
              <w:widowControl w:val="0"/>
              <w:autoSpaceDE w:val="0"/>
              <w:autoSpaceDN w:val="0"/>
              <w:adjustRightInd w:val="0"/>
              <w:spacing w:line="288" w:lineRule="auto"/>
              <w:jc w:val="both"/>
              <w:rPr>
                <w:rFonts w:ascii="仿宋" w:hAnsi="仿宋" w:eastAsia="仿宋" w:cs="仿宋_GB2312"/>
                <w:b/>
                <w:bCs/>
              </w:rPr>
            </w:pPr>
            <w:r>
              <w:rPr>
                <w:rFonts w:hint="eastAsia" w:ascii="仿宋" w:hAnsi="仿宋" w:eastAsia="仿宋" w:cs="仿宋_GB2312"/>
                <w:b/>
                <w:bCs/>
                <w:lang w:val="en-US" w:eastAsia="zh-CN"/>
              </w:rPr>
              <w:t>5</w:t>
            </w:r>
            <w:r>
              <w:rPr>
                <w:rFonts w:hint="eastAsia" w:ascii="仿宋" w:hAnsi="仿宋" w:eastAsia="仿宋" w:cs="仿宋_GB2312"/>
                <w:b/>
                <w:bCs/>
              </w:rPr>
              <w:t>.跨境电子商务海外直播推广</w:t>
            </w:r>
          </w:p>
          <w:p>
            <w:pPr>
              <w:widowControl w:val="0"/>
              <w:autoSpaceDE w:val="0"/>
              <w:autoSpaceDN w:val="0"/>
              <w:adjustRightInd w:val="0"/>
              <w:spacing w:line="288" w:lineRule="auto"/>
              <w:jc w:val="both"/>
              <w:rPr>
                <w:rFonts w:ascii="仿宋" w:hAnsi="仿宋" w:eastAsia="仿宋" w:cs="仿宋_GB2312"/>
              </w:rPr>
            </w:pPr>
            <w:r>
              <w:rPr>
                <w:rFonts w:hint="eastAsia" w:ascii="仿宋" w:hAnsi="仿宋" w:eastAsia="仿宋" w:cs="仿宋_GB2312"/>
              </w:rPr>
              <w:t>根据主营商品选品，选择一款单品用英文撰写单品直播脚本，内容包括直播开场、自我介绍、商品展示和解说（功能、卖点等）、品牌介绍、活动介绍、直播结尾。根据上述脚本，在竞赛平台用英文完成单品直播，最多不能超过</w:t>
            </w:r>
            <w:r>
              <w:rPr>
                <w:rFonts w:ascii="仿宋" w:hAnsi="仿宋" w:eastAsia="仿宋" w:cs="仿宋_GB2312"/>
              </w:rPr>
              <w:t>2</w:t>
            </w:r>
            <w:r>
              <w:rPr>
                <w:rFonts w:hint="eastAsia" w:ascii="仿宋" w:hAnsi="仿宋" w:eastAsia="仿宋" w:cs="仿宋_GB2312"/>
              </w:rPr>
              <w:t>人完成直播。并将完成的直播英文脚本</w:t>
            </w:r>
            <w:r>
              <w:rPr>
                <w:rFonts w:ascii="仿宋" w:hAnsi="仿宋" w:eastAsia="仿宋" w:cs="仿宋_GB2312"/>
              </w:rPr>
              <w:t>WORD</w:t>
            </w:r>
            <w:r>
              <w:rPr>
                <w:rFonts w:hint="eastAsia" w:ascii="仿宋" w:hAnsi="仿宋" w:eastAsia="仿宋" w:cs="仿宋_GB2312"/>
              </w:rPr>
              <w:t>和</w:t>
            </w:r>
            <w:r>
              <w:rPr>
                <w:rFonts w:ascii="仿宋" w:hAnsi="仿宋" w:eastAsia="仿宋" w:cs="仿宋_GB2312"/>
              </w:rPr>
              <w:t>PDF</w:t>
            </w:r>
            <w:r>
              <w:rPr>
                <w:rFonts w:hint="eastAsia" w:ascii="仿宋" w:hAnsi="仿宋" w:eastAsia="仿宋" w:cs="仿宋_GB2312"/>
              </w:rPr>
              <w:t>文档、视频上传到指定平台。</w:t>
            </w:r>
          </w:p>
          <w:p>
            <w:pPr>
              <w:widowControl w:val="0"/>
              <w:autoSpaceDE w:val="0"/>
              <w:autoSpaceDN w:val="0"/>
              <w:adjustRightInd w:val="0"/>
              <w:spacing w:line="288" w:lineRule="auto"/>
              <w:jc w:val="both"/>
              <w:rPr>
                <w:rFonts w:ascii="仿宋" w:hAnsi="仿宋" w:eastAsia="仿宋" w:cs="仿宋_GB2312"/>
                <w:b/>
                <w:bCs/>
                <w:spacing w:val="-6"/>
              </w:rPr>
            </w:pPr>
            <w:r>
              <w:rPr>
                <w:rFonts w:hint="eastAsia" w:ascii="仿宋" w:hAnsi="仿宋" w:eastAsia="仿宋" w:cs="仿宋_GB2312"/>
                <w:b/>
                <w:bCs/>
                <w:spacing w:val="-6"/>
                <w:lang w:val="en-US" w:eastAsia="zh-CN"/>
              </w:rPr>
              <w:t>6</w:t>
            </w:r>
            <w:r>
              <w:rPr>
                <w:rFonts w:hint="eastAsia" w:ascii="仿宋" w:hAnsi="仿宋" w:eastAsia="仿宋" w:cs="仿宋_GB2312"/>
                <w:b/>
                <w:bCs/>
                <w:spacing w:val="-6"/>
              </w:rPr>
              <w:t>.跨境电子商务运营数据分析与应用</w:t>
            </w:r>
          </w:p>
          <w:p>
            <w:pPr>
              <w:widowControl w:val="0"/>
              <w:autoSpaceDE w:val="0"/>
              <w:autoSpaceDN w:val="0"/>
              <w:adjustRightInd w:val="0"/>
              <w:spacing w:line="288" w:lineRule="auto"/>
              <w:jc w:val="both"/>
              <w:rPr>
                <w:rFonts w:ascii="仿宋" w:hAnsi="仿宋" w:eastAsia="仿宋"/>
                <w:bCs/>
              </w:rPr>
            </w:pPr>
            <w:r>
              <w:rPr>
                <w:rFonts w:hint="eastAsia" w:ascii="仿宋" w:hAnsi="仿宋" w:eastAsia="仿宋" w:cs="仿宋_GB2312"/>
              </w:rPr>
              <w:t>使用数据分析工具，根据跨境电子商务店铺运营数据，对不同运营周期内的数据进行分析诊断，撰写并制作可视化店铺运营总结报告，以此不断提高店铺竞争力及持续盈利能力。</w:t>
            </w:r>
          </w:p>
        </w:tc>
        <w:tc>
          <w:tcPr>
            <w:tcW w:w="1212" w:type="dxa"/>
            <w:vAlign w:val="center"/>
          </w:tcPr>
          <w:p>
            <w:pPr>
              <w:widowControl w:val="0"/>
              <w:spacing w:line="288" w:lineRule="auto"/>
              <w:jc w:val="center"/>
              <w:rPr>
                <w:rFonts w:ascii="仿宋" w:hAnsi="仿宋" w:eastAsia="仿宋"/>
                <w:bCs/>
              </w:rPr>
            </w:pPr>
            <w:r>
              <w:rPr>
                <w:rFonts w:hint="eastAsia" w:ascii="仿宋" w:hAnsi="仿宋" w:eastAsia="仿宋"/>
                <w:bCs/>
              </w:rPr>
              <w:t>2</w:t>
            </w:r>
            <w:r>
              <w:rPr>
                <w:rFonts w:ascii="仿宋" w:hAnsi="仿宋" w:eastAsia="仿宋"/>
                <w:bCs/>
              </w:rPr>
              <w:t>10</w:t>
            </w:r>
            <w:r>
              <w:rPr>
                <w:rFonts w:hint="eastAsia" w:ascii="仿宋" w:hAnsi="仿宋" w:eastAsia="仿宋"/>
                <w:bCs/>
              </w:rPr>
              <w:t>分钟</w:t>
            </w:r>
          </w:p>
        </w:tc>
        <w:tc>
          <w:tcPr>
            <w:tcW w:w="793" w:type="dxa"/>
            <w:vAlign w:val="center"/>
          </w:tcPr>
          <w:p>
            <w:pPr>
              <w:widowControl w:val="0"/>
              <w:spacing w:line="288" w:lineRule="auto"/>
              <w:jc w:val="center"/>
              <w:rPr>
                <w:rFonts w:ascii="仿宋" w:hAnsi="仿宋" w:eastAsia="仿宋"/>
                <w:bCs/>
              </w:rPr>
            </w:pPr>
            <w:r>
              <w:rPr>
                <w:rFonts w:hint="eastAsia" w:ascii="仿宋" w:hAnsi="仿宋" w:eastAsia="仿宋"/>
                <w:bCs/>
              </w:rPr>
              <w:t>4</w:t>
            </w:r>
            <w:r>
              <w:rPr>
                <w:rFonts w:ascii="仿宋" w:hAnsi="仿宋" w:eastAsia="仿宋"/>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widowControl w:val="0"/>
              <w:spacing w:line="288" w:lineRule="auto"/>
              <w:jc w:val="center"/>
              <w:rPr>
                <w:rFonts w:ascii="仿宋" w:hAnsi="仿宋" w:eastAsia="仿宋"/>
                <w:bCs/>
              </w:rPr>
            </w:pPr>
            <w:r>
              <w:rPr>
                <w:rFonts w:hint="eastAsia" w:ascii="仿宋" w:hAnsi="仿宋" w:eastAsia="仿宋"/>
                <w:bCs/>
              </w:rPr>
              <w:t>模块三</w:t>
            </w:r>
          </w:p>
        </w:tc>
        <w:tc>
          <w:tcPr>
            <w:tcW w:w="872" w:type="dxa"/>
            <w:vAlign w:val="center"/>
          </w:tcPr>
          <w:p>
            <w:pPr>
              <w:widowControl w:val="0"/>
              <w:spacing w:line="288" w:lineRule="auto"/>
              <w:jc w:val="center"/>
              <w:rPr>
                <w:rFonts w:ascii="仿宋" w:hAnsi="仿宋" w:eastAsia="仿宋"/>
                <w:bCs/>
              </w:rPr>
            </w:pPr>
            <w:r>
              <w:rPr>
                <w:rFonts w:hint="eastAsia" w:ascii="仿宋" w:hAnsi="仿宋" w:eastAsia="仿宋"/>
                <w:bCs/>
              </w:rPr>
              <w:t>跨境电子商务合规通关</w:t>
            </w:r>
          </w:p>
        </w:tc>
        <w:tc>
          <w:tcPr>
            <w:tcW w:w="4553" w:type="dxa"/>
            <w:vAlign w:val="center"/>
          </w:tcPr>
          <w:p>
            <w:pPr>
              <w:widowControl w:val="0"/>
              <w:spacing w:line="288" w:lineRule="auto"/>
              <w:jc w:val="both"/>
              <w:rPr>
                <w:rFonts w:ascii="仿宋" w:hAnsi="仿宋" w:eastAsia="仿宋"/>
                <w:b/>
              </w:rPr>
            </w:pPr>
            <w:r>
              <w:rPr>
                <w:rFonts w:hint="eastAsia" w:ascii="仿宋" w:hAnsi="仿宋" w:eastAsia="仿宋"/>
                <w:b/>
                <w:lang w:val="en-US" w:eastAsia="zh-CN"/>
              </w:rPr>
              <w:t>7</w:t>
            </w:r>
            <w:r>
              <w:rPr>
                <w:rFonts w:hint="eastAsia" w:ascii="仿宋" w:hAnsi="仿宋" w:eastAsia="仿宋"/>
                <w:b/>
              </w:rPr>
              <w:t>.跨境电子商务物流方案设计</w:t>
            </w:r>
          </w:p>
          <w:p>
            <w:pPr>
              <w:widowControl w:val="0"/>
              <w:spacing w:line="288" w:lineRule="auto"/>
              <w:jc w:val="both"/>
              <w:rPr>
                <w:rFonts w:ascii="仿宋" w:hAnsi="仿宋" w:eastAsia="仿宋"/>
                <w:bCs/>
              </w:rPr>
            </w:pPr>
            <w:r>
              <w:rPr>
                <w:rFonts w:hint="eastAsia" w:ascii="仿宋" w:hAnsi="仿宋" w:eastAsia="仿宋"/>
                <w:bCs/>
              </w:rPr>
              <w:t>根据不同的跨境电子商务任务背景，设计跨境物流方案，能选择正确的物流方式，准确计算物流费用。</w:t>
            </w:r>
          </w:p>
          <w:p>
            <w:pPr>
              <w:widowControl w:val="0"/>
              <w:spacing w:line="288" w:lineRule="auto"/>
              <w:jc w:val="both"/>
              <w:rPr>
                <w:rFonts w:ascii="仿宋" w:hAnsi="仿宋" w:eastAsia="仿宋"/>
                <w:b/>
              </w:rPr>
            </w:pPr>
            <w:r>
              <w:rPr>
                <w:rFonts w:hint="eastAsia" w:ascii="仿宋" w:hAnsi="仿宋" w:eastAsia="仿宋"/>
                <w:b/>
                <w:lang w:val="en-US" w:eastAsia="zh-CN"/>
              </w:rPr>
              <w:t>8</w:t>
            </w:r>
            <w:r>
              <w:rPr>
                <w:rFonts w:hint="eastAsia" w:ascii="仿宋" w:hAnsi="仿宋" w:eastAsia="仿宋"/>
                <w:b/>
              </w:rPr>
              <w:t>.跨境电子商务税费策划</w:t>
            </w:r>
          </w:p>
          <w:p>
            <w:pPr>
              <w:widowControl w:val="0"/>
              <w:spacing w:line="288" w:lineRule="auto"/>
              <w:jc w:val="both"/>
              <w:rPr>
                <w:rFonts w:ascii="仿宋" w:hAnsi="仿宋" w:eastAsia="仿宋"/>
                <w:bCs/>
              </w:rPr>
            </w:pPr>
            <w:r>
              <w:rPr>
                <w:rFonts w:hint="eastAsia" w:ascii="仿宋" w:hAnsi="仿宋" w:eastAsia="仿宋"/>
                <w:bCs/>
              </w:rPr>
              <w:t>依法纳税不仅是跨境电子商务企业的责任，也是通过跨境电子商务进口商品的消费者所必须履行的义务。能完成零售进出口跨境电商综合税计算、行邮税计算，并进行跨境电商税费策划。</w:t>
            </w:r>
          </w:p>
          <w:p>
            <w:pPr>
              <w:widowControl w:val="0"/>
              <w:spacing w:line="288" w:lineRule="auto"/>
              <w:jc w:val="both"/>
              <w:rPr>
                <w:rFonts w:ascii="仿宋" w:hAnsi="仿宋" w:eastAsia="仿宋"/>
                <w:b/>
              </w:rPr>
            </w:pPr>
            <w:r>
              <w:rPr>
                <w:rFonts w:hint="eastAsia" w:ascii="仿宋" w:hAnsi="仿宋" w:eastAsia="仿宋"/>
                <w:b/>
                <w:lang w:val="en-US" w:eastAsia="zh-CN"/>
              </w:rPr>
              <w:t>9</w:t>
            </w:r>
            <w:r>
              <w:rPr>
                <w:rFonts w:hint="eastAsia" w:ascii="仿宋" w:hAnsi="仿宋" w:eastAsia="仿宋"/>
                <w:b/>
              </w:rPr>
              <w:t>.跨境电子商务通关操作</w:t>
            </w:r>
          </w:p>
          <w:p>
            <w:pPr>
              <w:widowControl w:val="0"/>
              <w:spacing w:line="288" w:lineRule="auto"/>
              <w:jc w:val="both"/>
              <w:rPr>
                <w:rFonts w:hint="eastAsia" w:ascii="仿宋" w:hAnsi="仿宋" w:eastAsia="仿宋"/>
                <w:bCs/>
              </w:rPr>
            </w:pPr>
            <w:r>
              <w:rPr>
                <w:rFonts w:hint="eastAsia" w:ascii="仿宋" w:hAnsi="仿宋" w:eastAsia="仿宋"/>
                <w:bCs/>
              </w:rPr>
              <w:t>根据任务背景材料要求，能进行跨境电子商务的合规通关操作，正确选择海关监管方式，并设计对应的通关方案。</w:t>
            </w:r>
          </w:p>
          <w:p>
            <w:pPr>
              <w:widowControl w:val="0"/>
              <w:spacing w:line="288" w:lineRule="auto"/>
              <w:jc w:val="both"/>
              <w:rPr>
                <w:rFonts w:ascii="仿宋" w:hAnsi="仿宋" w:eastAsia="仿宋"/>
                <w:b/>
              </w:rPr>
            </w:pPr>
            <w:r>
              <w:rPr>
                <w:rFonts w:hint="eastAsia" w:ascii="仿宋" w:hAnsi="仿宋" w:eastAsia="仿宋"/>
                <w:b/>
                <w:lang w:val="en-US" w:eastAsia="zh-CN"/>
              </w:rPr>
              <w:t>10</w:t>
            </w:r>
            <w:r>
              <w:rPr>
                <w:rFonts w:hint="eastAsia" w:ascii="仿宋" w:hAnsi="仿宋" w:eastAsia="仿宋"/>
                <w:b/>
              </w:rPr>
              <w:t>.跨境电子商务客户服务</w:t>
            </w:r>
          </w:p>
          <w:p>
            <w:pPr>
              <w:pStyle w:val="4"/>
            </w:pPr>
            <w:r>
              <w:rPr>
                <w:rFonts w:hint="eastAsia" w:ascii="仿宋" w:hAnsi="仿宋" w:eastAsia="仿宋"/>
                <w:bCs/>
              </w:rPr>
              <w:t>根据任务背景材料要求，能有效开展客户服务，对客户提出的问题进行合理有效地处理。</w:t>
            </w:r>
          </w:p>
        </w:tc>
        <w:tc>
          <w:tcPr>
            <w:tcW w:w="1212" w:type="dxa"/>
            <w:vAlign w:val="center"/>
          </w:tcPr>
          <w:p>
            <w:pPr>
              <w:widowControl w:val="0"/>
              <w:spacing w:line="288" w:lineRule="auto"/>
              <w:jc w:val="center"/>
              <w:rPr>
                <w:rFonts w:ascii="仿宋" w:hAnsi="仿宋" w:eastAsia="仿宋"/>
                <w:bCs/>
              </w:rPr>
            </w:pPr>
            <w:r>
              <w:rPr>
                <w:rFonts w:hint="eastAsia" w:ascii="仿宋" w:hAnsi="仿宋" w:eastAsia="仿宋"/>
                <w:bCs/>
              </w:rPr>
              <w:t>1</w:t>
            </w:r>
            <w:r>
              <w:rPr>
                <w:rFonts w:ascii="仿宋" w:hAnsi="仿宋" w:eastAsia="仿宋"/>
                <w:bCs/>
              </w:rPr>
              <w:t>20</w:t>
            </w:r>
            <w:r>
              <w:rPr>
                <w:rFonts w:hint="eastAsia" w:ascii="仿宋" w:hAnsi="仿宋" w:eastAsia="仿宋"/>
                <w:bCs/>
              </w:rPr>
              <w:t>分钟</w:t>
            </w:r>
          </w:p>
        </w:tc>
        <w:tc>
          <w:tcPr>
            <w:tcW w:w="793" w:type="dxa"/>
            <w:vAlign w:val="center"/>
          </w:tcPr>
          <w:p>
            <w:pPr>
              <w:widowControl w:val="0"/>
              <w:spacing w:line="288" w:lineRule="auto"/>
              <w:jc w:val="center"/>
              <w:rPr>
                <w:rFonts w:ascii="仿宋" w:hAnsi="仿宋" w:eastAsia="仿宋"/>
                <w:bCs/>
              </w:rPr>
            </w:pPr>
            <w:r>
              <w:rPr>
                <w:rFonts w:hint="eastAsia" w:ascii="仿宋" w:hAnsi="仿宋" w:eastAsia="仿宋"/>
                <w:bCs/>
                <w:lang w:val="en-US" w:eastAsia="zh-CN"/>
              </w:rPr>
              <w:t>20</w:t>
            </w:r>
            <w:r>
              <w:rPr>
                <w:rFonts w:ascii="仿宋" w:hAnsi="仿宋" w:eastAsia="仿宋"/>
                <w:bCs/>
              </w:rPr>
              <w:t>%</w:t>
            </w:r>
          </w:p>
        </w:tc>
      </w:tr>
    </w:tbl>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四、竞赛方式</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（一）竞赛形式</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本赛项为线下比赛形式。所有参赛队在现场根据给定的项目模块，</w:t>
      </w:r>
      <w:r>
        <w:rPr>
          <w:rFonts w:hint="eastAsia" w:ascii="仿宋" w:hAnsi="仿宋" w:eastAsia="仿宋"/>
          <w:bCs/>
          <w:sz w:val="28"/>
          <w:szCs w:val="28"/>
          <w:lang w:val="en-US" w:eastAsia="zh-CN"/>
        </w:rPr>
        <w:t>在1天半</w:t>
      </w:r>
      <w:r>
        <w:rPr>
          <w:rFonts w:hint="eastAsia" w:ascii="仿宋" w:hAnsi="仿宋" w:eastAsia="仿宋"/>
          <w:bCs/>
          <w:sz w:val="28"/>
          <w:szCs w:val="28"/>
        </w:rPr>
        <w:t>进行，在总计8小时内相互配合，采用小组合作的形式完成竞赛模块。</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（二）组队方式</w:t>
      </w:r>
    </w:p>
    <w:p>
      <w:pPr>
        <w:widowControl w:val="0"/>
        <w:spacing w:line="360" w:lineRule="auto"/>
        <w:ind w:firstLine="560" w:firstLineChars="200"/>
        <w:jc w:val="both"/>
        <w:rPr>
          <w:rFonts w:hint="eastAsia" w:ascii="仿宋" w:hAnsi="仿宋" w:eastAsia="仿宋"/>
          <w:bCs/>
          <w:sz w:val="28"/>
          <w:szCs w:val="28"/>
          <w:lang w:eastAsia="zh-CN"/>
        </w:rPr>
      </w:pPr>
      <w:r>
        <w:rPr>
          <w:rFonts w:hint="eastAsia" w:ascii="仿宋" w:hAnsi="仿宋" w:eastAsia="仿宋"/>
          <w:bCs/>
          <w:sz w:val="28"/>
          <w:szCs w:val="28"/>
        </w:rPr>
        <w:t>参赛选手须为高等职业学校专科、高等职业学校本科全日制在籍学生（以报名时的学籍信息为准）或五年制高职四、五年级学生</w:t>
      </w:r>
      <w:r>
        <w:rPr>
          <w:rFonts w:hint="eastAsia" w:ascii="仿宋" w:hAnsi="仿宋" w:eastAsia="仿宋"/>
          <w:bCs/>
          <w:sz w:val="28"/>
          <w:szCs w:val="28"/>
          <w:lang w:eastAsia="zh-CN"/>
        </w:rPr>
        <w:t>。</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本赛项采用团体赛组队方式。以院校为单位组队参赛，每个参赛队4名选手，参赛选手不得跨校组队，同一学校的报名参赛队不超过</w:t>
      </w:r>
      <w:r>
        <w:rPr>
          <w:rFonts w:hint="eastAsia" w:ascii="仿宋" w:hAnsi="仿宋" w:eastAsia="仿宋"/>
          <w:bCs/>
          <w:sz w:val="28"/>
          <w:szCs w:val="28"/>
          <w:lang w:val="en-US" w:eastAsia="zh-CN"/>
        </w:rPr>
        <w:t>1</w:t>
      </w:r>
      <w:r>
        <w:rPr>
          <w:rFonts w:hint="eastAsia" w:ascii="仿宋" w:hAnsi="仿宋" w:eastAsia="仿宋"/>
          <w:bCs/>
          <w:sz w:val="28"/>
          <w:szCs w:val="28"/>
        </w:rPr>
        <w:t>支；每队限报2名指导教师，指导教师须为本校专兼职教师</w:t>
      </w:r>
      <w:r>
        <w:rPr>
          <w:rFonts w:hint="eastAsia" w:ascii="仿宋" w:hAnsi="仿宋" w:eastAsia="仿宋"/>
          <w:bCs/>
          <w:sz w:val="28"/>
          <w:szCs w:val="28"/>
          <w:lang w:eastAsia="zh-CN"/>
        </w:rPr>
        <w:t>，</w:t>
      </w:r>
      <w:r>
        <w:rPr>
          <w:rFonts w:hint="eastAsia" w:ascii="仿宋" w:hAnsi="仿宋" w:eastAsia="仿宋"/>
          <w:bCs/>
          <w:sz w:val="28"/>
          <w:szCs w:val="28"/>
        </w:rPr>
        <w:t>指导教师负责参赛选手的报名、训练指导、服务，比赛期间参赛选手的日常管理等，竞赛期间不允许指导教师进入赛场进行现场指导；参赛选手和指导教师报名获得确认后不得随意更换。</w:t>
      </w:r>
    </w:p>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五、竞赛流程</w:t>
      </w:r>
    </w:p>
    <w:p>
      <w:pPr>
        <w:widowControl w:val="0"/>
        <w:spacing w:line="360" w:lineRule="auto"/>
        <w:jc w:val="center"/>
        <w:rPr>
          <w:rFonts w:hint="eastAsia" w:ascii="黑体" w:hAnsi="黑体" w:eastAsia="黑体"/>
          <w:bCs/>
          <w:sz w:val="28"/>
          <w:szCs w:val="28"/>
        </w:rPr>
      </w:pPr>
      <w:r>
        <w:rPr>
          <w:rFonts w:hint="eastAsia" w:ascii="黑体" w:hAnsi="黑体" w:eastAsia="黑体"/>
          <w:bCs/>
          <w:sz w:val="28"/>
          <w:szCs w:val="28"/>
        </w:rPr>
        <w:t>竞赛日程、比赛场次、竞技过程安排</w:t>
      </w:r>
    </w:p>
    <w:tbl>
      <w:tblPr>
        <w:tblStyle w:val="10"/>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5"/>
        <w:gridCol w:w="1550"/>
        <w:gridCol w:w="2977"/>
        <w:gridCol w:w="2571"/>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855" w:type="dxa"/>
            <w:vAlign w:val="center"/>
          </w:tcPr>
          <w:p>
            <w:pPr>
              <w:autoSpaceDE w:val="0"/>
              <w:autoSpaceDN w:val="0"/>
              <w:adjustRightInd w:val="0"/>
              <w:spacing w:before="46"/>
              <w:ind w:left="201" w:right="-20"/>
              <w:rPr>
                <w:rFonts w:ascii="仿宋" w:hAnsi="仿宋" w:eastAsia="仿宋"/>
              </w:rPr>
            </w:pPr>
            <w:r>
              <w:rPr>
                <w:rFonts w:hint="eastAsia" w:ascii="仿宋" w:hAnsi="仿宋" w:eastAsia="仿宋" w:cs="Microsoft JhengHei"/>
              </w:rPr>
              <w:t>日期</w:t>
            </w:r>
          </w:p>
        </w:tc>
        <w:tc>
          <w:tcPr>
            <w:tcW w:w="1550" w:type="dxa"/>
            <w:vAlign w:val="center"/>
          </w:tcPr>
          <w:p>
            <w:pPr>
              <w:autoSpaceDE w:val="0"/>
              <w:autoSpaceDN w:val="0"/>
              <w:adjustRightInd w:val="0"/>
              <w:spacing w:before="46"/>
              <w:ind w:left="535" w:right="514"/>
              <w:jc w:val="center"/>
              <w:rPr>
                <w:rFonts w:ascii="仿宋" w:hAnsi="仿宋" w:eastAsia="仿宋"/>
              </w:rPr>
            </w:pPr>
            <w:r>
              <w:rPr>
                <w:rFonts w:hint="eastAsia" w:ascii="仿宋" w:hAnsi="仿宋" w:eastAsia="仿宋" w:cs="Microsoft JhengHei"/>
              </w:rPr>
              <w:t>时间</w:t>
            </w:r>
          </w:p>
        </w:tc>
        <w:tc>
          <w:tcPr>
            <w:tcW w:w="2977" w:type="dxa"/>
            <w:vAlign w:val="center"/>
          </w:tcPr>
          <w:p>
            <w:pPr>
              <w:autoSpaceDE w:val="0"/>
              <w:autoSpaceDN w:val="0"/>
              <w:adjustRightInd w:val="0"/>
              <w:spacing w:before="46"/>
              <w:ind w:right="-20"/>
              <w:jc w:val="center"/>
              <w:rPr>
                <w:rFonts w:ascii="仿宋" w:hAnsi="仿宋" w:eastAsia="仿宋"/>
              </w:rPr>
            </w:pPr>
            <w:r>
              <w:rPr>
                <w:rFonts w:hint="eastAsia" w:ascii="仿宋" w:hAnsi="仿宋" w:eastAsia="仿宋" w:cs="Microsoft JhengHei"/>
              </w:rPr>
              <w:t>工作</w:t>
            </w:r>
            <w:r>
              <w:rPr>
                <w:rFonts w:hint="eastAsia" w:ascii="仿宋" w:hAnsi="仿宋" w:eastAsia="仿宋" w:cs="Microsoft JhengHei"/>
                <w:spacing w:val="2"/>
              </w:rPr>
              <w:t>内</w:t>
            </w:r>
            <w:r>
              <w:rPr>
                <w:rFonts w:hint="eastAsia" w:ascii="仿宋" w:hAnsi="仿宋" w:eastAsia="仿宋" w:cs="Microsoft JhengHei"/>
              </w:rPr>
              <w:t>容</w:t>
            </w:r>
          </w:p>
        </w:tc>
        <w:tc>
          <w:tcPr>
            <w:tcW w:w="2571" w:type="dxa"/>
            <w:vAlign w:val="center"/>
          </w:tcPr>
          <w:p>
            <w:pPr>
              <w:autoSpaceDE w:val="0"/>
              <w:autoSpaceDN w:val="0"/>
              <w:adjustRightInd w:val="0"/>
              <w:spacing w:before="46"/>
              <w:ind w:right="-20"/>
              <w:jc w:val="center"/>
              <w:rPr>
                <w:rFonts w:ascii="仿宋" w:hAnsi="仿宋" w:eastAsia="仿宋"/>
              </w:rPr>
            </w:pPr>
            <w:r>
              <w:rPr>
                <w:rFonts w:hint="eastAsia" w:ascii="仿宋" w:hAnsi="仿宋" w:eastAsia="仿宋" w:cs="Microsoft JhengHei"/>
              </w:rPr>
              <w:t>参</w:t>
            </w:r>
            <w:r>
              <w:rPr>
                <w:rFonts w:hint="eastAsia" w:ascii="仿宋" w:hAnsi="仿宋" w:eastAsia="仿宋" w:cs="Microsoft JhengHei"/>
                <w:spacing w:val="2"/>
              </w:rPr>
              <w:t>加</w:t>
            </w:r>
            <w:r>
              <w:rPr>
                <w:rFonts w:hint="eastAsia" w:ascii="仿宋" w:hAnsi="仿宋" w:eastAsia="仿宋" w:cs="Microsoft JhengHei"/>
              </w:rPr>
              <w:t>人员</w:t>
            </w:r>
          </w:p>
        </w:tc>
        <w:tc>
          <w:tcPr>
            <w:tcW w:w="1089" w:type="dxa"/>
            <w:vAlign w:val="center"/>
          </w:tcPr>
          <w:p>
            <w:pPr>
              <w:autoSpaceDE w:val="0"/>
              <w:autoSpaceDN w:val="0"/>
              <w:adjustRightInd w:val="0"/>
              <w:spacing w:before="46"/>
              <w:ind w:right="-20"/>
              <w:jc w:val="center"/>
              <w:rPr>
                <w:rFonts w:ascii="仿宋" w:hAnsi="仿宋" w:eastAsia="仿宋"/>
              </w:rPr>
            </w:pPr>
            <w:r>
              <w:rPr>
                <w:rFonts w:hint="eastAsia" w:ascii="仿宋" w:hAnsi="仿宋" w:eastAsia="仿宋" w:cs="Microsoft JhengHei"/>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restart"/>
            <w:vAlign w:val="center"/>
          </w:tcPr>
          <w:p>
            <w:pPr>
              <w:autoSpaceDE w:val="0"/>
              <w:autoSpaceDN w:val="0"/>
              <w:adjustRightInd w:val="0"/>
              <w:spacing w:line="181" w:lineRule="auto"/>
              <w:ind w:left="103" w:right="22"/>
              <w:jc w:val="center"/>
              <w:textAlignment w:val="baseline"/>
              <w:rPr>
                <w:rFonts w:ascii="仿宋" w:hAnsi="仿宋" w:eastAsia="仿宋" w:cs="Microsoft JhengHei"/>
              </w:rPr>
            </w:pPr>
            <w:r>
              <w:rPr>
                <w:rFonts w:hint="eastAsia" w:ascii="仿宋" w:hAnsi="仿宋" w:eastAsia="仿宋" w:cs="Microsoft JhengHei"/>
              </w:rPr>
              <w:t>报到日</w:t>
            </w: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9</w:t>
            </w:r>
            <w:r>
              <w:rPr>
                <w:rFonts w:hint="eastAsia" w:ascii="仿宋" w:hAnsi="仿宋" w:eastAsia="仿宋"/>
              </w:rPr>
              <w:t>:</w:t>
            </w:r>
            <w:r>
              <w:rPr>
                <w:rFonts w:ascii="仿宋" w:hAnsi="仿宋" w:eastAsia="仿宋"/>
              </w:rPr>
              <w:t>00-12</w:t>
            </w:r>
            <w:r>
              <w:rPr>
                <w:rFonts w:hint="eastAsia" w:ascii="仿宋" w:hAnsi="仿宋" w:eastAsia="仿宋"/>
              </w:rPr>
              <w:t>:</w:t>
            </w:r>
            <w:r>
              <w:rPr>
                <w:rFonts w:ascii="仿宋" w:hAnsi="仿宋" w:eastAsia="仿宋"/>
              </w:rPr>
              <w:t>00</w:t>
            </w:r>
          </w:p>
        </w:tc>
        <w:tc>
          <w:tcPr>
            <w:tcW w:w="2977" w:type="dxa"/>
            <w:vAlign w:val="center"/>
          </w:tcPr>
          <w:p>
            <w:pPr>
              <w:autoSpaceDE w:val="0"/>
              <w:autoSpaceDN w:val="0"/>
              <w:adjustRightInd w:val="0"/>
              <w:spacing w:line="300" w:lineRule="exact"/>
              <w:ind w:right="120" w:rightChars="50"/>
              <w:jc w:val="center"/>
              <w:rPr>
                <w:rFonts w:ascii="仿宋" w:hAnsi="仿宋" w:eastAsia="仿宋"/>
              </w:rPr>
            </w:pPr>
            <w:r>
              <w:rPr>
                <w:rFonts w:hint="eastAsia" w:ascii="仿宋" w:hAnsi="仿宋" w:eastAsia="仿宋"/>
              </w:rPr>
              <w:t>专家、裁判、监督仲裁报到，安排住宿、领取资料</w:t>
            </w:r>
          </w:p>
        </w:tc>
        <w:tc>
          <w:tcPr>
            <w:tcW w:w="2571" w:type="dxa"/>
            <w:vAlign w:val="center"/>
          </w:tcPr>
          <w:p>
            <w:pPr>
              <w:autoSpaceDE w:val="0"/>
              <w:autoSpaceDN w:val="0"/>
              <w:adjustRightInd w:val="0"/>
              <w:spacing w:before="48"/>
              <w:ind w:right="-20" w:firstLine="120" w:firstLineChars="50"/>
              <w:jc w:val="center"/>
              <w:rPr>
                <w:rFonts w:ascii="仿宋" w:hAnsi="仿宋" w:eastAsia="仿宋"/>
              </w:rPr>
            </w:pPr>
            <w:r>
              <w:rPr>
                <w:rFonts w:hint="eastAsia" w:ascii="仿宋" w:hAnsi="仿宋" w:eastAsia="仿宋"/>
              </w:rPr>
              <w:t>工作人员</w:t>
            </w:r>
          </w:p>
        </w:tc>
        <w:tc>
          <w:tcPr>
            <w:tcW w:w="1089" w:type="dxa"/>
            <w:vAlign w:val="center"/>
          </w:tcPr>
          <w:p>
            <w:pPr>
              <w:autoSpaceDE w:val="0"/>
              <w:autoSpaceDN w:val="0"/>
              <w:adjustRightInd w:val="0"/>
              <w:spacing w:before="48"/>
              <w:ind w:right="-20"/>
              <w:jc w:val="center"/>
              <w:rPr>
                <w:rFonts w:ascii="仿宋" w:hAnsi="仿宋" w:eastAsia="仿宋"/>
              </w:rPr>
            </w:pPr>
            <w:r>
              <w:rPr>
                <w:rFonts w:hint="eastAsia" w:ascii="仿宋" w:hAnsi="仿宋" w:eastAsia="仿宋"/>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line="181" w:lineRule="auto"/>
              <w:ind w:left="103" w:right="22"/>
              <w:jc w:val="center"/>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9:00-14:00</w:t>
            </w:r>
          </w:p>
        </w:tc>
        <w:tc>
          <w:tcPr>
            <w:tcW w:w="2977" w:type="dxa"/>
            <w:vAlign w:val="center"/>
          </w:tcPr>
          <w:p>
            <w:pPr>
              <w:autoSpaceDE w:val="0"/>
              <w:autoSpaceDN w:val="0"/>
              <w:adjustRightInd w:val="0"/>
              <w:spacing w:line="300" w:lineRule="exact"/>
              <w:ind w:right="120" w:rightChars="50"/>
              <w:jc w:val="center"/>
              <w:rPr>
                <w:rFonts w:ascii="仿宋" w:hAnsi="仿宋" w:eastAsia="仿宋"/>
              </w:rPr>
            </w:pPr>
            <w:r>
              <w:rPr>
                <w:rFonts w:hint="eastAsia" w:ascii="仿宋" w:hAnsi="仿宋" w:eastAsia="仿宋"/>
              </w:rPr>
              <w:t>参赛队报到，领取资料</w:t>
            </w:r>
          </w:p>
        </w:tc>
        <w:tc>
          <w:tcPr>
            <w:tcW w:w="2571" w:type="dxa"/>
            <w:vAlign w:val="center"/>
          </w:tcPr>
          <w:p>
            <w:pPr>
              <w:autoSpaceDE w:val="0"/>
              <w:autoSpaceDN w:val="0"/>
              <w:adjustRightInd w:val="0"/>
              <w:spacing w:before="48"/>
              <w:ind w:right="-20" w:firstLine="120" w:firstLineChars="50"/>
              <w:jc w:val="center"/>
              <w:rPr>
                <w:rFonts w:ascii="仿宋" w:hAnsi="仿宋" w:eastAsia="仿宋"/>
              </w:rPr>
            </w:pPr>
            <w:r>
              <w:rPr>
                <w:rFonts w:hint="eastAsia" w:ascii="仿宋" w:hAnsi="仿宋" w:eastAsia="仿宋" w:cs="Microsoft JhengHei"/>
              </w:rPr>
              <w:t>工作人员、参赛队</w:t>
            </w:r>
          </w:p>
        </w:tc>
        <w:tc>
          <w:tcPr>
            <w:tcW w:w="1089" w:type="dxa"/>
            <w:vAlign w:val="center"/>
          </w:tcPr>
          <w:p>
            <w:pPr>
              <w:autoSpaceDE w:val="0"/>
              <w:autoSpaceDN w:val="0"/>
              <w:adjustRightInd w:val="0"/>
              <w:spacing w:before="48"/>
              <w:ind w:right="-20"/>
              <w:jc w:val="center"/>
              <w:rPr>
                <w:rFonts w:ascii="仿宋" w:hAnsi="仿宋" w:eastAsia="仿宋"/>
              </w:rPr>
            </w:pPr>
            <w:r>
              <w:rPr>
                <w:rFonts w:hint="eastAsia" w:ascii="仿宋" w:hAnsi="仿宋" w:eastAsia="仿宋" w:cs="Microsoft JhengHei"/>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before="48"/>
              <w:ind w:left="182" w:right="-20"/>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14:30-15:30</w:t>
            </w:r>
          </w:p>
        </w:tc>
        <w:tc>
          <w:tcPr>
            <w:tcW w:w="2977" w:type="dxa"/>
            <w:vAlign w:val="center"/>
          </w:tcPr>
          <w:p>
            <w:pPr>
              <w:autoSpaceDE w:val="0"/>
              <w:autoSpaceDN w:val="0"/>
              <w:adjustRightInd w:val="0"/>
              <w:spacing w:line="305" w:lineRule="exact"/>
              <w:ind w:right="122"/>
              <w:jc w:val="center"/>
              <w:rPr>
                <w:rFonts w:hint="eastAsia" w:ascii="仿宋" w:hAnsi="仿宋" w:eastAsia="仿宋" w:cs="Microsoft JhengHei"/>
                <w:bCs/>
                <w:lang w:val="en-US" w:eastAsia="zh-CN"/>
              </w:rPr>
            </w:pPr>
            <w:r>
              <w:rPr>
                <w:rFonts w:hint="eastAsia" w:ascii="仿宋" w:hAnsi="仿宋" w:eastAsia="仿宋" w:cs="Microsoft JhengHei"/>
                <w:bCs/>
                <w:lang w:val="en-US" w:eastAsia="zh-CN"/>
              </w:rPr>
              <w:t>开幕式</w:t>
            </w:r>
          </w:p>
        </w:tc>
        <w:tc>
          <w:tcPr>
            <w:tcW w:w="2571" w:type="dxa"/>
            <w:vAlign w:val="center"/>
          </w:tcPr>
          <w:p>
            <w:pPr>
              <w:autoSpaceDE w:val="0"/>
              <w:autoSpaceDN w:val="0"/>
              <w:adjustRightInd w:val="0"/>
              <w:spacing w:line="300" w:lineRule="exact"/>
              <w:ind w:left="58" w:right="39"/>
              <w:jc w:val="center"/>
              <w:rPr>
                <w:rFonts w:ascii="仿宋" w:hAnsi="仿宋" w:eastAsia="仿宋" w:cs="Microsoft JhengHei"/>
              </w:rPr>
            </w:pPr>
            <w:r>
              <w:rPr>
                <w:rFonts w:hint="eastAsia" w:ascii="仿宋" w:hAnsi="仿宋" w:eastAsia="仿宋" w:cs="Microsoft JhengHei"/>
              </w:rPr>
              <w:t>领导、嘉宾、参赛队</w:t>
            </w:r>
          </w:p>
        </w:tc>
        <w:tc>
          <w:tcPr>
            <w:tcW w:w="1089" w:type="dxa"/>
            <w:vAlign w:val="center"/>
          </w:tcPr>
          <w:p>
            <w:pPr>
              <w:autoSpaceDE w:val="0"/>
              <w:autoSpaceDN w:val="0"/>
              <w:adjustRightInd w:val="0"/>
              <w:spacing w:before="48"/>
              <w:ind w:right="-20"/>
              <w:jc w:val="center"/>
              <w:rPr>
                <w:rFonts w:ascii="仿宋" w:hAnsi="仿宋" w:eastAsia="仿宋"/>
              </w:rPr>
            </w:pPr>
            <w:r>
              <w:rPr>
                <w:rFonts w:hint="eastAsia" w:ascii="仿宋" w:hAnsi="仿宋" w:eastAsia="仿宋" w:cs="Microsoft JhengHei"/>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before="48"/>
              <w:ind w:left="302" w:right="-20"/>
              <w:rPr>
                <w:rFonts w:ascii="仿宋" w:hAnsi="仿宋" w:eastAsia="仿宋"/>
              </w:rPr>
            </w:pPr>
          </w:p>
        </w:tc>
        <w:tc>
          <w:tcPr>
            <w:tcW w:w="1550" w:type="dxa"/>
            <w:vAlign w:val="center"/>
          </w:tcPr>
          <w:p>
            <w:pPr>
              <w:autoSpaceDE w:val="0"/>
              <w:autoSpaceDN w:val="0"/>
              <w:adjustRightInd w:val="0"/>
              <w:spacing w:before="12"/>
              <w:ind w:right="-20"/>
              <w:jc w:val="center"/>
              <w:rPr>
                <w:rFonts w:ascii="仿宋" w:hAnsi="仿宋" w:eastAsia="仿宋"/>
              </w:rPr>
            </w:pPr>
            <w:r>
              <w:rPr>
                <w:rFonts w:ascii="仿宋" w:hAnsi="仿宋" w:eastAsia="仿宋"/>
              </w:rPr>
              <w:t>15:30-16:30</w:t>
            </w:r>
          </w:p>
        </w:tc>
        <w:tc>
          <w:tcPr>
            <w:tcW w:w="2977" w:type="dxa"/>
            <w:vAlign w:val="center"/>
          </w:tcPr>
          <w:p>
            <w:pPr>
              <w:autoSpaceDE w:val="0"/>
              <w:autoSpaceDN w:val="0"/>
              <w:adjustRightInd w:val="0"/>
              <w:spacing w:before="12"/>
              <w:ind w:right="-20"/>
              <w:jc w:val="center"/>
              <w:rPr>
                <w:rFonts w:ascii="仿宋" w:hAnsi="仿宋" w:eastAsia="仿宋"/>
                <w:bCs/>
              </w:rPr>
            </w:pPr>
            <w:r>
              <w:rPr>
                <w:rFonts w:hint="eastAsia" w:ascii="仿宋" w:hAnsi="仿宋" w:eastAsia="仿宋" w:cs="Microsoft JhengHei"/>
              </w:rPr>
              <w:t>熟悉赛场</w:t>
            </w:r>
          </w:p>
        </w:tc>
        <w:tc>
          <w:tcPr>
            <w:tcW w:w="2571" w:type="dxa"/>
            <w:vAlign w:val="center"/>
          </w:tcPr>
          <w:p>
            <w:pPr>
              <w:autoSpaceDE w:val="0"/>
              <w:autoSpaceDN w:val="0"/>
              <w:adjustRightInd w:val="0"/>
              <w:spacing w:before="12"/>
              <w:ind w:left="108" w:right="-20"/>
              <w:jc w:val="center"/>
              <w:rPr>
                <w:rFonts w:ascii="仿宋" w:hAnsi="仿宋" w:eastAsia="仿宋"/>
              </w:rPr>
            </w:pPr>
            <w:r>
              <w:rPr>
                <w:rFonts w:hint="eastAsia" w:ascii="仿宋" w:hAnsi="仿宋" w:eastAsia="仿宋" w:cs="Microsoft JhengHei"/>
              </w:rPr>
              <w:t>各参赛队</w:t>
            </w:r>
          </w:p>
        </w:tc>
        <w:tc>
          <w:tcPr>
            <w:tcW w:w="1089" w:type="dxa"/>
            <w:vAlign w:val="center"/>
          </w:tcPr>
          <w:p>
            <w:pPr>
              <w:autoSpaceDE w:val="0"/>
              <w:autoSpaceDN w:val="0"/>
              <w:adjustRightInd w:val="0"/>
              <w:spacing w:before="12"/>
              <w:ind w:right="-20"/>
              <w:jc w:val="center"/>
              <w:rPr>
                <w:rFonts w:ascii="仿宋" w:hAnsi="仿宋" w:eastAsia="仿宋"/>
              </w:rPr>
            </w:pPr>
            <w:r>
              <w:rPr>
                <w:rFonts w:hint="eastAsia" w:ascii="仿宋" w:hAnsi="仿宋" w:eastAsia="仿宋" w:cs="Microsoft JhengHei"/>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before="13"/>
              <w:ind w:left="182" w:right="-20"/>
              <w:rPr>
                <w:rFonts w:ascii="仿宋" w:hAnsi="仿宋" w:eastAsia="仿宋"/>
              </w:rPr>
            </w:pPr>
          </w:p>
        </w:tc>
        <w:tc>
          <w:tcPr>
            <w:tcW w:w="1550" w:type="dxa"/>
            <w:vAlign w:val="center"/>
          </w:tcPr>
          <w:p>
            <w:pPr>
              <w:autoSpaceDE w:val="0"/>
              <w:autoSpaceDN w:val="0"/>
              <w:adjustRightInd w:val="0"/>
              <w:spacing w:before="11"/>
              <w:ind w:right="-20"/>
              <w:jc w:val="center"/>
              <w:rPr>
                <w:rFonts w:ascii="仿宋" w:hAnsi="仿宋" w:eastAsia="仿宋"/>
              </w:rPr>
            </w:pPr>
            <w:r>
              <w:rPr>
                <w:rFonts w:ascii="仿宋" w:hAnsi="仿宋" w:eastAsia="仿宋"/>
              </w:rPr>
              <w:t>17:00</w:t>
            </w:r>
          </w:p>
        </w:tc>
        <w:tc>
          <w:tcPr>
            <w:tcW w:w="2977" w:type="dxa"/>
            <w:vAlign w:val="center"/>
          </w:tcPr>
          <w:p>
            <w:pPr>
              <w:autoSpaceDE w:val="0"/>
              <w:autoSpaceDN w:val="0"/>
              <w:adjustRightInd w:val="0"/>
              <w:spacing w:before="11"/>
              <w:ind w:right="-20"/>
              <w:jc w:val="center"/>
              <w:rPr>
                <w:rFonts w:ascii="仿宋" w:hAnsi="仿宋" w:eastAsia="仿宋"/>
              </w:rPr>
            </w:pPr>
            <w:r>
              <w:rPr>
                <w:rFonts w:hint="eastAsia" w:ascii="仿宋" w:hAnsi="仿宋" w:eastAsia="仿宋" w:cs="Microsoft JhengHei"/>
              </w:rPr>
              <w:t>检查封闭赛场</w:t>
            </w:r>
          </w:p>
        </w:tc>
        <w:tc>
          <w:tcPr>
            <w:tcW w:w="2571" w:type="dxa"/>
            <w:vAlign w:val="center"/>
          </w:tcPr>
          <w:p>
            <w:pPr>
              <w:autoSpaceDE w:val="0"/>
              <w:autoSpaceDN w:val="0"/>
              <w:adjustRightInd w:val="0"/>
              <w:spacing w:before="11"/>
              <w:ind w:right="-20"/>
              <w:jc w:val="center"/>
              <w:rPr>
                <w:rFonts w:ascii="仿宋" w:hAnsi="仿宋" w:eastAsia="仿宋"/>
              </w:rPr>
            </w:pPr>
            <w:r>
              <w:rPr>
                <w:rFonts w:hint="eastAsia" w:ascii="仿宋" w:hAnsi="仿宋" w:eastAsia="仿宋" w:cs="Microsoft JhengHei"/>
              </w:rPr>
              <w:t>裁判长、监督仲裁组</w:t>
            </w:r>
          </w:p>
        </w:tc>
        <w:tc>
          <w:tcPr>
            <w:tcW w:w="1089" w:type="dxa"/>
            <w:vAlign w:val="center"/>
          </w:tcPr>
          <w:p>
            <w:pPr>
              <w:autoSpaceDE w:val="0"/>
              <w:autoSpaceDN w:val="0"/>
              <w:adjustRightInd w:val="0"/>
              <w:spacing w:before="11"/>
              <w:ind w:right="-20"/>
              <w:jc w:val="center"/>
              <w:rPr>
                <w:rFonts w:ascii="仿宋" w:hAnsi="仿宋" w:eastAsia="仿宋"/>
              </w:rPr>
            </w:pPr>
            <w:r>
              <w:rPr>
                <w:rFonts w:hint="eastAsia" w:ascii="仿宋" w:hAnsi="仿宋" w:eastAsia="仿宋" w:cs="Microsoft JhengHei"/>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restart"/>
            <w:vAlign w:val="center"/>
          </w:tcPr>
          <w:p>
            <w:pPr>
              <w:autoSpaceDE w:val="0"/>
              <w:autoSpaceDN w:val="0"/>
              <w:adjustRightInd w:val="0"/>
              <w:spacing w:line="181" w:lineRule="auto"/>
              <w:ind w:left="103" w:right="22"/>
              <w:jc w:val="center"/>
              <w:rPr>
                <w:rFonts w:ascii="仿宋" w:hAnsi="仿宋" w:eastAsia="仿宋" w:cs="Microsoft JhengHei"/>
              </w:rPr>
            </w:pPr>
            <w:r>
              <w:rPr>
                <w:rFonts w:hint="eastAsia" w:ascii="仿宋" w:hAnsi="仿宋" w:eastAsia="仿宋" w:cs="Microsoft JhengHei"/>
              </w:rPr>
              <w:t>竞赛</w:t>
            </w:r>
          </w:p>
          <w:p>
            <w:pPr>
              <w:autoSpaceDE w:val="0"/>
              <w:autoSpaceDN w:val="0"/>
              <w:adjustRightInd w:val="0"/>
              <w:spacing w:line="181" w:lineRule="auto"/>
              <w:ind w:left="103" w:right="22"/>
              <w:jc w:val="center"/>
              <w:rPr>
                <w:rFonts w:ascii="仿宋" w:hAnsi="仿宋" w:eastAsia="仿宋" w:cs="Microsoft JhengHei"/>
              </w:rPr>
            </w:pPr>
            <w:r>
              <w:rPr>
                <w:rFonts w:hint="eastAsia" w:ascii="仿宋" w:hAnsi="仿宋" w:eastAsia="仿宋" w:cs="Microsoft JhengHei"/>
              </w:rPr>
              <w:t>第1日</w:t>
            </w: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8:15</w:t>
            </w:r>
          </w:p>
        </w:tc>
        <w:tc>
          <w:tcPr>
            <w:tcW w:w="2977" w:type="dxa"/>
            <w:vAlign w:val="center"/>
          </w:tcPr>
          <w:p>
            <w:pPr>
              <w:autoSpaceDE w:val="0"/>
              <w:autoSpaceDN w:val="0"/>
              <w:adjustRightInd w:val="0"/>
              <w:spacing w:line="300" w:lineRule="exact"/>
              <w:ind w:left="144" w:right="122"/>
              <w:jc w:val="center"/>
              <w:rPr>
                <w:rFonts w:ascii="仿宋" w:hAnsi="仿宋" w:eastAsia="仿宋" w:cs="Microsoft JhengHei"/>
              </w:rPr>
            </w:pPr>
            <w:r>
              <w:rPr>
                <w:rFonts w:hint="eastAsia" w:ascii="仿宋" w:hAnsi="仿宋" w:eastAsia="仿宋" w:cs="Microsoft JhengHei"/>
              </w:rPr>
              <w:t>参赛队到达赛场集合</w:t>
            </w:r>
          </w:p>
        </w:tc>
        <w:tc>
          <w:tcPr>
            <w:tcW w:w="2571" w:type="dxa"/>
            <w:vAlign w:val="center"/>
          </w:tcPr>
          <w:p>
            <w:pPr>
              <w:autoSpaceDE w:val="0"/>
              <w:autoSpaceDN w:val="0"/>
              <w:adjustRightInd w:val="0"/>
              <w:spacing w:before="48"/>
              <w:ind w:right="-20"/>
              <w:jc w:val="center"/>
              <w:rPr>
                <w:rFonts w:ascii="仿宋" w:hAnsi="仿宋" w:eastAsia="仿宋"/>
              </w:rPr>
            </w:pPr>
            <w:r>
              <w:rPr>
                <w:rFonts w:hint="eastAsia" w:ascii="仿宋" w:hAnsi="仿宋" w:eastAsia="仿宋" w:cs="Microsoft JhengHei"/>
              </w:rPr>
              <w:t>参赛队、工作人员</w:t>
            </w:r>
          </w:p>
        </w:tc>
        <w:tc>
          <w:tcPr>
            <w:tcW w:w="1089" w:type="dxa"/>
            <w:vAlign w:val="center"/>
          </w:tcPr>
          <w:p>
            <w:pPr>
              <w:autoSpaceDE w:val="0"/>
              <w:autoSpaceDN w:val="0"/>
              <w:adjustRightInd w:val="0"/>
              <w:spacing w:line="304" w:lineRule="exact"/>
              <w:ind w:right="114"/>
              <w:jc w:val="center"/>
              <w:rPr>
                <w:rFonts w:ascii="仿宋" w:hAnsi="仿宋" w:eastAsia="仿宋"/>
              </w:rPr>
            </w:pPr>
            <w:r>
              <w:rPr>
                <w:rFonts w:hint="eastAsia" w:ascii="仿宋" w:hAnsi="仿宋" w:eastAsia="仿宋" w:cs="Microsoft JhengHei"/>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55" w:type="dxa"/>
            <w:vMerge w:val="continue"/>
            <w:vAlign w:val="center"/>
          </w:tcPr>
          <w:p>
            <w:pPr>
              <w:autoSpaceDE w:val="0"/>
              <w:autoSpaceDN w:val="0"/>
              <w:adjustRightInd w:val="0"/>
              <w:spacing w:line="181" w:lineRule="auto"/>
              <w:ind w:left="103" w:right="22"/>
              <w:jc w:val="center"/>
              <w:rPr>
                <w:rFonts w:ascii="仿宋" w:hAnsi="仿宋" w:eastAsia="仿宋" w:cs="Microsoft JhengHei"/>
              </w:rPr>
            </w:pP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8:15-8</w:t>
            </w:r>
            <w:r>
              <w:rPr>
                <w:rFonts w:hint="eastAsia" w:ascii="仿宋" w:hAnsi="仿宋" w:eastAsia="仿宋"/>
              </w:rPr>
              <w:t>:</w:t>
            </w:r>
            <w:r>
              <w:rPr>
                <w:rFonts w:ascii="仿宋" w:hAnsi="仿宋" w:eastAsia="仿宋"/>
              </w:rPr>
              <w:t>55</w:t>
            </w:r>
          </w:p>
        </w:tc>
        <w:tc>
          <w:tcPr>
            <w:tcW w:w="2977" w:type="dxa"/>
            <w:vAlign w:val="center"/>
          </w:tcPr>
          <w:p>
            <w:pPr>
              <w:autoSpaceDE w:val="0"/>
              <w:autoSpaceDN w:val="0"/>
              <w:adjustRightInd w:val="0"/>
              <w:spacing w:before="47"/>
              <w:ind w:right="-20"/>
              <w:jc w:val="center"/>
              <w:rPr>
                <w:rFonts w:ascii="仿宋" w:hAnsi="仿宋" w:eastAsia="仿宋"/>
              </w:rPr>
            </w:pPr>
            <w:r>
              <w:rPr>
                <w:rFonts w:hint="eastAsia" w:ascii="仿宋" w:hAnsi="仿宋" w:eastAsia="仿宋" w:cs="Microsoft JhengHei"/>
              </w:rPr>
              <w:t>检录进场，</w:t>
            </w:r>
            <w:r>
              <w:rPr>
                <w:rFonts w:hint="eastAsia" w:ascii="仿宋" w:hAnsi="仿宋" w:eastAsia="仿宋"/>
              </w:rPr>
              <w:t>第一次加密</w:t>
            </w:r>
          </w:p>
          <w:p>
            <w:pPr>
              <w:autoSpaceDE w:val="0"/>
              <w:autoSpaceDN w:val="0"/>
              <w:adjustRightInd w:val="0"/>
              <w:spacing w:before="47"/>
              <w:ind w:right="-20"/>
              <w:jc w:val="center"/>
              <w:rPr>
                <w:rFonts w:ascii="仿宋" w:hAnsi="仿宋" w:eastAsia="仿宋" w:cs="Microsoft JhengHei"/>
              </w:rPr>
            </w:pPr>
            <w:r>
              <w:rPr>
                <w:rFonts w:hint="eastAsia" w:ascii="仿宋" w:hAnsi="仿宋" w:eastAsia="仿宋"/>
              </w:rPr>
              <w:t>（抽顺序号）</w:t>
            </w:r>
          </w:p>
        </w:tc>
        <w:tc>
          <w:tcPr>
            <w:tcW w:w="2571"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参赛选手、裁判</w:t>
            </w:r>
          </w:p>
        </w:tc>
        <w:tc>
          <w:tcPr>
            <w:tcW w:w="1089" w:type="dxa"/>
            <w:vAlign w:val="center"/>
          </w:tcPr>
          <w:p>
            <w:pPr>
              <w:autoSpaceDE w:val="0"/>
              <w:autoSpaceDN w:val="0"/>
              <w:adjustRightInd w:val="0"/>
              <w:spacing w:line="304" w:lineRule="exact"/>
              <w:ind w:right="114"/>
              <w:jc w:val="center"/>
              <w:rPr>
                <w:rFonts w:ascii="仿宋" w:hAnsi="仿宋" w:eastAsia="仿宋"/>
              </w:rPr>
            </w:pPr>
            <w:r>
              <w:rPr>
                <w:rFonts w:hint="eastAsia" w:ascii="仿宋" w:hAnsi="仿宋" w:eastAsia="仿宋"/>
              </w:rPr>
              <w:t>第一次</w:t>
            </w:r>
          </w:p>
          <w:p>
            <w:pPr>
              <w:autoSpaceDE w:val="0"/>
              <w:autoSpaceDN w:val="0"/>
              <w:adjustRightInd w:val="0"/>
              <w:spacing w:line="304" w:lineRule="exact"/>
              <w:ind w:right="114"/>
              <w:jc w:val="center"/>
              <w:rPr>
                <w:rFonts w:ascii="仿宋" w:hAnsi="仿宋" w:eastAsia="仿宋" w:cs="Microsoft JhengHei"/>
              </w:rPr>
            </w:pPr>
            <w:r>
              <w:rPr>
                <w:rFonts w:hint="eastAsia" w:ascii="仿宋" w:hAnsi="仿宋" w:eastAsia="仿宋"/>
              </w:rPr>
              <w:t>加密区域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before="25" w:line="181" w:lineRule="auto"/>
              <w:ind w:left="422" w:right="102" w:hanging="240"/>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8:55-9:25</w:t>
            </w:r>
          </w:p>
        </w:tc>
        <w:tc>
          <w:tcPr>
            <w:tcW w:w="2977" w:type="dxa"/>
            <w:vAlign w:val="center"/>
          </w:tcPr>
          <w:p>
            <w:pPr>
              <w:autoSpaceDE w:val="0"/>
              <w:autoSpaceDN w:val="0"/>
              <w:adjustRightInd w:val="0"/>
              <w:spacing w:line="312" w:lineRule="exact"/>
              <w:ind w:left="264" w:right="242"/>
              <w:jc w:val="both"/>
              <w:rPr>
                <w:rFonts w:ascii="仿宋" w:hAnsi="仿宋" w:eastAsia="仿宋" w:cs="Microsoft JhengHei"/>
              </w:rPr>
            </w:pPr>
            <w:r>
              <w:rPr>
                <w:rFonts w:hint="eastAsia" w:ascii="仿宋" w:hAnsi="仿宋" w:eastAsia="仿宋" w:cs="Microsoft JhengHei"/>
              </w:rPr>
              <w:t>第二次加密（抽工位号）</w:t>
            </w:r>
          </w:p>
        </w:tc>
        <w:tc>
          <w:tcPr>
            <w:tcW w:w="2571" w:type="dxa"/>
            <w:vAlign w:val="center"/>
          </w:tcPr>
          <w:p>
            <w:pPr>
              <w:autoSpaceDE w:val="0"/>
              <w:autoSpaceDN w:val="0"/>
              <w:adjustRightInd w:val="0"/>
              <w:spacing w:before="48"/>
              <w:ind w:right="-20"/>
              <w:jc w:val="center"/>
              <w:rPr>
                <w:rFonts w:ascii="仿宋" w:hAnsi="仿宋" w:eastAsia="仿宋"/>
              </w:rPr>
            </w:pPr>
            <w:r>
              <w:rPr>
                <w:rFonts w:hint="eastAsia" w:ascii="仿宋" w:hAnsi="仿宋" w:eastAsia="仿宋" w:cs="Microsoft JhengHei"/>
              </w:rPr>
              <w:t>参赛选手、裁判</w:t>
            </w:r>
          </w:p>
        </w:tc>
        <w:tc>
          <w:tcPr>
            <w:tcW w:w="1089" w:type="dxa"/>
            <w:vAlign w:val="center"/>
          </w:tcPr>
          <w:p>
            <w:pPr>
              <w:autoSpaceDE w:val="0"/>
              <w:autoSpaceDN w:val="0"/>
              <w:adjustRightInd w:val="0"/>
              <w:spacing w:line="304" w:lineRule="exact"/>
              <w:ind w:right="114"/>
              <w:jc w:val="center"/>
              <w:rPr>
                <w:rFonts w:ascii="仿宋" w:hAnsi="仿宋" w:eastAsia="仿宋" w:cs="Microsoft JhengHei"/>
              </w:rPr>
            </w:pPr>
            <w:r>
              <w:rPr>
                <w:rFonts w:hint="eastAsia" w:ascii="仿宋" w:hAnsi="仿宋" w:eastAsia="仿宋" w:cs="Microsoft JhengHei"/>
              </w:rPr>
              <w:t>第二次</w:t>
            </w:r>
          </w:p>
          <w:p>
            <w:pPr>
              <w:autoSpaceDE w:val="0"/>
              <w:autoSpaceDN w:val="0"/>
              <w:adjustRightInd w:val="0"/>
              <w:spacing w:line="304" w:lineRule="exact"/>
              <w:ind w:right="114"/>
              <w:jc w:val="center"/>
              <w:rPr>
                <w:rFonts w:ascii="仿宋" w:hAnsi="仿宋" w:eastAsia="仿宋"/>
              </w:rPr>
            </w:pPr>
            <w:r>
              <w:rPr>
                <w:rFonts w:hint="eastAsia" w:ascii="仿宋" w:hAnsi="仿宋" w:eastAsia="仿宋" w:cs="Microsoft JhengHei"/>
              </w:rPr>
              <w:t>加密区域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line="312" w:lineRule="exact"/>
              <w:ind w:left="384" w:right="366"/>
              <w:jc w:val="center"/>
              <w:rPr>
                <w:rFonts w:ascii="仿宋" w:hAnsi="仿宋" w:eastAsia="仿宋"/>
              </w:rPr>
            </w:pPr>
          </w:p>
        </w:tc>
        <w:tc>
          <w:tcPr>
            <w:tcW w:w="1550" w:type="dxa"/>
            <w:vAlign w:val="center"/>
          </w:tcPr>
          <w:p>
            <w:pPr>
              <w:autoSpaceDE w:val="0"/>
              <w:autoSpaceDN w:val="0"/>
              <w:adjustRightInd w:val="0"/>
              <w:ind w:right="-20"/>
              <w:jc w:val="center"/>
              <w:rPr>
                <w:rFonts w:ascii="仿宋" w:hAnsi="仿宋" w:eastAsia="仿宋"/>
              </w:rPr>
            </w:pPr>
            <w:r>
              <w:rPr>
                <w:rFonts w:ascii="仿宋" w:hAnsi="仿宋" w:eastAsia="仿宋"/>
              </w:rPr>
              <w:t>9:25-9:30</w:t>
            </w:r>
          </w:p>
        </w:tc>
        <w:tc>
          <w:tcPr>
            <w:tcW w:w="2977" w:type="dxa"/>
            <w:vAlign w:val="center"/>
          </w:tcPr>
          <w:p>
            <w:pPr>
              <w:autoSpaceDE w:val="0"/>
              <w:autoSpaceDN w:val="0"/>
              <w:adjustRightInd w:val="0"/>
              <w:spacing w:line="304" w:lineRule="exact"/>
              <w:ind w:right="46"/>
              <w:jc w:val="center"/>
              <w:rPr>
                <w:rFonts w:ascii="仿宋" w:hAnsi="仿宋" w:eastAsia="仿宋" w:cs="Microsoft JhengHei"/>
              </w:rPr>
            </w:pPr>
            <w:r>
              <w:rPr>
                <w:rFonts w:hint="eastAsia" w:ascii="仿宋" w:hAnsi="仿宋" w:eastAsia="仿宋" w:cs="Microsoft JhengHei"/>
              </w:rPr>
              <w:t>选手就位，宣读竞赛须知</w:t>
            </w:r>
          </w:p>
        </w:tc>
        <w:tc>
          <w:tcPr>
            <w:tcW w:w="2571" w:type="dxa"/>
            <w:vAlign w:val="center"/>
          </w:tcPr>
          <w:p>
            <w:pPr>
              <w:autoSpaceDE w:val="0"/>
              <w:autoSpaceDN w:val="0"/>
              <w:adjustRightInd w:val="0"/>
              <w:spacing w:line="181" w:lineRule="auto"/>
              <w:ind w:right="-98"/>
              <w:jc w:val="center"/>
              <w:rPr>
                <w:rFonts w:ascii="仿宋" w:hAnsi="仿宋" w:eastAsia="仿宋" w:cs="Microsoft JhengHei"/>
              </w:rPr>
            </w:pPr>
            <w:r>
              <w:rPr>
                <w:rFonts w:hint="eastAsia" w:ascii="仿宋" w:hAnsi="仿宋" w:eastAsia="仿宋" w:cs="Microsoft JhengHei"/>
              </w:rPr>
              <w:t>参赛选手、裁判</w:t>
            </w:r>
          </w:p>
        </w:tc>
        <w:tc>
          <w:tcPr>
            <w:tcW w:w="1089" w:type="dxa"/>
            <w:vAlign w:val="center"/>
          </w:tcPr>
          <w:p>
            <w:pPr>
              <w:autoSpaceDE w:val="0"/>
              <w:autoSpaceDN w:val="0"/>
              <w:adjustRightInd w:val="0"/>
              <w:ind w:right="-20"/>
              <w:jc w:val="center"/>
              <w:rPr>
                <w:rFonts w:ascii="仿宋" w:hAnsi="仿宋" w:eastAsia="仿宋"/>
              </w:rPr>
            </w:pPr>
            <w:r>
              <w:rPr>
                <w:rFonts w:hint="eastAsia" w:ascii="仿宋" w:hAnsi="仿宋" w:eastAsia="仿宋" w:cs="Microsoft JhengHei"/>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9:30-12:00</w:t>
            </w:r>
          </w:p>
        </w:tc>
        <w:tc>
          <w:tcPr>
            <w:tcW w:w="2977" w:type="dxa"/>
            <w:vAlign w:val="center"/>
          </w:tcPr>
          <w:p>
            <w:pPr>
              <w:autoSpaceDE w:val="0"/>
              <w:autoSpaceDN w:val="0"/>
              <w:adjustRightInd w:val="0"/>
              <w:spacing w:line="312" w:lineRule="exact"/>
              <w:ind w:left="264" w:right="242"/>
              <w:jc w:val="both"/>
              <w:rPr>
                <w:rFonts w:ascii="仿宋" w:hAnsi="仿宋" w:eastAsia="仿宋" w:cs="Microsoft JhengHei"/>
              </w:rPr>
            </w:pPr>
            <w:r>
              <w:rPr>
                <w:rFonts w:hint="eastAsia" w:ascii="仿宋" w:hAnsi="仿宋" w:eastAsia="仿宋" w:cs="Microsoft JhengHei"/>
              </w:rPr>
              <w:t>跨境电子商务数据化选品与发布</w:t>
            </w:r>
          </w:p>
        </w:tc>
        <w:tc>
          <w:tcPr>
            <w:tcW w:w="2571" w:type="dxa"/>
            <w:vAlign w:val="center"/>
          </w:tcPr>
          <w:p>
            <w:pPr>
              <w:autoSpaceDE w:val="0"/>
              <w:autoSpaceDN w:val="0"/>
              <w:adjustRightInd w:val="0"/>
              <w:spacing w:line="300" w:lineRule="exact"/>
              <w:jc w:val="center"/>
              <w:rPr>
                <w:rFonts w:ascii="仿宋" w:hAnsi="仿宋" w:eastAsia="仿宋" w:cs="Microsoft JhengHei"/>
              </w:rPr>
            </w:pPr>
            <w:r>
              <w:rPr>
                <w:rFonts w:hint="eastAsia" w:ascii="仿宋" w:hAnsi="仿宋" w:eastAsia="仿宋" w:cs="Microsoft JhengHei"/>
              </w:rPr>
              <w:t>参赛选手、裁判、监督</w:t>
            </w:r>
          </w:p>
        </w:tc>
        <w:tc>
          <w:tcPr>
            <w:tcW w:w="1089"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ind w:left="182" w:right="-20"/>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hint="eastAsia" w:ascii="仿宋" w:hAnsi="仿宋" w:eastAsia="仿宋"/>
              </w:rPr>
              <w:t>1</w:t>
            </w:r>
            <w:r>
              <w:rPr>
                <w:rFonts w:ascii="仿宋" w:hAnsi="仿宋" w:eastAsia="仿宋"/>
              </w:rPr>
              <w:t>2</w:t>
            </w:r>
            <w:r>
              <w:rPr>
                <w:rFonts w:hint="eastAsia" w:ascii="仿宋" w:hAnsi="仿宋" w:eastAsia="仿宋"/>
              </w:rPr>
              <w:t>:</w:t>
            </w:r>
            <w:r>
              <w:rPr>
                <w:rFonts w:ascii="仿宋" w:hAnsi="仿宋" w:eastAsia="仿宋"/>
              </w:rPr>
              <w:t>00-13</w:t>
            </w:r>
            <w:r>
              <w:rPr>
                <w:rFonts w:hint="eastAsia" w:ascii="仿宋" w:hAnsi="仿宋" w:eastAsia="仿宋"/>
              </w:rPr>
              <w:t>:</w:t>
            </w:r>
            <w:r>
              <w:rPr>
                <w:rFonts w:ascii="仿宋" w:hAnsi="仿宋" w:eastAsia="仿宋"/>
              </w:rPr>
              <w:t>00</w:t>
            </w:r>
          </w:p>
        </w:tc>
        <w:tc>
          <w:tcPr>
            <w:tcW w:w="2977" w:type="dxa"/>
            <w:vAlign w:val="center"/>
          </w:tcPr>
          <w:p>
            <w:pPr>
              <w:autoSpaceDE w:val="0"/>
              <w:autoSpaceDN w:val="0"/>
              <w:adjustRightInd w:val="0"/>
              <w:spacing w:line="300" w:lineRule="exact"/>
              <w:ind w:right="-23"/>
              <w:jc w:val="center"/>
              <w:rPr>
                <w:rFonts w:ascii="仿宋" w:hAnsi="仿宋" w:eastAsia="仿宋" w:cs="Microsoft JhengHei"/>
              </w:rPr>
            </w:pPr>
            <w:r>
              <w:rPr>
                <w:rFonts w:hint="eastAsia" w:ascii="仿宋" w:hAnsi="仿宋" w:eastAsia="仿宋" w:cs="Microsoft JhengHei"/>
              </w:rPr>
              <w:t>午餐</w:t>
            </w:r>
          </w:p>
        </w:tc>
        <w:tc>
          <w:tcPr>
            <w:tcW w:w="2571" w:type="dxa"/>
            <w:vAlign w:val="center"/>
          </w:tcPr>
          <w:p>
            <w:pPr>
              <w:autoSpaceDE w:val="0"/>
              <w:autoSpaceDN w:val="0"/>
              <w:adjustRightInd w:val="0"/>
              <w:spacing w:line="300" w:lineRule="exact"/>
              <w:jc w:val="center"/>
              <w:rPr>
                <w:rFonts w:ascii="仿宋" w:hAnsi="仿宋" w:eastAsia="仿宋" w:cs="Microsoft JhengHei"/>
              </w:rPr>
            </w:pPr>
            <w:r>
              <w:rPr>
                <w:rFonts w:hint="eastAsia" w:ascii="仿宋" w:hAnsi="仿宋" w:eastAsia="仿宋" w:cs="Microsoft JhengHei"/>
              </w:rPr>
              <w:t>参赛选手、工作人员</w:t>
            </w:r>
          </w:p>
        </w:tc>
        <w:tc>
          <w:tcPr>
            <w:tcW w:w="1089"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before="47"/>
              <w:ind w:left="182" w:right="-20"/>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hint="eastAsia" w:ascii="仿宋" w:hAnsi="仿宋" w:eastAsia="仿宋"/>
              </w:rPr>
              <w:t>1</w:t>
            </w:r>
            <w:r>
              <w:rPr>
                <w:rFonts w:ascii="仿宋" w:hAnsi="仿宋" w:eastAsia="仿宋"/>
              </w:rPr>
              <w:t>3</w:t>
            </w:r>
            <w:r>
              <w:rPr>
                <w:rFonts w:hint="eastAsia" w:ascii="仿宋" w:hAnsi="仿宋" w:eastAsia="仿宋"/>
              </w:rPr>
              <w:t>:</w:t>
            </w:r>
            <w:r>
              <w:rPr>
                <w:rFonts w:ascii="仿宋" w:hAnsi="仿宋" w:eastAsia="仿宋"/>
              </w:rPr>
              <w:t>00-15</w:t>
            </w:r>
            <w:r>
              <w:rPr>
                <w:rFonts w:hint="eastAsia" w:ascii="仿宋" w:hAnsi="仿宋" w:eastAsia="仿宋"/>
              </w:rPr>
              <w:t>:</w:t>
            </w:r>
            <w:r>
              <w:rPr>
                <w:rFonts w:ascii="仿宋" w:hAnsi="仿宋" w:eastAsia="仿宋"/>
              </w:rPr>
              <w:t>00</w:t>
            </w:r>
          </w:p>
        </w:tc>
        <w:tc>
          <w:tcPr>
            <w:tcW w:w="2977" w:type="dxa"/>
            <w:vAlign w:val="center"/>
          </w:tcPr>
          <w:p>
            <w:pPr>
              <w:pStyle w:val="9"/>
              <w:shd w:val="clear" w:color="auto" w:fill="FFFFFF"/>
              <w:jc w:val="center"/>
              <w:rPr>
                <w:rFonts w:ascii="仿宋" w:hAnsi="仿宋" w:eastAsia="仿宋"/>
              </w:rPr>
            </w:pPr>
            <w:r>
              <w:rPr>
                <w:rFonts w:hint="eastAsia" w:ascii="仿宋" w:hAnsi="仿宋" w:eastAsia="仿宋" w:cs="Microsoft JhengHei"/>
              </w:rPr>
              <w:t>跨境电子商务合规通关</w:t>
            </w:r>
          </w:p>
        </w:tc>
        <w:tc>
          <w:tcPr>
            <w:tcW w:w="2571" w:type="dxa"/>
            <w:vAlign w:val="center"/>
          </w:tcPr>
          <w:p>
            <w:pPr>
              <w:autoSpaceDE w:val="0"/>
              <w:autoSpaceDN w:val="0"/>
              <w:adjustRightInd w:val="0"/>
              <w:spacing w:line="304" w:lineRule="exact"/>
              <w:ind w:left="144" w:right="122"/>
              <w:jc w:val="both"/>
              <w:rPr>
                <w:rFonts w:ascii="仿宋" w:hAnsi="仿宋" w:eastAsia="仿宋" w:cs="Microsoft JhengHei"/>
              </w:rPr>
            </w:pPr>
            <w:r>
              <w:rPr>
                <w:rFonts w:hint="eastAsia" w:ascii="仿宋" w:hAnsi="仿宋" w:eastAsia="仿宋" w:cs="Microsoft JhengHei"/>
              </w:rPr>
              <w:t>参赛选手、裁判、监督</w:t>
            </w:r>
          </w:p>
        </w:tc>
        <w:tc>
          <w:tcPr>
            <w:tcW w:w="1089"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line="181" w:lineRule="auto"/>
              <w:ind w:left="422" w:right="102" w:hanging="240"/>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15</w:t>
            </w:r>
            <w:r>
              <w:rPr>
                <w:rFonts w:hint="eastAsia" w:ascii="仿宋" w:hAnsi="仿宋" w:eastAsia="仿宋"/>
              </w:rPr>
              <w:t>:</w:t>
            </w:r>
            <w:r>
              <w:rPr>
                <w:rFonts w:ascii="仿宋" w:hAnsi="仿宋" w:eastAsia="仿宋"/>
              </w:rPr>
              <w:t>20</w:t>
            </w:r>
          </w:p>
        </w:tc>
        <w:tc>
          <w:tcPr>
            <w:tcW w:w="2977" w:type="dxa"/>
            <w:vAlign w:val="center"/>
          </w:tcPr>
          <w:p>
            <w:pPr>
              <w:autoSpaceDE w:val="0"/>
              <w:autoSpaceDN w:val="0"/>
              <w:adjustRightInd w:val="0"/>
              <w:spacing w:line="300" w:lineRule="exact"/>
              <w:ind w:right="-23"/>
              <w:jc w:val="center"/>
              <w:rPr>
                <w:rFonts w:ascii="仿宋" w:hAnsi="仿宋" w:eastAsia="仿宋" w:cs="Microsoft JhengHei"/>
              </w:rPr>
            </w:pPr>
            <w:r>
              <w:rPr>
                <w:rFonts w:hint="eastAsia" w:ascii="仿宋" w:hAnsi="仿宋" w:eastAsia="仿宋" w:cs="Microsoft JhengHei"/>
              </w:rPr>
              <w:t>各参赛队返回住宿酒店</w:t>
            </w:r>
          </w:p>
        </w:tc>
        <w:tc>
          <w:tcPr>
            <w:tcW w:w="2571" w:type="dxa"/>
            <w:vAlign w:val="center"/>
          </w:tcPr>
          <w:p>
            <w:pPr>
              <w:autoSpaceDE w:val="0"/>
              <w:autoSpaceDN w:val="0"/>
              <w:adjustRightInd w:val="0"/>
              <w:spacing w:line="300" w:lineRule="exact"/>
              <w:jc w:val="center"/>
              <w:rPr>
                <w:rFonts w:ascii="仿宋" w:hAnsi="仿宋" w:eastAsia="仿宋" w:cs="Microsoft JhengHei"/>
              </w:rPr>
            </w:pPr>
            <w:r>
              <w:rPr>
                <w:rFonts w:hint="eastAsia" w:ascii="仿宋" w:hAnsi="仿宋" w:eastAsia="仿宋" w:cs="Microsoft JhengHei"/>
              </w:rPr>
              <w:t>各参赛队</w:t>
            </w:r>
          </w:p>
        </w:tc>
        <w:tc>
          <w:tcPr>
            <w:tcW w:w="1089"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restart"/>
            <w:vAlign w:val="center"/>
          </w:tcPr>
          <w:p>
            <w:pPr>
              <w:autoSpaceDE w:val="0"/>
              <w:autoSpaceDN w:val="0"/>
              <w:adjustRightInd w:val="0"/>
              <w:spacing w:line="181" w:lineRule="auto"/>
              <w:ind w:right="22"/>
              <w:jc w:val="center"/>
              <w:rPr>
                <w:rFonts w:ascii="仿宋" w:hAnsi="仿宋" w:eastAsia="仿宋"/>
              </w:rPr>
            </w:pPr>
            <w:r>
              <w:rPr>
                <w:rFonts w:hint="eastAsia" w:ascii="仿宋" w:hAnsi="仿宋" w:eastAsia="仿宋"/>
              </w:rPr>
              <w:t>竞赛</w:t>
            </w:r>
          </w:p>
          <w:p>
            <w:pPr>
              <w:autoSpaceDE w:val="0"/>
              <w:autoSpaceDN w:val="0"/>
              <w:adjustRightInd w:val="0"/>
              <w:spacing w:line="181" w:lineRule="auto"/>
              <w:ind w:right="22"/>
              <w:jc w:val="center"/>
              <w:rPr>
                <w:rFonts w:ascii="仿宋" w:hAnsi="仿宋" w:eastAsia="仿宋"/>
              </w:rPr>
            </w:pPr>
            <w:r>
              <w:rPr>
                <w:rFonts w:hint="eastAsia" w:ascii="仿宋" w:hAnsi="仿宋" w:eastAsia="仿宋"/>
              </w:rPr>
              <w:t>第2日</w:t>
            </w: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8:00</w:t>
            </w:r>
          </w:p>
        </w:tc>
        <w:tc>
          <w:tcPr>
            <w:tcW w:w="2977"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参赛队到达赛场集合</w:t>
            </w:r>
          </w:p>
        </w:tc>
        <w:tc>
          <w:tcPr>
            <w:tcW w:w="2571" w:type="dxa"/>
            <w:vAlign w:val="center"/>
          </w:tcPr>
          <w:p>
            <w:pPr>
              <w:autoSpaceDE w:val="0"/>
              <w:autoSpaceDN w:val="0"/>
              <w:adjustRightInd w:val="0"/>
              <w:spacing w:line="304" w:lineRule="exact"/>
              <w:ind w:right="122"/>
              <w:jc w:val="center"/>
              <w:rPr>
                <w:rFonts w:ascii="仿宋" w:hAnsi="仿宋" w:eastAsia="仿宋" w:cs="Microsoft JhengHei"/>
              </w:rPr>
            </w:pPr>
            <w:r>
              <w:rPr>
                <w:rFonts w:hint="eastAsia" w:ascii="仿宋" w:hAnsi="仿宋" w:eastAsia="仿宋" w:cs="Microsoft JhengHei"/>
              </w:rPr>
              <w:t>参赛队、工作人员</w:t>
            </w:r>
          </w:p>
        </w:tc>
        <w:tc>
          <w:tcPr>
            <w:tcW w:w="1089"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line="181" w:lineRule="auto"/>
              <w:ind w:right="22"/>
              <w:jc w:val="center"/>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8:00-8</w:t>
            </w:r>
            <w:r>
              <w:rPr>
                <w:rFonts w:hint="eastAsia" w:ascii="仿宋" w:hAnsi="仿宋" w:eastAsia="仿宋"/>
              </w:rPr>
              <w:t>:</w:t>
            </w:r>
            <w:r>
              <w:rPr>
                <w:rFonts w:ascii="仿宋" w:hAnsi="仿宋" w:eastAsia="仿宋"/>
              </w:rPr>
              <w:t>30</w:t>
            </w:r>
          </w:p>
        </w:tc>
        <w:tc>
          <w:tcPr>
            <w:tcW w:w="2977" w:type="dxa"/>
            <w:vAlign w:val="center"/>
          </w:tcPr>
          <w:p>
            <w:pPr>
              <w:autoSpaceDE w:val="0"/>
              <w:autoSpaceDN w:val="0"/>
              <w:adjustRightInd w:val="0"/>
              <w:spacing w:before="47"/>
              <w:ind w:right="-20"/>
              <w:jc w:val="center"/>
              <w:rPr>
                <w:rFonts w:ascii="仿宋" w:hAnsi="仿宋" w:eastAsia="仿宋"/>
              </w:rPr>
            </w:pPr>
            <w:r>
              <w:rPr>
                <w:rFonts w:hint="eastAsia" w:ascii="仿宋" w:hAnsi="仿宋" w:eastAsia="仿宋" w:cs="Microsoft JhengHei"/>
              </w:rPr>
              <w:t>检录进场，</w:t>
            </w:r>
            <w:r>
              <w:rPr>
                <w:rFonts w:hint="eastAsia" w:ascii="仿宋" w:hAnsi="仿宋" w:eastAsia="仿宋"/>
              </w:rPr>
              <w:t>第一次加密</w:t>
            </w:r>
          </w:p>
          <w:p>
            <w:pPr>
              <w:autoSpaceDE w:val="0"/>
              <w:autoSpaceDN w:val="0"/>
              <w:adjustRightInd w:val="0"/>
              <w:spacing w:before="47"/>
              <w:ind w:right="-20"/>
              <w:jc w:val="center"/>
              <w:rPr>
                <w:rFonts w:ascii="仿宋" w:hAnsi="仿宋" w:eastAsia="仿宋"/>
              </w:rPr>
            </w:pPr>
            <w:r>
              <w:rPr>
                <w:rFonts w:hint="eastAsia" w:ascii="仿宋" w:hAnsi="仿宋" w:eastAsia="仿宋"/>
              </w:rPr>
              <w:t>（抽顺序号）</w:t>
            </w:r>
          </w:p>
        </w:tc>
        <w:tc>
          <w:tcPr>
            <w:tcW w:w="2571" w:type="dxa"/>
            <w:vAlign w:val="center"/>
          </w:tcPr>
          <w:p>
            <w:pPr>
              <w:autoSpaceDE w:val="0"/>
              <w:autoSpaceDN w:val="0"/>
              <w:adjustRightInd w:val="0"/>
              <w:spacing w:before="47" w:line="304" w:lineRule="exact"/>
              <w:ind w:right="122"/>
              <w:jc w:val="center"/>
              <w:rPr>
                <w:rFonts w:ascii="仿宋" w:hAnsi="仿宋" w:eastAsia="仿宋"/>
              </w:rPr>
            </w:pPr>
            <w:r>
              <w:rPr>
                <w:rFonts w:hint="eastAsia" w:ascii="仿宋" w:hAnsi="仿宋" w:eastAsia="仿宋" w:cs="Microsoft JhengHei"/>
              </w:rPr>
              <w:t>参赛选手、裁判</w:t>
            </w:r>
          </w:p>
        </w:tc>
        <w:tc>
          <w:tcPr>
            <w:tcW w:w="1089" w:type="dxa"/>
            <w:vAlign w:val="center"/>
          </w:tcPr>
          <w:p>
            <w:pPr>
              <w:autoSpaceDE w:val="0"/>
              <w:autoSpaceDN w:val="0"/>
              <w:adjustRightInd w:val="0"/>
              <w:spacing w:line="304" w:lineRule="exact"/>
              <w:ind w:right="114"/>
              <w:jc w:val="center"/>
              <w:rPr>
                <w:rFonts w:ascii="仿宋" w:hAnsi="仿宋" w:eastAsia="仿宋"/>
              </w:rPr>
            </w:pPr>
            <w:r>
              <w:rPr>
                <w:rFonts w:hint="eastAsia" w:ascii="仿宋" w:hAnsi="仿宋" w:eastAsia="仿宋"/>
              </w:rPr>
              <w:t>第一次</w:t>
            </w:r>
          </w:p>
          <w:p>
            <w:pPr>
              <w:autoSpaceDE w:val="0"/>
              <w:autoSpaceDN w:val="0"/>
              <w:adjustRightInd w:val="0"/>
              <w:spacing w:before="47"/>
              <w:ind w:right="-20"/>
              <w:jc w:val="center"/>
              <w:rPr>
                <w:rFonts w:ascii="仿宋" w:hAnsi="仿宋" w:eastAsia="仿宋"/>
              </w:rPr>
            </w:pPr>
            <w:r>
              <w:rPr>
                <w:rFonts w:hint="eastAsia" w:ascii="仿宋" w:hAnsi="仿宋" w:eastAsia="仿宋"/>
              </w:rPr>
              <w:t>加密区域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line="181" w:lineRule="auto"/>
              <w:ind w:right="22"/>
              <w:jc w:val="center"/>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8:30-8:50</w:t>
            </w:r>
          </w:p>
        </w:tc>
        <w:tc>
          <w:tcPr>
            <w:tcW w:w="2977" w:type="dxa"/>
            <w:vAlign w:val="center"/>
          </w:tcPr>
          <w:p>
            <w:pPr>
              <w:autoSpaceDE w:val="0"/>
              <w:autoSpaceDN w:val="0"/>
              <w:adjustRightInd w:val="0"/>
              <w:spacing w:line="312" w:lineRule="exact"/>
              <w:ind w:right="242"/>
              <w:jc w:val="right"/>
              <w:rPr>
                <w:rFonts w:ascii="仿宋" w:hAnsi="仿宋" w:eastAsia="仿宋" w:cs="Microsoft JhengHei"/>
              </w:rPr>
            </w:pPr>
            <w:r>
              <w:rPr>
                <w:rFonts w:hint="eastAsia" w:ascii="仿宋" w:hAnsi="仿宋" w:eastAsia="仿宋" w:cs="Microsoft JhengHei"/>
              </w:rPr>
              <w:t>第二次加密（抽工位号）</w:t>
            </w:r>
          </w:p>
        </w:tc>
        <w:tc>
          <w:tcPr>
            <w:tcW w:w="2571" w:type="dxa"/>
            <w:vAlign w:val="center"/>
          </w:tcPr>
          <w:p>
            <w:pPr>
              <w:autoSpaceDE w:val="0"/>
              <w:autoSpaceDN w:val="0"/>
              <w:adjustRightInd w:val="0"/>
              <w:spacing w:line="304" w:lineRule="exact"/>
              <w:ind w:right="122"/>
              <w:jc w:val="center"/>
              <w:rPr>
                <w:rFonts w:ascii="仿宋" w:hAnsi="仿宋" w:eastAsia="仿宋" w:cs="Microsoft JhengHei"/>
              </w:rPr>
            </w:pPr>
            <w:r>
              <w:rPr>
                <w:rFonts w:hint="eastAsia" w:ascii="仿宋" w:hAnsi="仿宋" w:eastAsia="仿宋" w:cs="Microsoft JhengHei"/>
              </w:rPr>
              <w:t>参赛选手、裁判</w:t>
            </w:r>
          </w:p>
        </w:tc>
        <w:tc>
          <w:tcPr>
            <w:tcW w:w="1089" w:type="dxa"/>
            <w:vAlign w:val="center"/>
          </w:tcPr>
          <w:p>
            <w:pPr>
              <w:autoSpaceDE w:val="0"/>
              <w:autoSpaceDN w:val="0"/>
              <w:adjustRightInd w:val="0"/>
              <w:spacing w:line="304" w:lineRule="exact"/>
              <w:ind w:right="114"/>
              <w:jc w:val="center"/>
              <w:rPr>
                <w:rFonts w:ascii="仿宋" w:hAnsi="仿宋" w:eastAsia="仿宋" w:cs="Microsoft JhengHei"/>
              </w:rPr>
            </w:pPr>
            <w:r>
              <w:rPr>
                <w:rFonts w:hint="eastAsia" w:ascii="仿宋" w:hAnsi="仿宋" w:eastAsia="仿宋" w:cs="Microsoft JhengHei"/>
              </w:rPr>
              <w:t>第二次</w:t>
            </w:r>
          </w:p>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加密区域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line="181" w:lineRule="auto"/>
              <w:ind w:right="22"/>
              <w:jc w:val="center"/>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8:50-9:00</w:t>
            </w:r>
          </w:p>
        </w:tc>
        <w:tc>
          <w:tcPr>
            <w:tcW w:w="2977"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选手就位，宣读竞赛须知</w:t>
            </w:r>
          </w:p>
        </w:tc>
        <w:tc>
          <w:tcPr>
            <w:tcW w:w="2571" w:type="dxa"/>
            <w:vAlign w:val="center"/>
          </w:tcPr>
          <w:p>
            <w:pPr>
              <w:autoSpaceDE w:val="0"/>
              <w:autoSpaceDN w:val="0"/>
              <w:adjustRightInd w:val="0"/>
              <w:spacing w:line="304" w:lineRule="exact"/>
              <w:ind w:right="122"/>
              <w:jc w:val="center"/>
              <w:rPr>
                <w:rFonts w:ascii="仿宋" w:hAnsi="仿宋" w:eastAsia="仿宋" w:cs="Microsoft JhengHei"/>
              </w:rPr>
            </w:pPr>
            <w:r>
              <w:rPr>
                <w:rFonts w:hint="eastAsia" w:ascii="仿宋" w:hAnsi="仿宋" w:eastAsia="仿宋" w:cs="Microsoft JhengHei"/>
              </w:rPr>
              <w:t>参赛选手、裁判</w:t>
            </w:r>
          </w:p>
        </w:tc>
        <w:tc>
          <w:tcPr>
            <w:tcW w:w="1089"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line="181" w:lineRule="auto"/>
              <w:ind w:right="22"/>
              <w:jc w:val="center"/>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ascii="仿宋" w:hAnsi="仿宋" w:eastAsia="仿宋"/>
              </w:rPr>
              <w:t>9:00-12:30</w:t>
            </w:r>
          </w:p>
        </w:tc>
        <w:tc>
          <w:tcPr>
            <w:tcW w:w="2977" w:type="dxa"/>
            <w:vAlign w:val="center"/>
          </w:tcPr>
          <w:p>
            <w:pPr>
              <w:autoSpaceDE w:val="0"/>
              <w:autoSpaceDN w:val="0"/>
              <w:adjustRightInd w:val="0"/>
              <w:spacing w:line="312" w:lineRule="exact"/>
              <w:ind w:left="264" w:right="242"/>
              <w:jc w:val="both"/>
              <w:rPr>
                <w:rFonts w:ascii="仿宋" w:hAnsi="仿宋" w:eastAsia="仿宋" w:cs="Microsoft JhengHei"/>
              </w:rPr>
            </w:pPr>
            <w:r>
              <w:rPr>
                <w:rFonts w:hint="eastAsia" w:ascii="仿宋" w:hAnsi="仿宋" w:eastAsia="仿宋"/>
              </w:rPr>
              <w:t>跨境电子商务数据化运营与推广</w:t>
            </w:r>
          </w:p>
        </w:tc>
        <w:tc>
          <w:tcPr>
            <w:tcW w:w="2571" w:type="dxa"/>
            <w:vAlign w:val="center"/>
          </w:tcPr>
          <w:p>
            <w:pPr>
              <w:autoSpaceDE w:val="0"/>
              <w:autoSpaceDN w:val="0"/>
              <w:adjustRightInd w:val="0"/>
              <w:spacing w:line="304" w:lineRule="exact"/>
              <w:ind w:right="122"/>
              <w:jc w:val="center"/>
              <w:rPr>
                <w:rFonts w:ascii="仿宋" w:hAnsi="仿宋" w:eastAsia="仿宋" w:cs="Microsoft JhengHei"/>
              </w:rPr>
            </w:pPr>
            <w:r>
              <w:rPr>
                <w:rFonts w:hint="eastAsia" w:ascii="仿宋" w:hAnsi="仿宋" w:eastAsia="仿宋" w:cs="Microsoft JhengHei"/>
              </w:rPr>
              <w:t>参赛选手、裁判、监督</w:t>
            </w:r>
          </w:p>
        </w:tc>
        <w:tc>
          <w:tcPr>
            <w:tcW w:w="1089"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line="181" w:lineRule="auto"/>
              <w:ind w:right="22"/>
              <w:jc w:val="center"/>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hint="eastAsia" w:ascii="仿宋" w:hAnsi="仿宋" w:eastAsia="仿宋"/>
              </w:rPr>
              <w:t>1</w:t>
            </w:r>
            <w:r>
              <w:rPr>
                <w:rFonts w:ascii="仿宋" w:hAnsi="仿宋" w:eastAsia="仿宋"/>
              </w:rPr>
              <w:t>2</w:t>
            </w:r>
            <w:r>
              <w:rPr>
                <w:rFonts w:hint="eastAsia" w:ascii="仿宋" w:hAnsi="仿宋" w:eastAsia="仿宋"/>
              </w:rPr>
              <w:t>:</w:t>
            </w:r>
            <w:r>
              <w:rPr>
                <w:rFonts w:ascii="仿宋" w:hAnsi="仿宋" w:eastAsia="仿宋"/>
              </w:rPr>
              <w:t>30</w:t>
            </w:r>
          </w:p>
        </w:tc>
        <w:tc>
          <w:tcPr>
            <w:tcW w:w="2977"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比赛结束，各参赛队返回</w:t>
            </w:r>
          </w:p>
        </w:tc>
        <w:tc>
          <w:tcPr>
            <w:tcW w:w="2571" w:type="dxa"/>
            <w:vAlign w:val="center"/>
          </w:tcPr>
          <w:p>
            <w:pPr>
              <w:autoSpaceDE w:val="0"/>
              <w:autoSpaceDN w:val="0"/>
              <w:adjustRightInd w:val="0"/>
              <w:spacing w:line="304" w:lineRule="exact"/>
              <w:ind w:right="122"/>
              <w:jc w:val="center"/>
              <w:rPr>
                <w:rFonts w:ascii="仿宋" w:hAnsi="仿宋" w:eastAsia="仿宋" w:cs="Microsoft JhengHei"/>
              </w:rPr>
            </w:pPr>
            <w:r>
              <w:rPr>
                <w:rFonts w:hint="eastAsia" w:ascii="仿宋" w:hAnsi="仿宋" w:eastAsia="仿宋" w:cs="Microsoft JhengHei"/>
              </w:rPr>
              <w:t>各参赛队</w:t>
            </w:r>
          </w:p>
        </w:tc>
        <w:tc>
          <w:tcPr>
            <w:tcW w:w="1089" w:type="dxa"/>
            <w:vAlign w:val="center"/>
          </w:tcPr>
          <w:p>
            <w:pPr>
              <w:autoSpaceDE w:val="0"/>
              <w:autoSpaceDN w:val="0"/>
              <w:adjustRightInd w:val="0"/>
              <w:spacing w:before="48"/>
              <w:ind w:right="-20"/>
              <w:jc w:val="center"/>
              <w:rPr>
                <w:rFonts w:ascii="仿宋" w:hAnsi="仿宋" w:eastAsia="仿宋" w:cs="Microsoft JhengHe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5" w:type="dxa"/>
            <w:vMerge w:val="continue"/>
            <w:vAlign w:val="center"/>
          </w:tcPr>
          <w:p>
            <w:pPr>
              <w:autoSpaceDE w:val="0"/>
              <w:autoSpaceDN w:val="0"/>
              <w:adjustRightInd w:val="0"/>
              <w:spacing w:line="181" w:lineRule="auto"/>
              <w:ind w:right="22"/>
              <w:jc w:val="center"/>
              <w:rPr>
                <w:rFonts w:ascii="仿宋" w:hAnsi="仿宋" w:eastAsia="仿宋"/>
              </w:rPr>
            </w:pPr>
          </w:p>
        </w:tc>
        <w:tc>
          <w:tcPr>
            <w:tcW w:w="1550" w:type="dxa"/>
            <w:vAlign w:val="center"/>
          </w:tcPr>
          <w:p>
            <w:pPr>
              <w:autoSpaceDE w:val="0"/>
              <w:autoSpaceDN w:val="0"/>
              <w:adjustRightInd w:val="0"/>
              <w:spacing w:before="48"/>
              <w:ind w:right="-20"/>
              <w:jc w:val="center"/>
              <w:rPr>
                <w:rFonts w:ascii="仿宋" w:hAnsi="仿宋" w:eastAsia="仿宋"/>
              </w:rPr>
            </w:pPr>
            <w:r>
              <w:rPr>
                <w:rFonts w:hint="eastAsia" w:ascii="仿宋" w:hAnsi="仿宋" w:eastAsia="仿宋"/>
              </w:rPr>
              <w:t>1</w:t>
            </w:r>
            <w:r>
              <w:rPr>
                <w:rFonts w:ascii="仿宋" w:hAnsi="仿宋" w:eastAsia="仿宋"/>
              </w:rPr>
              <w:t>2</w:t>
            </w:r>
            <w:r>
              <w:rPr>
                <w:rFonts w:hint="eastAsia" w:ascii="仿宋" w:hAnsi="仿宋" w:eastAsia="仿宋"/>
              </w:rPr>
              <w:t>:</w:t>
            </w:r>
            <w:r>
              <w:rPr>
                <w:rFonts w:ascii="仿宋" w:hAnsi="仿宋" w:eastAsia="仿宋"/>
              </w:rPr>
              <w:t>30-20:00</w:t>
            </w:r>
          </w:p>
        </w:tc>
        <w:tc>
          <w:tcPr>
            <w:tcW w:w="2977"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成绩评定，成绩公示</w:t>
            </w:r>
          </w:p>
        </w:tc>
        <w:tc>
          <w:tcPr>
            <w:tcW w:w="2571" w:type="dxa"/>
            <w:vAlign w:val="center"/>
          </w:tcPr>
          <w:p>
            <w:pPr>
              <w:autoSpaceDE w:val="0"/>
              <w:autoSpaceDN w:val="0"/>
              <w:adjustRightInd w:val="0"/>
              <w:spacing w:line="304" w:lineRule="exact"/>
              <w:ind w:right="122"/>
              <w:jc w:val="center"/>
              <w:rPr>
                <w:rFonts w:ascii="仿宋" w:hAnsi="仿宋" w:eastAsia="仿宋" w:cs="Microsoft JhengHei"/>
              </w:rPr>
            </w:pPr>
            <w:r>
              <w:rPr>
                <w:rFonts w:hint="eastAsia" w:ascii="仿宋" w:hAnsi="仿宋" w:eastAsia="仿宋" w:cs="Microsoft JhengHei"/>
              </w:rPr>
              <w:t>裁判、监督仲裁组</w:t>
            </w:r>
          </w:p>
        </w:tc>
        <w:tc>
          <w:tcPr>
            <w:tcW w:w="1089" w:type="dxa"/>
            <w:vAlign w:val="center"/>
          </w:tcPr>
          <w:p>
            <w:pPr>
              <w:autoSpaceDE w:val="0"/>
              <w:autoSpaceDN w:val="0"/>
              <w:adjustRightInd w:val="0"/>
              <w:spacing w:before="48"/>
              <w:ind w:right="-20"/>
              <w:jc w:val="center"/>
              <w:rPr>
                <w:rFonts w:ascii="仿宋" w:hAnsi="仿宋" w:eastAsia="仿宋" w:cs="Microsoft JhengHei"/>
              </w:rPr>
            </w:pPr>
            <w:r>
              <w:rPr>
                <w:rFonts w:hint="eastAsia" w:ascii="仿宋" w:hAnsi="仿宋" w:eastAsia="仿宋" w:cs="Microsoft JhengHei"/>
              </w:rPr>
              <w:t>会议室</w:t>
            </w:r>
          </w:p>
        </w:tc>
      </w:tr>
    </w:tbl>
    <w:p>
      <w:pPr>
        <w:pStyle w:val="4"/>
        <w:rPr>
          <w:rFonts w:hint="eastAsia"/>
        </w:rPr>
      </w:pPr>
    </w:p>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六、竞赛规则</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（一）选手报名</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参赛选手和指导教师报名获得确认后不得随意更换。如比赛前参赛选手和指导教师因故无法参赛，须由</w:t>
      </w:r>
      <w:r>
        <w:rPr>
          <w:rFonts w:hint="eastAsia" w:ascii="仿宋" w:hAnsi="仿宋" w:eastAsia="仿宋"/>
          <w:bCs/>
          <w:sz w:val="28"/>
          <w:szCs w:val="28"/>
          <w:lang w:val="en-US" w:eastAsia="zh-CN"/>
        </w:rPr>
        <w:t>参赛院校</w:t>
      </w:r>
      <w:r>
        <w:rPr>
          <w:rFonts w:hint="eastAsia" w:ascii="仿宋" w:hAnsi="仿宋" w:eastAsia="仿宋"/>
          <w:bCs/>
          <w:sz w:val="28"/>
          <w:szCs w:val="28"/>
        </w:rPr>
        <w:t>于开赛 10 个工作日之前出具书面说明，经大赛执委会办公室核实后予以更换。团体赛选手因特殊原因不能参加比赛时，团队可缺员比赛，但需提前上报大赛执委会备案。如未经报备，发现实际参赛选手与报名信息不符的情况，均不得入场。</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（二）熟悉场地</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赛项执委会比赛日前一天统一安排参赛队熟悉场地和竞赛环境。</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（三）入场规则</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比赛工位通过抽签决定，参赛选手须在赛前 30 分钟凭赛位号提前进入赛场。入场前须携带参赛凭证和有效身份证件（身份证和学生证），选手入场时，逐个核查竞赛选手参赛证。实际参赛选手与报名信息不符的情况，团队成员不得入场。比赛期间参赛选手原则上不得离开比赛场地。</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（四）赛场规则</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1.检录。由检录工作人员依照检录表进行点名核对。</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2.加密。竞赛当日进行二次加密，分别由二个加密裁判组织实施加密工作，管理加密结果。监督员全程监督加密过程。</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3.引导。现场裁判负责引导参赛选手至赛位前等待竞赛指令。比赛正式开始后方可进行比赛任务相关操作。如出现较严重的违规、违纪、舞弊等现象，经裁判组裁定取消比赛成绩。</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4.由裁判长宣布比赛开始，各参赛队开始竞赛。</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5.在比赛过程中，参赛选手如有疑问，应举手示意，现场裁判应按要求及时予以答疑。竞赛过程中，如遇设备故障，参赛选手应举手示意。裁判、技术人员等应及时予以解决。确因计算机软件或硬件故障致使操作无法继续，经赛场裁判长确认，予以启用备用设备。如遇身体不适，参赛选手应举手示意，现场医务人员按应急预案救治。</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6.竞赛所需的硬件、软件和辅助工具会统一提供，参赛队不得使用自带的任何具有存储和通信功能的设备，如硬盘、光盘、U盘、随身听、智能手表</w:t>
      </w:r>
      <w:r>
        <w:rPr>
          <w:rFonts w:hint="eastAsia" w:ascii="仿宋" w:hAnsi="仿宋" w:eastAsia="仿宋" w:cs="宋体"/>
          <w:bCs/>
          <w:sz w:val="28"/>
          <w:szCs w:val="28"/>
          <w:lang w:val="en-US" w:eastAsia="zh-CN"/>
        </w:rPr>
        <w:t>、</w:t>
      </w:r>
      <w:r>
        <w:rPr>
          <w:rFonts w:hint="eastAsia" w:ascii="仿宋" w:hAnsi="仿宋" w:eastAsia="仿宋" w:cs="宋体"/>
          <w:bCs/>
          <w:sz w:val="28"/>
          <w:szCs w:val="28"/>
        </w:rPr>
        <w:t>PDA等。</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7.参赛选手进入赛位，赛事裁判及工作人员进入竞赛场所，严禁携带通讯、照相摄录设备，禁止携带记录用具。如确有需要，由赛场统一配置、统一管理。赛项可根据需要配置安检设备对进入赛场重要部位的人员进行安检。</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8.比赛时间结束，选手应全体起立，结束操作。经裁判组查收清点所有文档后方可离开赛场，离开赛场时不得带走任何资料。</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（五）离场规则</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参赛选手比赛中途不得擅自离开赛场；竞赛内容完成后经裁判长同意方可离开赛场。</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（六）成绩评定与结果公布</w:t>
      </w:r>
    </w:p>
    <w:p>
      <w:pPr>
        <w:widowControl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rPr>
        <w:t>1.比赛当天入场前，赛项裁判应上交所有通信设备，由赛项执委会统一保管，并安排赛项裁判在指定区域休息或工作，直至赛项成绩评定结束。</w:t>
      </w:r>
    </w:p>
    <w:p>
      <w:pPr>
        <w:widowControl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.成绩评定过程中的所有评分材料须由相应评分裁判签字确认，更正成绩需经裁判本人、裁判长及监督仲裁组长在更正处签字。</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.解密后的各参赛队伍（选手）成绩汇总成比赛成绩，最终竞赛成绩经复核无误，由裁判长、监督仲裁长签字确认后向全体参赛队进行公示。成绩公示2小时且无异议后，公布比赛结果。</w:t>
      </w:r>
    </w:p>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七、技术规范</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本赛项的技术规范、专业知识和技术技能等包括：电子商务与经济贸易类相关专业的教育教学要求、行业、职业技术标准，以及根据高职目录修订后的电子商务与经济贸易类相关专业人才培养教学标准和规范，适时地修订本赛项遵循的技术规范。</w:t>
      </w:r>
    </w:p>
    <w:p>
      <w:pPr>
        <w:widowControl w:val="0"/>
        <w:spacing w:line="360" w:lineRule="auto"/>
        <w:ind w:firstLine="560" w:firstLineChars="200"/>
        <w:jc w:val="both"/>
        <w:outlineLvl w:val="1"/>
        <w:rPr>
          <w:rFonts w:ascii="仿宋" w:hAnsi="仿宋" w:eastAsia="仿宋" w:cs="Times New Roman"/>
          <w:bCs/>
          <w:kern w:val="2"/>
          <w:sz w:val="28"/>
          <w:szCs w:val="28"/>
        </w:rPr>
      </w:pPr>
      <w:r>
        <w:rPr>
          <w:rFonts w:hint="eastAsia" w:ascii="仿宋" w:hAnsi="仿宋" w:eastAsia="仿宋"/>
          <w:bCs/>
          <w:sz w:val="28"/>
          <w:szCs w:val="28"/>
        </w:rPr>
        <w:t>（一）</w:t>
      </w:r>
      <w:r>
        <w:rPr>
          <w:rFonts w:hint="eastAsia" w:ascii="仿宋" w:hAnsi="仿宋" w:eastAsia="仿宋" w:cs="Times New Roman"/>
          <w:bCs/>
          <w:kern w:val="2"/>
          <w:sz w:val="28"/>
          <w:szCs w:val="28"/>
        </w:rPr>
        <w:t>教学标准</w:t>
      </w:r>
    </w:p>
    <w:tbl>
      <w:tblPr>
        <w:tblStyle w:val="10"/>
        <w:tblW w:w="8500" w:type="dxa"/>
        <w:tblInd w:w="0" w:type="dxa"/>
        <w:shd w:val="clear" w:color="auto" w:fill="FFFFFF"/>
        <w:tblLayout w:type="autofit"/>
        <w:tblCellMar>
          <w:top w:w="15" w:type="dxa"/>
          <w:left w:w="15" w:type="dxa"/>
          <w:bottom w:w="15" w:type="dxa"/>
          <w:right w:w="15" w:type="dxa"/>
        </w:tblCellMar>
      </w:tblPr>
      <w:tblGrid>
        <w:gridCol w:w="846"/>
        <w:gridCol w:w="1701"/>
        <w:gridCol w:w="5953"/>
      </w:tblGrid>
      <w:tr>
        <w:tblPrEx>
          <w:shd w:val="clear" w:color="auto" w:fill="FFFFFF"/>
          <w:tblCellMar>
            <w:top w:w="15" w:type="dxa"/>
            <w:left w:w="15" w:type="dxa"/>
            <w:bottom w:w="15" w:type="dxa"/>
            <w:right w:w="15" w:type="dxa"/>
          </w:tblCellMar>
        </w:tblPrEx>
        <w:trPr>
          <w:trHeight w:val="441"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序号</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标准单位</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中文标准名称</w:t>
            </w:r>
          </w:p>
        </w:tc>
      </w:tr>
      <w:tr>
        <w:tblPrEx>
          <w:shd w:val="clear" w:color="auto" w:fill="FFFFFF"/>
          <w:tblCellMar>
            <w:top w:w="15" w:type="dxa"/>
            <w:left w:w="15" w:type="dxa"/>
            <w:bottom w:w="15" w:type="dxa"/>
            <w:right w:w="15" w:type="dxa"/>
          </w:tblCellMar>
        </w:tblPrEx>
        <w:trPr>
          <w:trHeight w:val="441"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教育部</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高等职业学校跨境电子商务专业教学标准</w:t>
            </w:r>
          </w:p>
          <w:p>
            <w:pPr>
              <w:jc w:val="center"/>
              <w:rPr>
                <w:rFonts w:ascii="仿宋" w:hAnsi="仿宋" w:eastAsia="仿宋"/>
              </w:rPr>
            </w:pPr>
          </w:p>
        </w:tc>
      </w:tr>
      <w:tr>
        <w:tblPrEx>
          <w:shd w:val="clear" w:color="auto" w:fill="FFFFFF"/>
          <w:tblCellMar>
            <w:top w:w="15" w:type="dxa"/>
            <w:left w:w="15" w:type="dxa"/>
            <w:bottom w:w="15" w:type="dxa"/>
            <w:right w:w="15" w:type="dxa"/>
          </w:tblCellMar>
        </w:tblPrEx>
        <w:trPr>
          <w:trHeight w:val="441"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教育部</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高等职业学校电子商务专业教学标准</w:t>
            </w:r>
          </w:p>
          <w:p>
            <w:pPr>
              <w:jc w:val="center"/>
              <w:rPr>
                <w:rFonts w:ascii="仿宋" w:hAnsi="仿宋" w:eastAsia="仿宋"/>
              </w:rPr>
            </w:pPr>
          </w:p>
        </w:tc>
      </w:tr>
      <w:tr>
        <w:tblPrEx>
          <w:tblCellMar>
            <w:top w:w="15" w:type="dxa"/>
            <w:left w:w="15" w:type="dxa"/>
            <w:bottom w:w="15" w:type="dxa"/>
            <w:right w:w="15" w:type="dxa"/>
          </w:tblCellMar>
        </w:tblPrEx>
        <w:trPr>
          <w:trHeight w:val="441"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教育部</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高等职业学校国际经济与贸易专业教学标准</w:t>
            </w:r>
          </w:p>
          <w:p>
            <w:pPr>
              <w:jc w:val="center"/>
              <w:rPr>
                <w:rFonts w:ascii="仿宋" w:hAnsi="仿宋" w:eastAsia="仿宋"/>
              </w:rPr>
            </w:pPr>
          </w:p>
        </w:tc>
      </w:tr>
      <w:tr>
        <w:tblPrEx>
          <w:shd w:val="clear" w:color="auto" w:fill="FFFFFF"/>
          <w:tblCellMar>
            <w:top w:w="15" w:type="dxa"/>
            <w:left w:w="15" w:type="dxa"/>
            <w:bottom w:w="15" w:type="dxa"/>
            <w:right w:w="15" w:type="dxa"/>
          </w:tblCellMar>
        </w:tblPrEx>
        <w:trPr>
          <w:trHeight w:val="441"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教育部</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高等职业学校国际商务专业教学标准</w:t>
            </w:r>
          </w:p>
          <w:p>
            <w:pPr>
              <w:jc w:val="center"/>
              <w:rPr>
                <w:rFonts w:ascii="仿宋" w:hAnsi="仿宋" w:eastAsia="仿宋"/>
              </w:rPr>
            </w:pPr>
          </w:p>
        </w:tc>
      </w:tr>
      <w:tr>
        <w:tblPrEx>
          <w:shd w:val="clear" w:color="auto" w:fill="FFFFFF"/>
          <w:tblCellMar>
            <w:top w:w="15" w:type="dxa"/>
            <w:left w:w="15" w:type="dxa"/>
            <w:bottom w:w="15" w:type="dxa"/>
            <w:right w:w="15" w:type="dxa"/>
          </w:tblCellMar>
        </w:tblPrEx>
        <w:trPr>
          <w:trHeight w:val="441"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教育部</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高等职业学校关务与外贸服务专业教学标准</w:t>
            </w:r>
          </w:p>
          <w:p>
            <w:pPr>
              <w:jc w:val="center"/>
              <w:rPr>
                <w:rFonts w:ascii="仿宋" w:hAnsi="仿宋" w:eastAsia="仿宋"/>
              </w:rPr>
            </w:pPr>
          </w:p>
        </w:tc>
      </w:tr>
      <w:tr>
        <w:tblPrEx>
          <w:shd w:val="clear" w:color="auto" w:fill="FFFFFF"/>
          <w:tblCellMar>
            <w:top w:w="15" w:type="dxa"/>
            <w:left w:w="15" w:type="dxa"/>
            <w:bottom w:w="15" w:type="dxa"/>
            <w:right w:w="15" w:type="dxa"/>
          </w:tblCellMar>
        </w:tblPrEx>
        <w:trPr>
          <w:trHeight w:val="441"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6</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教育部</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高等职业学校商务英语专业教学标准</w:t>
            </w:r>
          </w:p>
          <w:p>
            <w:pPr>
              <w:jc w:val="center"/>
              <w:rPr>
                <w:rFonts w:ascii="仿宋" w:hAnsi="仿宋" w:eastAsia="仿宋"/>
              </w:rPr>
            </w:pPr>
          </w:p>
        </w:tc>
      </w:tr>
    </w:tbl>
    <w:p>
      <w:pPr>
        <w:widowControl w:val="0"/>
        <w:spacing w:line="360" w:lineRule="auto"/>
        <w:ind w:firstLine="560" w:firstLineChars="200"/>
        <w:jc w:val="both"/>
        <w:outlineLvl w:val="1"/>
        <w:rPr>
          <w:rFonts w:hint="eastAsia" w:ascii="仿宋" w:hAnsi="仿宋" w:eastAsia="仿宋" w:cs="宋体"/>
          <w:bCs/>
          <w:sz w:val="28"/>
          <w:szCs w:val="28"/>
        </w:rPr>
      </w:pPr>
      <w:r>
        <w:rPr>
          <w:rFonts w:hint="eastAsia" w:ascii="仿宋" w:hAnsi="仿宋" w:eastAsia="仿宋" w:cs="宋体"/>
          <w:bCs/>
          <w:sz w:val="28"/>
          <w:szCs w:val="28"/>
        </w:rPr>
        <w:t xml:space="preserve">（二）国际惯例（International Conventions) </w:t>
      </w:r>
    </w:p>
    <w:tbl>
      <w:tblPr>
        <w:tblStyle w:val="10"/>
        <w:tblW w:w="8500" w:type="dxa"/>
        <w:tblInd w:w="0" w:type="dxa"/>
        <w:shd w:val="clear" w:color="auto" w:fill="FFFFFF"/>
        <w:tblLayout w:type="autofit"/>
        <w:tblCellMar>
          <w:top w:w="15" w:type="dxa"/>
          <w:left w:w="15" w:type="dxa"/>
          <w:bottom w:w="15" w:type="dxa"/>
          <w:right w:w="15" w:type="dxa"/>
        </w:tblCellMar>
      </w:tblPr>
      <w:tblGrid>
        <w:gridCol w:w="846"/>
        <w:gridCol w:w="7654"/>
      </w:tblGrid>
      <w:tr>
        <w:tblPrEx>
          <w:tblCellMar>
            <w:top w:w="15" w:type="dxa"/>
            <w:left w:w="15" w:type="dxa"/>
            <w:bottom w:w="15" w:type="dxa"/>
            <w:right w:w="15" w:type="dxa"/>
          </w:tblCellMar>
        </w:tblPrEx>
        <w:trPr>
          <w:trHeight w:val="451"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序号</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国际惯例名称</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1</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联合国国际贸易法委员会《联合国国际货物销售合同公约》(the United Nations Convention on Contracts for the International Sale of Goods)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2</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国际商会《2020国际贸易术语解释通则》(IncotermsInternationalRules for the Interpretation of Trade Terms)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3</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shd w:val="clear" w:color="auto" w:fill="FFFFFF"/>
              <w:rPr>
                <w:rFonts w:ascii="仿宋" w:hAnsi="仿宋" w:eastAsia="仿宋"/>
              </w:rPr>
            </w:pPr>
            <w:r>
              <w:rPr>
                <w:rFonts w:hint="eastAsia" w:ascii="仿宋" w:hAnsi="仿宋" w:eastAsia="仿宋"/>
              </w:rPr>
              <w:t xml:space="preserve">国际商会《跟单信用证统一惯例（UCP600)》(Uniform Customs and Practice for Documentary Credits) </w:t>
            </w:r>
          </w:p>
        </w:tc>
      </w:tr>
      <w:tr>
        <w:tblPrEx>
          <w:tblCellMar>
            <w:top w:w="15" w:type="dxa"/>
            <w:left w:w="15" w:type="dxa"/>
            <w:bottom w:w="15" w:type="dxa"/>
            <w:right w:w="15" w:type="dxa"/>
          </w:tblCellMar>
        </w:tblPrEx>
        <w:trPr>
          <w:trHeight w:val="468"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4</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shd w:val="clear" w:color="auto" w:fill="FFFFFF"/>
              <w:rPr>
                <w:rFonts w:ascii="仿宋" w:hAnsi="仿宋" w:eastAsia="仿宋"/>
              </w:rPr>
            </w:pPr>
            <w:r>
              <w:rPr>
                <w:rFonts w:hint="eastAsia" w:ascii="仿宋" w:hAnsi="仿宋" w:eastAsia="仿宋"/>
              </w:rPr>
              <w:t>国际商会《托收统一规则（URC522)》(Uniform Rules for Collections)</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5</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shd w:val="clear" w:color="auto" w:fill="FFFFFF"/>
              <w:rPr>
                <w:rFonts w:ascii="仿宋" w:hAnsi="仿宋" w:eastAsia="仿宋"/>
              </w:rPr>
            </w:pPr>
            <w:r>
              <w:rPr>
                <w:rFonts w:hint="eastAsia" w:ascii="仿宋" w:hAnsi="仿宋" w:eastAsia="仿宋"/>
              </w:rPr>
              <w:t>世界海关组织《商品名称及编码协调制度》(The Harmonized Commodity Description and Coding System)</w:t>
            </w:r>
          </w:p>
        </w:tc>
      </w:tr>
    </w:tbl>
    <w:p>
      <w:pPr>
        <w:widowControl w:val="0"/>
        <w:spacing w:line="360" w:lineRule="auto"/>
        <w:ind w:firstLine="560" w:firstLineChars="200"/>
        <w:jc w:val="both"/>
        <w:outlineLvl w:val="1"/>
        <w:rPr>
          <w:rFonts w:hint="eastAsia" w:ascii="仿宋" w:hAnsi="仿宋" w:eastAsia="仿宋" w:cs="宋体"/>
          <w:bCs/>
          <w:sz w:val="28"/>
          <w:szCs w:val="28"/>
        </w:rPr>
      </w:pPr>
      <w:r>
        <w:rPr>
          <w:rFonts w:hint="eastAsia" w:ascii="仿宋" w:hAnsi="仿宋" w:eastAsia="仿宋" w:cs="宋体"/>
          <w:bCs/>
          <w:sz w:val="28"/>
          <w:szCs w:val="28"/>
        </w:rPr>
        <w:t>（三）国家及行业标准（National and Industrial Standards)</w:t>
      </w:r>
    </w:p>
    <w:tbl>
      <w:tblPr>
        <w:tblStyle w:val="10"/>
        <w:tblW w:w="8500" w:type="dxa"/>
        <w:tblInd w:w="0" w:type="dxa"/>
        <w:shd w:val="clear" w:color="auto" w:fill="FFFFFF"/>
        <w:tblLayout w:type="autofit"/>
        <w:tblCellMar>
          <w:top w:w="15" w:type="dxa"/>
          <w:left w:w="15" w:type="dxa"/>
          <w:bottom w:w="15" w:type="dxa"/>
          <w:right w:w="15" w:type="dxa"/>
        </w:tblCellMar>
      </w:tblPr>
      <w:tblGrid>
        <w:gridCol w:w="846"/>
        <w:gridCol w:w="2126"/>
        <w:gridCol w:w="5528"/>
      </w:tblGrid>
      <w:tr>
        <w:tblPrEx>
          <w:tblCellMar>
            <w:top w:w="15" w:type="dxa"/>
            <w:left w:w="15" w:type="dxa"/>
            <w:bottom w:w="15" w:type="dxa"/>
            <w:right w:w="15" w:type="dxa"/>
          </w:tblCellMar>
        </w:tblPrEx>
        <w:trPr>
          <w:trHeight w:val="494"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hint="eastAsia" w:ascii="仿宋" w:hAnsi="仿宋" w:eastAsia="仿宋"/>
              </w:rPr>
            </w:pPr>
            <w:r>
              <w:rPr>
                <w:rFonts w:hint="eastAsia" w:ascii="仿宋" w:hAnsi="仿宋" w:eastAsia="仿宋"/>
              </w:rPr>
              <w:t>序号</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hint="eastAsia" w:ascii="仿宋" w:hAnsi="仿宋" w:eastAsia="仿宋"/>
              </w:rPr>
            </w:pPr>
            <w:r>
              <w:rPr>
                <w:rFonts w:hint="eastAsia" w:ascii="仿宋" w:hAnsi="仿宋" w:eastAsia="仿宋"/>
              </w:rPr>
              <w:t>标准号</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pPr>
            <w:r>
              <w:rPr>
                <w:rFonts w:hint="eastAsia" w:ascii="仿宋" w:hAnsi="仿宋" w:eastAsia="仿宋"/>
              </w:rPr>
              <w:t>标准名称</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1</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GB/T 41126-2021</w:t>
            </w:r>
          </w:p>
          <w:p>
            <w:pPr>
              <w:jc w:val="center"/>
              <w:rPr>
                <w:rFonts w:ascii="仿宋" w:hAnsi="仿宋" w:eastAsia="仿宋"/>
              </w:rPr>
            </w:pP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跨境电子商务出口经营主体信息描述规范 (Cross-border E-commerce Specificationfor Information Description of Export Business Entities)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2</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GB/T 41128-2021</w:t>
            </w:r>
          </w:p>
          <w:p>
            <w:pPr>
              <w:jc w:val="center"/>
              <w:rPr>
                <w:rFonts w:ascii="仿宋" w:hAnsi="仿宋" w:eastAsia="仿宋"/>
              </w:rPr>
            </w:pP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跨境电子商务出口商品信息描述规范（Cross-border E-commerce Specification for Information Description of Export Commodities)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3</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GB/T 40105-2021</w:t>
            </w:r>
          </w:p>
          <w:p>
            <w:pPr>
              <w:jc w:val="center"/>
              <w:rPr>
                <w:rFonts w:ascii="仿宋" w:hAnsi="仿宋" w:eastAsia="仿宋"/>
              </w:rPr>
            </w:pP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跨境电子商务交易要求（Cross-border E-commerce Transaction Requirements)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4</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GB/T 40290-2021</w:t>
            </w:r>
          </w:p>
          <w:p>
            <w:pPr>
              <w:jc w:val="center"/>
              <w:rPr>
                <w:rFonts w:ascii="仿宋" w:hAnsi="仿宋" w:eastAsia="仿宋"/>
              </w:rPr>
            </w:pP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跨境电子商务进口商品信息发布规范（Cross-border E-commerce Specification for Information Release of Imported Goods)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5</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GB/T 40292-2021</w:t>
            </w:r>
          </w:p>
          <w:p>
            <w:pPr>
              <w:jc w:val="center"/>
              <w:rPr>
                <w:rFonts w:ascii="仿宋" w:hAnsi="仿宋" w:eastAsia="仿宋"/>
              </w:rPr>
            </w:pP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hint="eastAsia" w:ascii="仿宋" w:hAnsi="仿宋" w:eastAsia="仿宋"/>
                <w:lang w:eastAsia="zh-CN"/>
              </w:rPr>
            </w:pPr>
            <w:r>
              <w:rPr>
                <w:rFonts w:hint="eastAsia" w:ascii="仿宋" w:hAnsi="仿宋" w:eastAsia="仿宋"/>
              </w:rPr>
              <w:t>跨境电子商务电子运单规范</w:t>
            </w:r>
          </w:p>
          <w:p>
            <w:pPr>
              <w:spacing w:before="100" w:beforeAutospacing="1" w:after="100" w:afterAutospacing="1"/>
              <w:rPr>
                <w:rFonts w:ascii="仿宋" w:hAnsi="仿宋" w:eastAsia="仿宋"/>
              </w:rPr>
            </w:pPr>
            <w:r>
              <w:rPr>
                <w:rFonts w:hint="eastAsia" w:ascii="仿宋" w:hAnsi="仿宋" w:eastAsia="仿宋"/>
              </w:rPr>
              <w:t xml:space="preserve">(Cross-border E-commerce Electronic Waybill Specifications)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6</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GB/T 39676-2020</w:t>
            </w:r>
          </w:p>
          <w:p>
            <w:pPr>
              <w:jc w:val="center"/>
              <w:rPr>
                <w:rFonts w:ascii="仿宋" w:hAnsi="仿宋" w:eastAsia="仿宋"/>
              </w:rPr>
            </w:pP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跨境电子商务物流信息申报和支付信息申报电子单 证（Cross-border E-commerce Electronic Documents for Logistics Information Declaration and Payment Information Declaration)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7</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GB/T 37146-2018</w:t>
            </w:r>
          </w:p>
          <w:p>
            <w:pPr>
              <w:jc w:val="center"/>
              <w:rPr>
                <w:rFonts w:ascii="仿宋" w:hAnsi="仿宋" w:eastAsia="仿宋"/>
              </w:rPr>
            </w:pP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跨境电子商务电子舱单基础信息描述（Cross-border E-commerce Basic Information Description of Electronic Manifest)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8</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GB/T 37147-2018</w:t>
            </w:r>
          </w:p>
          <w:p>
            <w:pPr>
              <w:jc w:val="center"/>
              <w:rPr>
                <w:rFonts w:ascii="仿宋" w:hAnsi="仿宋" w:eastAsia="仿宋"/>
              </w:rPr>
            </w:pP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跨境电子商务电子订单基础信息描述（Cross-border E-commerce Basic Information Description of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 xml:space="preserve">9 </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jc w:val="center"/>
              <w:rPr>
                <w:rFonts w:ascii="仿宋" w:hAnsi="仿宋" w:eastAsia="仿宋"/>
              </w:rPr>
            </w:pPr>
            <w:r>
              <w:rPr>
                <w:rFonts w:hint="eastAsia" w:ascii="仿宋" w:hAnsi="仿宋" w:eastAsia="仿宋"/>
              </w:rPr>
              <w:t>GB/T 37148-2018</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跨境电子商务电子报关单基础信息描述 (Cross-border E-commerce Basic Information Description of Electronic Customs Declaration)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 xml:space="preserve">10 </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jc w:val="center"/>
              <w:rPr>
                <w:rFonts w:ascii="仿宋" w:hAnsi="仿宋" w:eastAsia="仿宋"/>
              </w:rPr>
            </w:pPr>
            <w:r>
              <w:rPr>
                <w:rFonts w:hint="eastAsia" w:ascii="仿宋" w:hAnsi="仿宋" w:eastAsia="仿宋"/>
              </w:rPr>
              <w:t>GB/T 30055-2013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国际货运代理报关服务质量要求（Quality Requirements for Customs Declaration Service of International Freight Forwarders)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 xml:space="preserve">11 </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jc w:val="center"/>
              <w:rPr>
                <w:rFonts w:ascii="仿宋" w:hAnsi="仿宋" w:eastAsia="仿宋"/>
              </w:rPr>
            </w:pPr>
            <w:r>
              <w:rPr>
                <w:rFonts w:hint="eastAsia" w:ascii="仿宋" w:hAnsi="仿宋" w:eastAsia="仿宋"/>
              </w:rPr>
              <w:t>GB/T 39456-2020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国际贸易业务流程规范订单处理（International Trade Business Process Specification Order Processing)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 xml:space="preserve">12 </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jc w:val="center"/>
              <w:rPr>
                <w:rFonts w:ascii="仿宋" w:hAnsi="仿宋" w:eastAsia="仿宋"/>
              </w:rPr>
            </w:pPr>
            <w:r>
              <w:rPr>
                <w:rFonts w:hint="eastAsia" w:ascii="仿宋" w:hAnsi="仿宋" w:eastAsia="仿宋"/>
              </w:rPr>
              <w:t>GB/T 39455-2020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国际贸易业务流程规范货运代理（International Trade Business Process Specification Freight Forwarding)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 xml:space="preserve">13 </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hint="eastAsia" w:ascii="仿宋" w:hAnsi="仿宋" w:eastAsia="仿宋"/>
              </w:rPr>
              <w:t>HS/T 32-2010</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报关服务作业规范（Operation Specification for Customs Declaration Service) </w:t>
            </w:r>
          </w:p>
        </w:tc>
      </w:tr>
      <w:tr>
        <w:tblPrEx>
          <w:shd w:val="clear" w:color="auto" w:fill="FFFFFF"/>
          <w:tblCellMar>
            <w:top w:w="15" w:type="dxa"/>
            <w:left w:w="15" w:type="dxa"/>
            <w:bottom w:w="15" w:type="dxa"/>
            <w:right w:w="15" w:type="dxa"/>
          </w:tblCellMar>
        </w:tblPrEx>
        <w:trPr>
          <w:trHeight w:val="408"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1</w:t>
            </w:r>
            <w:r>
              <w:rPr>
                <w:rFonts w:ascii="仿宋" w:hAnsi="仿宋" w:eastAsia="仿宋"/>
              </w:rPr>
              <w:t>4</w:t>
            </w:r>
          </w:p>
        </w:tc>
        <w:tc>
          <w:tcPr>
            <w:tcW w:w="2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rPr>
            </w:pPr>
            <w:r>
              <w:rPr>
                <w:rFonts w:ascii="仿宋" w:hAnsi="仿宋" w:eastAsia="仿宋"/>
              </w:rPr>
              <w:t>HS/T 38-2013</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报关服务质量要求（Quality Requirements for Customs Declaration Service)</w:t>
            </w:r>
          </w:p>
        </w:tc>
      </w:tr>
    </w:tbl>
    <w:p>
      <w:pPr>
        <w:widowControl w:val="0"/>
        <w:spacing w:line="360" w:lineRule="auto"/>
        <w:ind w:firstLine="560" w:firstLineChars="200"/>
        <w:jc w:val="both"/>
        <w:outlineLvl w:val="1"/>
        <w:rPr>
          <w:rFonts w:hint="eastAsia" w:ascii="仿宋" w:hAnsi="仿宋" w:eastAsia="仿宋" w:cs="宋体"/>
          <w:bCs/>
          <w:sz w:val="28"/>
          <w:szCs w:val="28"/>
        </w:rPr>
      </w:pPr>
      <w:r>
        <w:rPr>
          <w:rFonts w:hint="eastAsia" w:ascii="仿宋" w:hAnsi="仿宋" w:eastAsia="仿宋" w:cs="宋体"/>
          <w:bCs/>
          <w:sz w:val="28"/>
          <w:szCs w:val="28"/>
        </w:rPr>
        <w:t>（四）国家法规（National Regulations)</w:t>
      </w:r>
    </w:p>
    <w:tbl>
      <w:tblPr>
        <w:tblStyle w:val="10"/>
        <w:tblW w:w="8500" w:type="dxa"/>
        <w:tblInd w:w="0" w:type="dxa"/>
        <w:shd w:val="clear" w:color="auto" w:fill="FFFFFF"/>
        <w:tblLayout w:type="autofit"/>
        <w:tblCellMar>
          <w:top w:w="15" w:type="dxa"/>
          <w:left w:w="15" w:type="dxa"/>
          <w:bottom w:w="15" w:type="dxa"/>
          <w:right w:w="15" w:type="dxa"/>
        </w:tblCellMar>
      </w:tblPr>
      <w:tblGrid>
        <w:gridCol w:w="846"/>
        <w:gridCol w:w="7654"/>
      </w:tblGrid>
      <w:tr>
        <w:tblPrEx>
          <w:shd w:val="clear" w:color="auto" w:fill="FFFFFF"/>
          <w:tblCellMar>
            <w:top w:w="15" w:type="dxa"/>
            <w:left w:w="15" w:type="dxa"/>
            <w:bottom w:w="15" w:type="dxa"/>
            <w:right w:w="15" w:type="dxa"/>
          </w:tblCellMar>
        </w:tblPrEx>
        <w:trPr>
          <w:trHeight w:val="506"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序号</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法规名称</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1</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《中华人民共和国进出口关税条例》(Regulations of the People's Republic of China on Import and Export Tariffs)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2</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《中华人民共和国进出口货物原产地条例》(Regulations of the People's Republic of China on the Origin of Imported and Exported Goods)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3</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《中华人民共和国海关进出口货物查验管理办法》(Administrative Measures for the Inspection of Imported and Exported Goods by the Customs of the People's Republic of China)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4</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《中华人民共和国海关进出口货物报关单填制规范》(Specification for Filling in Import and Export Goods Declaration Form of the Customs of the People's Republic of China) </w:t>
            </w:r>
          </w:p>
        </w:tc>
      </w:tr>
      <w:tr>
        <w:tblPrEx>
          <w:tblCellMar>
            <w:top w:w="15" w:type="dxa"/>
            <w:left w:w="15" w:type="dxa"/>
            <w:bottom w:w="15" w:type="dxa"/>
            <w:right w:w="15"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5</w:t>
            </w:r>
          </w:p>
        </w:tc>
        <w:tc>
          <w:tcPr>
            <w:tcW w:w="7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仿宋" w:hAnsi="仿宋" w:eastAsia="仿宋"/>
              </w:rPr>
            </w:pPr>
            <w:r>
              <w:rPr>
                <w:rFonts w:hint="eastAsia" w:ascii="仿宋" w:hAnsi="仿宋" w:eastAsia="仿宋"/>
              </w:rPr>
              <w:t xml:space="preserve">《关于跨境电子商务零售进出口商品有关监管事宜的公告》(Announcement on the Supervision of Cross-border E-commerce Retail Import and Export Commodities) </w:t>
            </w:r>
          </w:p>
        </w:tc>
      </w:tr>
    </w:tbl>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八、技术环境</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（一）</w:t>
      </w:r>
      <w:r>
        <w:rPr>
          <w:rFonts w:hint="eastAsia" w:ascii="仿宋" w:hAnsi="仿宋" w:eastAsia="仿宋"/>
          <w:bCs/>
          <w:sz w:val="28"/>
          <w:szCs w:val="28"/>
          <w:lang w:val="en-US" w:eastAsia="zh-CN"/>
        </w:rPr>
        <w:t>场地</w:t>
      </w:r>
      <w:r>
        <w:rPr>
          <w:rFonts w:hint="eastAsia" w:ascii="仿宋" w:hAnsi="仿宋" w:eastAsia="仿宋"/>
          <w:bCs/>
          <w:sz w:val="28"/>
          <w:szCs w:val="28"/>
        </w:rPr>
        <w:t>环境要求</w:t>
      </w:r>
    </w:p>
    <w:p>
      <w:pPr>
        <w:widowControl w:val="0"/>
        <w:spacing w:line="360" w:lineRule="auto"/>
        <w:ind w:firstLine="560" w:firstLineChars="20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竞赛场地设在体育馆内或电脑机房，场地满足所有团队的竞赛环境。</w:t>
      </w:r>
    </w:p>
    <w:p>
      <w:pPr>
        <w:widowControl w:val="0"/>
        <w:spacing w:line="360" w:lineRule="auto"/>
        <w:ind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2.</w:t>
      </w:r>
      <w:r>
        <w:rPr>
          <w:rFonts w:hint="eastAsia" w:ascii="仿宋" w:hAnsi="仿宋" w:eastAsia="仿宋"/>
          <w:bCs/>
          <w:color w:val="000000" w:themeColor="text1"/>
          <w:sz w:val="28"/>
          <w:szCs w:val="28"/>
          <w14:textFill>
            <w14:solidFill>
              <w14:schemeClr w14:val="tx1"/>
            </w14:solidFill>
          </w14:textFill>
        </w:rPr>
        <w:t>赛场各赛位统一使用清晰的工位标识，一个参赛队一个工位，每个工位</w:t>
      </w:r>
      <w:r>
        <w:rPr>
          <w:rFonts w:hint="eastAsia" w:ascii="仿宋" w:hAnsi="仿宋" w:eastAsia="仿宋"/>
          <w:bCs/>
          <w:color w:val="000000" w:themeColor="text1"/>
          <w:sz w:val="28"/>
          <w:szCs w:val="28"/>
          <w:lang w:val="en-US" w:eastAsia="zh-CN"/>
          <w14:textFill>
            <w14:solidFill>
              <w14:schemeClr w14:val="tx1"/>
            </w14:solidFill>
          </w14:textFill>
        </w:rPr>
        <w:t>四</w:t>
      </w:r>
      <w:bookmarkStart w:id="0" w:name="_GoBack"/>
      <w:bookmarkEnd w:id="0"/>
      <w:r>
        <w:rPr>
          <w:rFonts w:hint="eastAsia" w:ascii="仿宋" w:hAnsi="仿宋" w:eastAsia="仿宋"/>
          <w:bCs/>
          <w:color w:val="000000" w:themeColor="text1"/>
          <w:sz w:val="28"/>
          <w:szCs w:val="28"/>
          <w14:textFill>
            <w14:solidFill>
              <w14:schemeClr w14:val="tx1"/>
            </w14:solidFill>
          </w14:textFill>
        </w:rPr>
        <w:t>台电脑，其中一台备用，两张桌子，四把椅子。</w:t>
      </w:r>
    </w:p>
    <w:p>
      <w:pPr>
        <w:widowControl w:val="0"/>
        <w:spacing w:line="360" w:lineRule="auto"/>
        <w:ind w:firstLine="560" w:firstLineChars="200"/>
        <w:rPr>
          <w:rFonts w:ascii="仿宋" w:hAnsi="仿宋" w:eastAsia="仿宋" w:cs="宋体"/>
          <w:bCs/>
          <w:sz w:val="28"/>
          <w:szCs w:val="28"/>
        </w:rPr>
      </w:pPr>
      <w:r>
        <w:rPr>
          <w:rFonts w:ascii="仿宋" w:hAnsi="仿宋" w:eastAsia="仿宋" w:cs="宋体"/>
          <w:bCs/>
          <w:sz w:val="28"/>
          <w:szCs w:val="28"/>
        </w:rPr>
        <w:t>3.</w:t>
      </w:r>
      <w:r>
        <w:rPr>
          <w:rFonts w:hint="eastAsia" w:ascii="仿宋" w:hAnsi="仿宋" w:eastAsia="仿宋" w:cs="宋体"/>
          <w:bCs/>
          <w:sz w:val="28"/>
          <w:szCs w:val="28"/>
        </w:rPr>
        <w:t>竞赛场地内设置背景板、宣传横幅及壁挂图，营造竞赛氛围。</w:t>
      </w:r>
    </w:p>
    <w:p>
      <w:pPr>
        <w:widowControl w:val="0"/>
        <w:spacing w:line="360" w:lineRule="auto"/>
        <w:ind w:firstLine="560" w:firstLineChars="200"/>
        <w:rPr>
          <w:rFonts w:ascii="仿宋" w:hAnsi="仿宋" w:eastAsia="仿宋" w:cs="宋体"/>
          <w:bCs/>
          <w:sz w:val="28"/>
          <w:szCs w:val="28"/>
        </w:rPr>
      </w:pPr>
      <w:r>
        <w:rPr>
          <w:rFonts w:ascii="仿宋" w:hAnsi="仿宋" w:eastAsia="仿宋" w:cs="宋体"/>
          <w:bCs/>
          <w:sz w:val="28"/>
          <w:szCs w:val="28"/>
        </w:rPr>
        <w:t>4.</w:t>
      </w:r>
      <w:r>
        <w:rPr>
          <w:rFonts w:hint="eastAsia" w:ascii="仿宋" w:hAnsi="仿宋" w:eastAsia="仿宋" w:cs="宋体"/>
          <w:bCs/>
          <w:sz w:val="28"/>
          <w:szCs w:val="28"/>
        </w:rPr>
        <w:t>局域网络，不连接Internet或其他公共网络。采用星形网络拓扑结构，安装千兆交换机，网线与电源线隐蔽铺设。</w:t>
      </w:r>
    </w:p>
    <w:p>
      <w:pPr>
        <w:widowControl w:val="0"/>
        <w:spacing w:line="360" w:lineRule="auto"/>
        <w:ind w:firstLine="560" w:firstLineChars="200"/>
        <w:rPr>
          <w:rFonts w:ascii="仿宋" w:hAnsi="仿宋" w:eastAsia="仿宋" w:cs="宋体"/>
          <w:bCs/>
          <w:sz w:val="28"/>
          <w:szCs w:val="28"/>
        </w:rPr>
      </w:pPr>
      <w:r>
        <w:rPr>
          <w:rFonts w:ascii="仿宋" w:hAnsi="仿宋" w:eastAsia="仿宋" w:cs="宋体"/>
          <w:bCs/>
          <w:sz w:val="28"/>
          <w:szCs w:val="28"/>
        </w:rPr>
        <w:t>5.</w:t>
      </w:r>
      <w:r>
        <w:rPr>
          <w:rFonts w:hint="eastAsia" w:ascii="仿宋" w:hAnsi="仿宋" w:eastAsia="仿宋" w:cs="宋体"/>
          <w:bCs/>
          <w:sz w:val="28"/>
          <w:szCs w:val="28"/>
        </w:rPr>
        <w:t>利用UPS防止现场因突然断电导致的系统数据丢失，额定功率：3kW，后备时间：2小时，电池类型：输出电压：230V±5%。</w:t>
      </w:r>
    </w:p>
    <w:p>
      <w:pPr>
        <w:widowControl w:val="0"/>
        <w:spacing w:line="360" w:lineRule="auto"/>
        <w:ind w:firstLine="560" w:firstLineChars="200"/>
        <w:outlineLvl w:val="1"/>
        <w:rPr>
          <w:rFonts w:ascii="仿宋" w:hAnsi="仿宋" w:eastAsia="仿宋"/>
          <w:bCs/>
          <w:sz w:val="28"/>
          <w:szCs w:val="28"/>
          <w:highlight w:val="none"/>
        </w:rPr>
      </w:pPr>
      <w:r>
        <w:rPr>
          <w:rFonts w:hint="eastAsia" w:ascii="仿宋" w:hAnsi="仿宋" w:eastAsia="仿宋"/>
          <w:bCs/>
          <w:sz w:val="28"/>
          <w:szCs w:val="28"/>
          <w:highlight w:val="none"/>
        </w:rPr>
        <w:t>（二）技术平台</w:t>
      </w:r>
    </w:p>
    <w:p>
      <w:pPr>
        <w:widowControl w:val="0"/>
        <w:spacing w:line="360" w:lineRule="auto"/>
        <w:jc w:val="center"/>
        <w:rPr>
          <w:rFonts w:ascii="黑体" w:hAnsi="黑体" w:eastAsia="黑体"/>
          <w:bCs/>
          <w:sz w:val="28"/>
          <w:szCs w:val="28"/>
        </w:rPr>
      </w:pPr>
      <w:r>
        <w:rPr>
          <w:rFonts w:hint="eastAsia" w:ascii="黑体" w:hAnsi="黑体" w:eastAsia="黑体"/>
          <w:bCs/>
          <w:sz w:val="28"/>
          <w:szCs w:val="28"/>
        </w:rPr>
        <w:t>设备名称及技术参数表</w:t>
      </w:r>
    </w:p>
    <w:tbl>
      <w:tblPr>
        <w:tblStyle w:val="10"/>
        <w:tblW w:w="8500" w:type="dxa"/>
        <w:tblInd w:w="0" w:type="dxa"/>
        <w:shd w:val="clear" w:color="auto" w:fill="FFFFFF"/>
        <w:tblLayout w:type="autofit"/>
        <w:tblCellMar>
          <w:top w:w="15" w:type="dxa"/>
          <w:left w:w="15" w:type="dxa"/>
          <w:bottom w:w="15" w:type="dxa"/>
          <w:right w:w="15" w:type="dxa"/>
        </w:tblCellMar>
      </w:tblPr>
      <w:tblGrid>
        <w:gridCol w:w="2689"/>
        <w:gridCol w:w="5811"/>
      </w:tblGrid>
      <w:tr>
        <w:tblPrEx>
          <w:shd w:val="clear" w:color="auto" w:fill="FFFFFF"/>
          <w:tblCellMar>
            <w:top w:w="15" w:type="dxa"/>
            <w:left w:w="15" w:type="dxa"/>
            <w:bottom w:w="15" w:type="dxa"/>
            <w:right w:w="15" w:type="dxa"/>
          </w:tblCellMar>
        </w:tblPrEx>
        <w:trPr>
          <w:trHeight w:val="50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品名</w:t>
            </w:r>
          </w:p>
        </w:tc>
        <w:tc>
          <w:tcPr>
            <w:tcW w:w="5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jc w:val="center"/>
              <w:rPr>
                <w:rFonts w:ascii="仿宋" w:hAnsi="仿宋" w:eastAsia="仿宋"/>
              </w:rPr>
            </w:pPr>
            <w:r>
              <w:rPr>
                <w:rFonts w:hint="eastAsia" w:ascii="仿宋" w:hAnsi="仿宋" w:eastAsia="仿宋"/>
              </w:rPr>
              <w:t>规格要求说明</w:t>
            </w:r>
          </w:p>
        </w:tc>
      </w:tr>
      <w:tr>
        <w:tblPrEx>
          <w:tblCellMar>
            <w:top w:w="15" w:type="dxa"/>
            <w:left w:w="15" w:type="dxa"/>
            <w:bottom w:w="15" w:type="dxa"/>
            <w:right w:w="15" w:type="dxa"/>
          </w:tblCellMar>
        </w:tblPrEx>
        <w:tc>
          <w:tcPr>
            <w:tcW w:w="2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line="288" w:lineRule="auto"/>
              <w:jc w:val="center"/>
              <w:rPr>
                <w:rFonts w:ascii="仿宋" w:hAnsi="仿宋" w:eastAsia="仿宋"/>
              </w:rPr>
            </w:pPr>
            <w:r>
              <w:rPr>
                <w:rFonts w:hint="eastAsia" w:ascii="仿宋" w:hAnsi="仿宋" w:eastAsia="仿宋"/>
              </w:rPr>
              <w:t>参赛选手计算机</w:t>
            </w:r>
          </w:p>
        </w:tc>
        <w:tc>
          <w:tcPr>
            <w:tcW w:w="5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line="288" w:lineRule="auto"/>
              <w:jc w:val="both"/>
              <w:rPr>
                <w:rFonts w:ascii="仿宋" w:hAnsi="仿宋" w:eastAsia="仿宋"/>
              </w:rPr>
            </w:pPr>
            <w:r>
              <w:rPr>
                <w:rFonts w:hint="eastAsia" w:ascii="仿宋" w:hAnsi="仿宋" w:eastAsia="仿宋"/>
              </w:rPr>
              <w:t>配置要求：酷睿i5及以上CPU；8G以上内存；100G以上硬盘；千兆网卡；具有声卡；屏蔽USB等外接存储设备接口。预装 Windows7及以上操作系统；预装火狐、谷歌浏览器；预装解压缩软件；预装微软五笔、微软拼音搜狗拼音等中文输入法和英文输入法；预装 Adobe Photoshop CS6 版本；预装</w:t>
            </w:r>
            <w:r>
              <w:rPr>
                <w:rFonts w:hint="eastAsia" w:ascii="仿宋" w:hAnsi="仿宋" w:eastAsia="仿宋"/>
                <w:lang w:val="en-US" w:eastAsia="zh-CN"/>
              </w:rPr>
              <w:t>office</w:t>
            </w:r>
            <w:r>
              <w:rPr>
                <w:rFonts w:ascii="仿宋" w:hAnsi="仿宋" w:eastAsia="仿宋"/>
              </w:rPr>
              <w:t xml:space="preserve"> 201</w:t>
            </w:r>
            <w:r>
              <w:rPr>
                <w:rFonts w:hint="eastAsia" w:ascii="仿宋" w:hAnsi="仿宋" w:eastAsia="仿宋"/>
                <w:lang w:val="en-US" w:eastAsia="zh-CN"/>
              </w:rPr>
              <w:t>0或office2016</w:t>
            </w:r>
            <w:r>
              <w:rPr>
                <w:rFonts w:hint="eastAsia" w:ascii="仿宋" w:hAnsi="仿宋" w:eastAsia="仿宋"/>
              </w:rPr>
              <w:t>；预装录屏软件。</w:t>
            </w:r>
          </w:p>
        </w:tc>
      </w:tr>
      <w:tr>
        <w:tblPrEx>
          <w:tblCellMar>
            <w:top w:w="15" w:type="dxa"/>
            <w:left w:w="15" w:type="dxa"/>
            <w:bottom w:w="15" w:type="dxa"/>
            <w:right w:w="15" w:type="dxa"/>
          </w:tblCellMar>
        </w:tblPrEx>
        <w:tc>
          <w:tcPr>
            <w:tcW w:w="2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line="288" w:lineRule="auto"/>
              <w:jc w:val="center"/>
              <w:rPr>
                <w:rFonts w:ascii="仿宋" w:hAnsi="仿宋" w:eastAsia="仿宋"/>
              </w:rPr>
            </w:pPr>
            <w:r>
              <w:rPr>
                <w:rFonts w:hint="eastAsia" w:ascii="仿宋" w:hAnsi="仿宋" w:eastAsia="仿宋"/>
              </w:rPr>
              <w:t>竞赛服务器</w:t>
            </w:r>
          </w:p>
        </w:tc>
        <w:tc>
          <w:tcPr>
            <w:tcW w:w="5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line="288" w:lineRule="auto"/>
              <w:jc w:val="both"/>
              <w:rPr>
                <w:rFonts w:ascii="仿宋" w:hAnsi="仿宋" w:eastAsia="仿宋"/>
              </w:rPr>
            </w:pPr>
            <w:r>
              <w:rPr>
                <w:rFonts w:hint="eastAsia" w:ascii="仿宋" w:hAnsi="仿宋" w:eastAsia="仿宋"/>
              </w:rPr>
              <w:t>配置要求：英特尔至强</w:t>
            </w:r>
            <w:r>
              <w:rPr>
                <w:rFonts w:ascii="仿宋" w:hAnsi="仿宋" w:eastAsia="仿宋"/>
              </w:rPr>
              <w:t>E5系列 E5-2683 v4 十六核以上CPU；16GB以上内存；硬盘：500G以上；转速：10000 RPM或固态P4510；千兆网卡。预装Windows Server 2008 R2操作系统及IIS 7.5；预装Microsoft SQL Server 2008数据库</w:t>
            </w:r>
            <w:r>
              <w:rPr>
                <w:rFonts w:hint="eastAsia" w:ascii="仿宋" w:hAnsi="仿宋" w:eastAsia="仿宋"/>
              </w:rPr>
              <w:t>。</w:t>
            </w:r>
          </w:p>
        </w:tc>
      </w:tr>
      <w:tr>
        <w:tblPrEx>
          <w:shd w:val="clear" w:color="auto" w:fill="FFFFFF"/>
          <w:tblCellMar>
            <w:top w:w="15" w:type="dxa"/>
            <w:left w:w="15" w:type="dxa"/>
            <w:bottom w:w="15" w:type="dxa"/>
            <w:right w:w="15" w:type="dxa"/>
          </w:tblCellMar>
        </w:tblPrEx>
        <w:tc>
          <w:tcPr>
            <w:tcW w:w="2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line="288" w:lineRule="auto"/>
              <w:jc w:val="center"/>
              <w:rPr>
                <w:rFonts w:hint="default" w:ascii="仿宋" w:hAnsi="仿宋" w:eastAsia="仿宋"/>
                <w:lang w:val="en-US" w:eastAsia="zh-CN"/>
              </w:rPr>
            </w:pPr>
            <w:r>
              <w:rPr>
                <w:rFonts w:hint="eastAsia" w:ascii="仿宋" w:hAnsi="仿宋" w:eastAsia="仿宋"/>
                <w:lang w:val="en-US" w:eastAsia="zh-CN"/>
              </w:rPr>
              <w:t>网络连接设备</w:t>
            </w:r>
          </w:p>
        </w:tc>
        <w:tc>
          <w:tcPr>
            <w:tcW w:w="5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rPr>
                <w:rFonts w:hint="default" w:ascii="仿宋" w:hAnsi="仿宋" w:eastAsia="仿宋"/>
                <w:color w:val="000000" w:themeColor="text1"/>
                <w:lang w:val="en-US"/>
                <w14:textFill>
                  <w14:solidFill>
                    <w14:schemeClr w14:val="tx1"/>
                  </w14:solidFill>
                </w14:textFill>
              </w:rPr>
            </w:pPr>
            <w:r>
              <w:rPr>
                <w:rFonts w:ascii="仿宋_GB2312" w:hAnsi="仿宋_GB2312" w:eastAsia="仿宋_GB2312" w:cs="仿宋_GB2312"/>
                <w:color w:val="000000"/>
                <w:kern w:val="0"/>
                <w:sz w:val="24"/>
                <w:szCs w:val="24"/>
                <w:lang w:val="en-US" w:eastAsia="zh-CN" w:bidi="ar"/>
              </w:rPr>
              <w:t>提供网络布线、千兆交换机、无线</w:t>
            </w:r>
            <w:r>
              <w:rPr>
                <w:rFonts w:hint="eastAsia" w:ascii="仿宋_GB2312" w:hAnsi="仿宋_GB2312" w:eastAsia="仿宋_GB2312" w:cs="仿宋_GB2312"/>
                <w:color w:val="000000"/>
                <w:kern w:val="0"/>
                <w:sz w:val="24"/>
                <w:szCs w:val="24"/>
                <w:lang w:val="en-US" w:eastAsia="zh-CN" w:bidi="ar"/>
              </w:rPr>
              <w:t>路由器或无线AP</w:t>
            </w:r>
          </w:p>
        </w:tc>
      </w:tr>
      <w:tr>
        <w:tblPrEx>
          <w:tblCellMar>
            <w:top w:w="15" w:type="dxa"/>
            <w:left w:w="15" w:type="dxa"/>
            <w:bottom w:w="15" w:type="dxa"/>
            <w:right w:w="15" w:type="dxa"/>
          </w:tblCellMar>
        </w:tblPrEx>
        <w:tc>
          <w:tcPr>
            <w:tcW w:w="2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line="288" w:lineRule="auto"/>
              <w:jc w:val="center"/>
              <w:rPr>
                <w:rFonts w:ascii="仿宋" w:hAnsi="仿宋" w:eastAsia="仿宋"/>
              </w:rPr>
            </w:pPr>
            <w:r>
              <w:rPr>
                <w:rFonts w:hint="eastAsia" w:ascii="仿宋" w:hAnsi="仿宋" w:eastAsia="仿宋"/>
              </w:rPr>
              <w:t>竞赛设备与耗材</w:t>
            </w:r>
          </w:p>
        </w:tc>
        <w:tc>
          <w:tcPr>
            <w:tcW w:w="5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line="28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由承办方提供三脚架、补光灯、直播商品，并提供充足的备用设备。由参赛选手自带安卓（</w:t>
            </w:r>
            <w:r>
              <w:rPr>
                <w:rFonts w:ascii="仿宋" w:hAnsi="仿宋" w:eastAsia="仿宋"/>
                <w:color w:val="000000" w:themeColor="text1"/>
                <w14:textFill>
                  <w14:solidFill>
                    <w14:schemeClr w14:val="tx1"/>
                  </w14:solidFill>
                </w14:textFill>
              </w:rPr>
              <w:t>Android）手机（比赛软件仅支持安卓系统），满足前摄主摄像素500万或以上，3GB+32GB或以上；</w:t>
            </w:r>
            <w:r>
              <w:rPr>
                <w:rFonts w:hint="eastAsia" w:ascii="仿宋" w:hAnsi="仿宋" w:eastAsia="仿宋"/>
                <w:color w:val="000000" w:themeColor="text1"/>
                <w14:textFill>
                  <w14:solidFill>
                    <w14:schemeClr w14:val="tx1"/>
                  </w14:solidFill>
                </w14:textFill>
              </w:rPr>
              <w:t>由选手自带圆孔（直径</w:t>
            </w:r>
            <w:r>
              <w:rPr>
                <w:rFonts w:ascii="仿宋" w:hAnsi="仿宋" w:eastAsia="仿宋"/>
                <w:color w:val="000000" w:themeColor="text1"/>
                <w14:textFill>
                  <w14:solidFill>
                    <w14:schemeClr w14:val="tx1"/>
                  </w14:solidFill>
                </w14:textFill>
              </w:rPr>
              <w:t>3.5mm）、直插型、入耳式有线耳机，线长不低于1.5m（耳机需同时适配直播手机与竞赛电脑）</w:t>
            </w:r>
          </w:p>
        </w:tc>
      </w:tr>
      <w:tr>
        <w:tblPrEx>
          <w:tblCellMar>
            <w:top w:w="15" w:type="dxa"/>
            <w:left w:w="15" w:type="dxa"/>
            <w:bottom w:w="15" w:type="dxa"/>
            <w:right w:w="15" w:type="dxa"/>
          </w:tblCellMar>
        </w:tblPrEx>
        <w:tc>
          <w:tcPr>
            <w:tcW w:w="2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line="288" w:lineRule="auto"/>
              <w:jc w:val="center"/>
              <w:rPr>
                <w:rFonts w:ascii="仿宋" w:hAnsi="仿宋" w:eastAsia="仿宋"/>
              </w:rPr>
            </w:pPr>
            <w:r>
              <w:rPr>
                <w:rFonts w:hint="eastAsia" w:ascii="仿宋" w:hAnsi="仿宋" w:eastAsia="仿宋"/>
              </w:rPr>
              <w:t>现场布置</w:t>
            </w:r>
          </w:p>
        </w:tc>
        <w:tc>
          <w:tcPr>
            <w:tcW w:w="5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line="288" w:lineRule="auto"/>
              <w:rPr>
                <w:rFonts w:ascii="仿宋" w:hAnsi="仿宋" w:eastAsia="仿宋"/>
              </w:rPr>
            </w:pPr>
            <w:r>
              <w:rPr>
                <w:rFonts w:hint="eastAsia" w:ascii="仿宋" w:hAnsi="仿宋" w:eastAsia="仿宋"/>
              </w:rPr>
              <w:t>工位隔断、环境布置、桌椅等；提供网络布线、千兆交换机、无线网络。</w:t>
            </w:r>
          </w:p>
        </w:tc>
      </w:tr>
    </w:tbl>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九、竞赛样题</w:t>
      </w:r>
    </w:p>
    <w:p>
      <w:pPr>
        <w:widowControl w:val="0"/>
        <w:spacing w:line="360" w:lineRule="auto"/>
        <w:jc w:val="center"/>
        <w:outlineLvl w:val="1"/>
        <w:rPr>
          <w:rFonts w:ascii="仿宋" w:hAnsi="仿宋" w:eastAsia="仿宋"/>
          <w:b/>
          <w:sz w:val="28"/>
          <w:szCs w:val="28"/>
        </w:rPr>
      </w:pPr>
      <w:r>
        <w:rPr>
          <w:rFonts w:hint="eastAsia" w:ascii="仿宋" w:hAnsi="仿宋" w:eastAsia="仿宋"/>
          <w:b/>
          <w:sz w:val="28"/>
          <w:szCs w:val="28"/>
        </w:rPr>
        <w:t>模块一 跨境电子商务数据化选品与发布</w:t>
      </w:r>
    </w:p>
    <w:p>
      <w:pPr>
        <w:widowControl w:val="0"/>
        <w:spacing w:line="360" w:lineRule="auto"/>
        <w:ind w:firstLine="560"/>
        <w:jc w:val="both"/>
        <w:rPr>
          <w:rFonts w:ascii="仿宋" w:hAnsi="仿宋" w:eastAsia="仿宋"/>
          <w:bCs/>
          <w:sz w:val="28"/>
          <w:szCs w:val="28"/>
        </w:rPr>
      </w:pPr>
      <w:r>
        <w:rPr>
          <w:rFonts w:hint="eastAsia" w:ascii="仿宋" w:hAnsi="仿宋" w:eastAsia="仿宋"/>
          <w:b/>
          <w:sz w:val="28"/>
          <w:szCs w:val="28"/>
        </w:rPr>
        <w:t>任务背景：</w:t>
      </w:r>
      <w:r>
        <w:rPr>
          <w:rFonts w:hint="eastAsia" w:ascii="仿宋" w:hAnsi="仿宋" w:eastAsia="仿宋"/>
          <w:bCs/>
          <w:sz w:val="28"/>
          <w:szCs w:val="28"/>
        </w:rPr>
        <w:t>翔宇贸易有限公司是一家专注于宠物用品制造与出口的外贸企业，为海内外消费者提供高品质的产品，正积极向跨境电商方向转型。公司已拥有自己的线上购物平台，在前期市场调研的基础上，准备投入一笔专项资金，拟从宠物咀嚼玩具（Pet Chew toys)、宠物洗发露（Pet shampoo)、自动宠物饮水机（Automatic pet water dispenser)、宠物如厕训练垫（Pet Training Pads)、伸缩式狗绳（Retractable Dog Lease)、宠物粮（Pet food) 六种产品中选取4 种产品，在知名跨境电商平台开店。具体工作任务如下：</w:t>
      </w:r>
    </w:p>
    <w:p>
      <w:pPr>
        <w:widowControl w:val="0"/>
        <w:spacing w:line="360" w:lineRule="auto"/>
        <w:ind w:firstLine="560"/>
        <w:jc w:val="both"/>
        <w:rPr>
          <w:rFonts w:ascii="仿宋" w:hAnsi="仿宋" w:eastAsia="仿宋"/>
          <w:b/>
          <w:sz w:val="28"/>
          <w:szCs w:val="28"/>
        </w:rPr>
      </w:pPr>
      <w:r>
        <w:rPr>
          <w:rFonts w:hint="eastAsia" w:ascii="仿宋" w:hAnsi="仿宋" w:eastAsia="仿宋"/>
          <w:b/>
          <w:sz w:val="28"/>
          <w:szCs w:val="28"/>
        </w:rPr>
        <w:t xml:space="preserve">任务1：跨境电子商务数据化选品 </w:t>
      </w:r>
    </w:p>
    <w:p>
      <w:pPr>
        <w:widowControl w:val="0"/>
        <w:spacing w:line="360" w:lineRule="auto"/>
        <w:ind w:firstLine="560"/>
        <w:jc w:val="both"/>
        <w:rPr>
          <w:rFonts w:ascii="仿宋" w:hAnsi="仿宋" w:eastAsia="仿宋"/>
          <w:bCs/>
          <w:sz w:val="28"/>
          <w:szCs w:val="28"/>
        </w:rPr>
      </w:pPr>
      <w:r>
        <w:rPr>
          <w:rFonts w:hint="eastAsia" w:ascii="仿宋" w:hAnsi="仿宋" w:eastAsia="仿宋"/>
          <w:bCs/>
          <w:sz w:val="28"/>
          <w:szCs w:val="28"/>
        </w:rPr>
        <w:t>根据任务背景，结合提供的相关数据，运用BI数据分析工具，完成产品行业趋势分析、市场地域分布、竞争对手分析、用户画像分析、产品特征分析。</w:t>
      </w:r>
    </w:p>
    <w:p>
      <w:pPr>
        <w:widowControl w:val="0"/>
        <w:spacing w:line="360" w:lineRule="auto"/>
        <w:ind w:firstLine="560"/>
        <w:jc w:val="both"/>
        <w:rPr>
          <w:rFonts w:ascii="仿宋" w:hAnsi="仿宋" w:eastAsia="仿宋"/>
          <w:b/>
          <w:sz w:val="28"/>
          <w:szCs w:val="28"/>
        </w:rPr>
      </w:pPr>
      <w:r>
        <w:rPr>
          <w:rFonts w:hint="eastAsia" w:ascii="仿宋" w:hAnsi="仿宋" w:eastAsia="仿宋"/>
          <w:b/>
          <w:sz w:val="28"/>
          <w:szCs w:val="28"/>
        </w:rPr>
        <w:t>具体要求如下：</w:t>
      </w:r>
    </w:p>
    <w:p>
      <w:pPr>
        <w:widowControl w:val="0"/>
        <w:spacing w:line="360" w:lineRule="auto"/>
        <w:ind w:firstLine="560"/>
        <w:jc w:val="both"/>
        <w:rPr>
          <w:rFonts w:ascii="仿宋" w:hAnsi="仿宋" w:eastAsia="仿宋"/>
          <w:bCs/>
          <w:sz w:val="28"/>
          <w:szCs w:val="28"/>
        </w:rPr>
      </w:pPr>
      <w:r>
        <w:rPr>
          <w:rFonts w:hint="eastAsia" w:ascii="仿宋" w:hAnsi="仿宋" w:eastAsia="仿宋"/>
          <w:bCs/>
          <w:sz w:val="28"/>
          <w:szCs w:val="28"/>
        </w:rPr>
        <w:t>1.产品行业趋势分析：结合三年历史订单相关数据信息，运用BI数据分析工具，结合产品类型，对市场销售额等数据进行分析，从各订单类型销售额、销量、商品价格、利润率、海外仓和物流成本对比并结合商品价格区间等角度建立多维分析指标，建立宠物用品的Top50商品排行榜，了解近期跨境电商平台上热销的产品类别和趋势，分析行业发展情况，明确企业竞争优势和营销策略方向。</w:t>
      </w:r>
    </w:p>
    <w:p>
      <w:pPr>
        <w:widowControl w:val="0"/>
        <w:spacing w:line="360" w:lineRule="auto"/>
        <w:ind w:firstLine="560"/>
        <w:jc w:val="both"/>
        <w:rPr>
          <w:rFonts w:ascii="仿宋" w:hAnsi="仿宋" w:eastAsia="仿宋"/>
          <w:bCs/>
          <w:sz w:val="28"/>
          <w:szCs w:val="28"/>
        </w:rPr>
      </w:pPr>
      <w:r>
        <w:rPr>
          <w:rFonts w:hint="eastAsia" w:ascii="仿宋" w:hAnsi="仿宋" w:eastAsia="仿宋"/>
          <w:bCs/>
          <w:sz w:val="28"/>
          <w:szCs w:val="28"/>
        </w:rPr>
        <w:t>2.市场地域分布：结合三年历史订单相关数据信息，运用BI数据分析工具，结合产品类型，对不同国家或地区的市场销售额等数据进行分析，确定不同地区或国家对热销商品的需求程度，以及不同地域市场潜力和增长情况，确定产品的目标市场。</w:t>
      </w:r>
    </w:p>
    <w:p>
      <w:pPr>
        <w:widowControl w:val="0"/>
        <w:spacing w:line="360" w:lineRule="auto"/>
        <w:ind w:firstLine="560"/>
        <w:jc w:val="both"/>
        <w:rPr>
          <w:rFonts w:ascii="仿宋" w:hAnsi="仿宋" w:eastAsia="仿宋"/>
          <w:bCs/>
          <w:sz w:val="28"/>
          <w:szCs w:val="28"/>
        </w:rPr>
      </w:pPr>
      <w:r>
        <w:rPr>
          <w:rFonts w:hint="eastAsia" w:ascii="仿宋" w:hAnsi="仿宋" w:eastAsia="仿宋"/>
          <w:bCs/>
          <w:sz w:val="28"/>
          <w:szCs w:val="28"/>
        </w:rPr>
        <w:t>3.竞争对手分析：运用BI数据分析工具，结合三年竞争对手相关数据信息，从整体和商品类型等维度，对竞争对手的整体销售额和不同商品销售额等数据进行分析，从整体销售额市场占比、不同商品类型销售额竞争对比等角度建立多维分析指标，分析企业整体市场竞争潜力和不同商品竞争对手销售策略，最终确定行业领袖、实力相当的企业、实力略弱的企业，明确企业学习的标杆和真正的竞争对手。</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4.用户画像分析：结合三年客户数据信息，运用BI数据分析工具，从四类客户群体、购买频率、销售贡献等维度，对客户购买习惯进行分析，并利用图表进行呈现。</w:t>
      </w:r>
    </w:p>
    <w:p>
      <w:pPr>
        <w:widowControl w:val="0"/>
        <w:spacing w:line="360" w:lineRule="auto"/>
        <w:ind w:firstLine="560"/>
        <w:jc w:val="both"/>
        <w:rPr>
          <w:rFonts w:ascii="仿宋" w:hAnsi="仿宋" w:eastAsia="仿宋"/>
          <w:bCs/>
          <w:sz w:val="28"/>
          <w:szCs w:val="28"/>
        </w:rPr>
      </w:pPr>
      <w:r>
        <w:rPr>
          <w:rFonts w:hint="eastAsia" w:ascii="仿宋" w:hAnsi="仿宋" w:eastAsia="仿宋"/>
          <w:bCs/>
          <w:sz w:val="28"/>
          <w:szCs w:val="28"/>
        </w:rPr>
        <w:t>5.产品特征分析：结合三年历史订单数据，运用BI数据分析工具，结合销售额、销售地区等信息，分析产品特征对宠物用品销售的影响。</w:t>
      </w:r>
    </w:p>
    <w:p>
      <w:pPr>
        <w:widowControl w:val="0"/>
        <w:spacing w:line="360" w:lineRule="auto"/>
        <w:ind w:firstLine="562" w:firstLineChars="200"/>
        <w:jc w:val="both"/>
        <w:rPr>
          <w:rFonts w:ascii="仿宋" w:hAnsi="仿宋" w:eastAsia="仿宋"/>
          <w:b/>
          <w:sz w:val="28"/>
          <w:szCs w:val="28"/>
        </w:rPr>
      </w:pPr>
      <w:r>
        <w:rPr>
          <w:rFonts w:hint="eastAsia" w:ascii="仿宋" w:hAnsi="仿宋" w:eastAsia="仿宋"/>
          <w:b/>
          <w:sz w:val="28"/>
          <w:szCs w:val="28"/>
        </w:rPr>
        <w:t>任务2：跨境电子商务视觉营销设计</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根据任务背景，结合店铺定位和任务要求，利用提供的图片、音频、视频、文本等设计素材完成店铺LOGO、店招、Banner（轮播图）设计与制作以及伸缩式狗绳此款商品主图设计与制作、详情页视觉营销设计与制作、短视频视觉营销设计与制作。</w:t>
      </w:r>
    </w:p>
    <w:p>
      <w:pPr>
        <w:widowControl w:val="0"/>
        <w:spacing w:line="360" w:lineRule="auto"/>
        <w:ind w:firstLine="562" w:firstLineChars="200"/>
        <w:jc w:val="both"/>
        <w:rPr>
          <w:rFonts w:ascii="仿宋" w:hAnsi="仿宋" w:eastAsia="仿宋"/>
          <w:b/>
          <w:sz w:val="28"/>
          <w:szCs w:val="28"/>
        </w:rPr>
      </w:pPr>
      <w:r>
        <w:rPr>
          <w:rFonts w:hint="eastAsia" w:ascii="仿宋" w:hAnsi="仿宋" w:eastAsia="仿宋"/>
          <w:b/>
          <w:sz w:val="28"/>
          <w:szCs w:val="28"/>
        </w:rPr>
        <w:t>具体要求如下：</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1.店铺logo图片：尺寸为100px*100px，大小不超过200K；</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2.店招图片：尺寸为1920px*120px，采用JPG、PNG格式，大小不超过2M。</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3.Banner（轮播图）：设计2张轮播图，每张尺寸为1023像素*500像素，支持JPG、PNG图片格式，每张图大小不得超过3MB。要求一组内的图片宽度、高度必须完全一致。</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4.商品主图：设计5张商品主图，每张尺寸为800p*800像素，采用JPG、PNG格式，大小不超过1M。</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5.商品详情页：结合跨境电商店铺营销需求及产品定位，进行详情页设计与优化，包括以下内容：商品信息（图片、文本或图文混排）、商品展示（细节、包装、优点、色彩搭配及效果）、交易说明（购买、支付、收货及验货）、售后信息（退换货、保修、退款）、促销信息（促销活动及优惠方式）等。</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6.商品短视频：时长为30秒，采用mp4格式，大小在500MB内，清晰度≥480p。</w:t>
      </w:r>
    </w:p>
    <w:p>
      <w:pPr>
        <w:widowControl w:val="0"/>
        <w:spacing w:line="360" w:lineRule="auto"/>
        <w:ind w:firstLine="562" w:firstLineChars="200"/>
        <w:jc w:val="both"/>
        <w:rPr>
          <w:rFonts w:ascii="仿宋" w:hAnsi="仿宋" w:eastAsia="仿宋"/>
          <w:b/>
          <w:sz w:val="28"/>
          <w:szCs w:val="28"/>
        </w:rPr>
      </w:pPr>
      <w:r>
        <w:rPr>
          <w:rFonts w:hint="eastAsia" w:ascii="仿宋" w:hAnsi="仿宋" w:eastAsia="仿宋"/>
          <w:b/>
          <w:sz w:val="28"/>
          <w:szCs w:val="28"/>
        </w:rPr>
        <w:t>任务3：跨境电子商务商品发布</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根据任务背景，结合商品资料，选择合适的商品发布类目，撰写商品标题、进行商品定价和物流模板设置，完成伸缩式狗绳此款商品发布。</w:t>
      </w:r>
    </w:p>
    <w:p>
      <w:pPr>
        <w:widowControl w:val="0"/>
        <w:spacing w:line="360" w:lineRule="auto"/>
        <w:jc w:val="center"/>
        <w:outlineLvl w:val="1"/>
        <w:rPr>
          <w:rFonts w:hint="eastAsia" w:ascii="仿宋" w:hAnsi="仿宋" w:eastAsia="仿宋" w:cs="宋体"/>
          <w:b/>
          <w:sz w:val="28"/>
          <w:szCs w:val="28"/>
        </w:rPr>
      </w:pPr>
      <w:r>
        <w:rPr>
          <w:rFonts w:hint="eastAsia" w:ascii="仿宋" w:hAnsi="仿宋" w:eastAsia="仿宋" w:cs="宋体"/>
          <w:b/>
          <w:sz w:val="28"/>
          <w:szCs w:val="28"/>
        </w:rPr>
        <w:t>模块二 跨境电子商务数据化运营与推广</w:t>
      </w:r>
    </w:p>
    <w:p>
      <w:pPr>
        <w:widowControl w:val="0"/>
        <w:spacing w:line="360" w:lineRule="auto"/>
        <w:ind w:firstLine="562" w:firstLineChars="200"/>
        <w:jc w:val="both"/>
        <w:rPr>
          <w:rFonts w:ascii="仿宋" w:hAnsi="仿宋" w:eastAsia="仿宋"/>
          <w:b/>
          <w:sz w:val="28"/>
          <w:szCs w:val="28"/>
        </w:rPr>
      </w:pPr>
      <w:r>
        <w:rPr>
          <w:rFonts w:hint="eastAsia" w:ascii="仿宋" w:hAnsi="仿宋" w:eastAsia="仿宋"/>
          <w:b/>
          <w:sz w:val="28"/>
          <w:szCs w:val="28"/>
        </w:rPr>
        <w:t>任务1：跨境电商运营推广</w:t>
      </w:r>
    </w:p>
    <w:p>
      <w:pPr>
        <w:widowControl w:val="0"/>
        <w:spacing w:line="360" w:lineRule="auto"/>
        <w:ind w:firstLine="562" w:firstLineChars="200"/>
        <w:jc w:val="both"/>
        <w:rPr>
          <w:rFonts w:hint="default" w:ascii="仿宋" w:hAnsi="仿宋" w:eastAsia="仿宋"/>
          <w:b/>
          <w:bCs w:val="0"/>
          <w:sz w:val="28"/>
          <w:szCs w:val="28"/>
          <w:lang w:val="en-US" w:eastAsia="zh-CN"/>
        </w:rPr>
      </w:pPr>
      <w:r>
        <w:rPr>
          <w:rFonts w:hint="eastAsia" w:ascii="仿宋" w:hAnsi="仿宋" w:eastAsia="仿宋"/>
          <w:b/>
          <w:bCs w:val="0"/>
          <w:sz w:val="28"/>
          <w:szCs w:val="28"/>
          <w:lang w:val="en-US" w:eastAsia="zh-CN"/>
        </w:rPr>
        <w:t>任务背景</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考虑到店铺及产品的访客数都存在下降的情况，陈可计划先选出店铺表现数据较好的产品，然后利用站内推广帮助提升产品流量，进而提升店铺流量。请根据店铺商品核心数据和选词专家的关键词数据，结合店铺及产品信息，帮助陈可完成以下操作。</w:t>
      </w:r>
    </w:p>
    <w:p>
      <w:pPr>
        <w:widowControl w:val="0"/>
        <w:spacing w:line="360" w:lineRule="auto"/>
        <w:ind w:firstLine="562" w:firstLineChars="200"/>
        <w:jc w:val="both"/>
        <w:rPr>
          <w:rFonts w:hint="default" w:ascii="仿宋" w:hAnsi="仿宋" w:eastAsia="仿宋"/>
          <w:b/>
          <w:bCs w:val="0"/>
          <w:sz w:val="28"/>
          <w:szCs w:val="28"/>
          <w:lang w:val="en-US" w:eastAsia="zh-CN"/>
        </w:rPr>
      </w:pPr>
      <w:r>
        <w:rPr>
          <w:rFonts w:hint="eastAsia" w:ascii="仿宋" w:hAnsi="仿宋" w:eastAsia="仿宋"/>
          <w:b/>
          <w:bCs w:val="0"/>
          <w:sz w:val="28"/>
          <w:szCs w:val="28"/>
          <w:lang w:val="en-US" w:eastAsia="zh-CN"/>
        </w:rPr>
        <w:t>任务操作</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1.利用店铺商品的核心数据，通过合适的方式找出店铺销售额表现最好的10个商品。</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2.根据选词专家关键词表格选出符合该商品，同时搜索成交指数高、竞争指数相对较低的5个关键词，加入直通车。</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3.根据直通车关键词数据确定投入产出比最高的5个关键词，并写下这5个关键词。</w:t>
      </w:r>
    </w:p>
    <w:p>
      <w:pPr>
        <w:widowControl w:val="0"/>
        <w:spacing w:line="360" w:lineRule="auto"/>
        <w:ind w:firstLine="562" w:firstLineChars="200"/>
        <w:jc w:val="both"/>
        <w:rPr>
          <w:rFonts w:ascii="仿宋" w:hAnsi="仿宋" w:eastAsia="仿宋"/>
          <w:b/>
          <w:sz w:val="28"/>
          <w:szCs w:val="28"/>
        </w:rPr>
      </w:pPr>
      <w:r>
        <w:rPr>
          <w:rFonts w:hint="eastAsia" w:ascii="仿宋" w:hAnsi="仿宋" w:eastAsia="仿宋"/>
          <w:b/>
          <w:sz w:val="28"/>
          <w:szCs w:val="28"/>
        </w:rPr>
        <w:t>任务2：跨境电子商务海外直播推广</w:t>
      </w:r>
    </w:p>
    <w:p>
      <w:pPr>
        <w:widowControl w:val="0"/>
        <w:spacing w:line="360" w:lineRule="auto"/>
        <w:ind w:firstLine="562" w:firstLineChars="200"/>
        <w:jc w:val="both"/>
        <w:rPr>
          <w:rFonts w:hint="default" w:ascii="仿宋" w:hAnsi="仿宋" w:eastAsia="仿宋"/>
          <w:b/>
          <w:bCs w:val="0"/>
          <w:sz w:val="28"/>
          <w:szCs w:val="28"/>
          <w:lang w:val="en-US" w:eastAsia="zh-CN"/>
        </w:rPr>
      </w:pPr>
      <w:r>
        <w:rPr>
          <w:rFonts w:hint="eastAsia" w:ascii="仿宋" w:hAnsi="仿宋" w:eastAsia="仿宋"/>
          <w:b/>
          <w:bCs w:val="0"/>
          <w:sz w:val="28"/>
          <w:szCs w:val="28"/>
          <w:lang w:val="en-US" w:eastAsia="zh-CN"/>
        </w:rPr>
        <w:t>任务背景</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爱宠店铺（PET LOVE OFFICAL STORE）主要销售逗猫棒、猫抓板、狗粮等宠物用品类商品，网店的销量一直很可观，已经积累了很多忠实客户。恰逢店铺粉丝节活动，爱宠店铺为了回馈老客户和吸引新客户，选取逗猫棒作为直播商品，开展一次直播活动。</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请以爱宠店铺直播营销员肖涵的身份，根据商品资料和本次海外直播推广活动主题，撰写英文直播脚本，使用英文完成此款逗猫棒商品10分钟的跨境电商直播销售。</w:t>
      </w:r>
    </w:p>
    <w:p>
      <w:pPr>
        <w:widowControl w:val="0"/>
        <w:spacing w:line="360" w:lineRule="auto"/>
        <w:ind w:firstLine="562" w:firstLineChars="200"/>
        <w:jc w:val="both"/>
        <w:rPr>
          <w:rFonts w:ascii="仿宋" w:hAnsi="仿宋" w:eastAsia="仿宋"/>
          <w:b/>
          <w:sz w:val="28"/>
          <w:szCs w:val="28"/>
        </w:rPr>
      </w:pPr>
      <w:r>
        <w:rPr>
          <w:rFonts w:hint="eastAsia" w:ascii="仿宋" w:hAnsi="仿宋" w:eastAsia="仿宋"/>
          <w:b/>
          <w:sz w:val="28"/>
          <w:szCs w:val="28"/>
          <w:lang w:val="en-US" w:eastAsia="zh-CN"/>
        </w:rPr>
        <w:t>任务操作</w:t>
      </w:r>
      <w:r>
        <w:rPr>
          <w:rFonts w:hint="eastAsia" w:ascii="仿宋" w:hAnsi="仿宋" w:eastAsia="仿宋"/>
          <w:b/>
          <w:sz w:val="28"/>
          <w:szCs w:val="28"/>
        </w:rPr>
        <w:t>：</w:t>
      </w:r>
    </w:p>
    <w:p>
      <w:pPr>
        <w:widowControl w:val="0"/>
        <w:spacing w:line="360" w:lineRule="auto"/>
        <w:ind w:firstLine="560" w:firstLineChars="200"/>
        <w:jc w:val="both"/>
        <w:rPr>
          <w:rFonts w:hint="eastAsia" w:ascii="仿宋" w:hAnsi="仿宋" w:eastAsia="仿宋" w:cs="宋体"/>
          <w:bCs/>
          <w:sz w:val="28"/>
          <w:szCs w:val="28"/>
        </w:rPr>
      </w:pPr>
      <w:r>
        <w:rPr>
          <w:rFonts w:hint="eastAsia" w:ascii="仿宋" w:hAnsi="仿宋" w:eastAsia="仿宋" w:cs="宋体"/>
          <w:bCs/>
          <w:sz w:val="28"/>
          <w:szCs w:val="28"/>
        </w:rPr>
        <w:t>1.直播脚本策划</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（1）内容要求：用英文完成直播脚本撰写，内容包含开场问好、自我介绍、活动内容介绍、商品解说、品牌介绍、（功能、性能、外观等）展示、直播结尾。</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（2）格式要求：英文字体统一采用“Times New Roman”，题目三号字加粗，正文采用小四号字，1.5倍行距。</w:t>
      </w:r>
    </w:p>
    <w:p>
      <w:pPr>
        <w:widowControl w:val="0"/>
        <w:spacing w:line="360" w:lineRule="auto"/>
        <w:ind w:firstLine="560" w:firstLineChars="200"/>
        <w:jc w:val="both"/>
        <w:rPr>
          <w:rFonts w:hint="eastAsia" w:ascii="仿宋" w:hAnsi="仿宋" w:eastAsia="仿宋" w:cs="宋体"/>
          <w:bCs/>
          <w:sz w:val="28"/>
          <w:szCs w:val="28"/>
        </w:rPr>
      </w:pPr>
      <w:r>
        <w:rPr>
          <w:rFonts w:hint="eastAsia" w:ascii="仿宋" w:hAnsi="仿宋" w:eastAsia="仿宋" w:cs="宋体"/>
          <w:bCs/>
          <w:sz w:val="28"/>
          <w:szCs w:val="28"/>
        </w:rPr>
        <w:t>2.直播销售实施</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根据直播脚本，结合商品资料，利用跨境电商直播APP，完成直播开场、直播商品介绍、直播商品上架、直播间弹幕问题回复、直播间活动互动、直播收尾等一款商品的跨境电商直播销售。</w:t>
      </w:r>
    </w:p>
    <w:p>
      <w:pPr>
        <w:widowControl w:val="0"/>
        <w:spacing w:line="360" w:lineRule="auto"/>
        <w:ind w:firstLine="562" w:firstLineChars="200"/>
        <w:jc w:val="both"/>
        <w:rPr>
          <w:rFonts w:hint="eastAsia" w:ascii="仿宋" w:hAnsi="仿宋" w:eastAsia="仿宋" w:cs="宋体"/>
          <w:b/>
          <w:sz w:val="28"/>
          <w:szCs w:val="28"/>
        </w:rPr>
      </w:pPr>
      <w:r>
        <w:rPr>
          <w:rFonts w:hint="eastAsia" w:ascii="仿宋" w:hAnsi="仿宋" w:eastAsia="仿宋" w:cs="宋体"/>
          <w:b/>
          <w:sz w:val="28"/>
          <w:szCs w:val="28"/>
        </w:rPr>
        <w:t>任务3：跨境电子商务运营数据分析与应用</w:t>
      </w:r>
    </w:p>
    <w:p>
      <w:pPr>
        <w:widowControl w:val="0"/>
        <w:spacing w:line="360" w:lineRule="auto"/>
        <w:ind w:firstLine="562" w:firstLineChars="200"/>
        <w:jc w:val="both"/>
        <w:rPr>
          <w:rFonts w:hint="default" w:ascii="仿宋" w:hAnsi="仿宋" w:eastAsia="仿宋"/>
          <w:b/>
          <w:bCs w:val="0"/>
          <w:sz w:val="28"/>
          <w:szCs w:val="28"/>
          <w:lang w:val="en-US" w:eastAsia="zh-CN"/>
        </w:rPr>
      </w:pPr>
      <w:r>
        <w:rPr>
          <w:rFonts w:hint="eastAsia" w:ascii="仿宋" w:hAnsi="仿宋" w:eastAsia="仿宋"/>
          <w:b/>
          <w:bCs w:val="0"/>
          <w:sz w:val="28"/>
          <w:szCs w:val="28"/>
          <w:lang w:val="en-US" w:eastAsia="zh-CN"/>
        </w:rPr>
        <w:t>任务背景</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陈可结束一个月的店铺商品运营推广之后，想要全面了解店铺运营推广的效果。请根据最近30天店铺的销售数据，利用数据分析工具，完成以下操作。</w:t>
      </w:r>
    </w:p>
    <w:p>
      <w:pPr>
        <w:widowControl w:val="0"/>
        <w:spacing w:line="360" w:lineRule="auto"/>
        <w:ind w:firstLine="562" w:firstLineChars="200"/>
        <w:jc w:val="both"/>
        <w:rPr>
          <w:rFonts w:hint="default" w:ascii="仿宋" w:hAnsi="仿宋" w:eastAsia="仿宋"/>
          <w:b/>
          <w:bCs w:val="0"/>
          <w:sz w:val="28"/>
          <w:szCs w:val="28"/>
          <w:lang w:val="en-US" w:eastAsia="zh-CN"/>
        </w:rPr>
      </w:pPr>
      <w:r>
        <w:rPr>
          <w:rFonts w:hint="eastAsia" w:ascii="仿宋" w:hAnsi="仿宋" w:eastAsia="仿宋"/>
          <w:b/>
          <w:bCs w:val="0"/>
          <w:sz w:val="28"/>
          <w:szCs w:val="28"/>
          <w:lang w:val="en-US" w:eastAsia="zh-CN"/>
        </w:rPr>
        <w:t>操作任务</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1.利用最近30天店铺的销售数据，统计不同国家订单金额之和，并利用图表展示不同国家的订单支付金额，并指出支付金额最高的国家。</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2.利用最近30天店铺销售数据，分析买家下单时间分布情况，统计出各时间段买家下单数量，并用合适的图表展示不同时间段的订单数量。</w:t>
      </w:r>
    </w:p>
    <w:p>
      <w:pPr>
        <w:widowControl w:val="0"/>
        <w:spacing w:line="360" w:lineRule="auto"/>
        <w:ind w:firstLine="560" w:firstLineChars="200"/>
        <w:jc w:val="both"/>
        <w:rPr>
          <w:rFonts w:ascii="仿宋" w:hAnsi="仿宋" w:eastAsia="仿宋"/>
          <w:bCs/>
          <w:sz w:val="28"/>
          <w:szCs w:val="28"/>
        </w:rPr>
      </w:pPr>
      <w:r>
        <w:rPr>
          <w:rFonts w:hint="eastAsia" w:ascii="仿宋" w:hAnsi="仿宋" w:eastAsia="仿宋"/>
          <w:bCs/>
          <w:sz w:val="28"/>
          <w:szCs w:val="28"/>
        </w:rPr>
        <w:t>3.利用最近30天店铺销售数据，分析买家的物流偏好，利用图表展示不同物流方式订单数量占比情况。</w:t>
      </w:r>
    </w:p>
    <w:p>
      <w:pPr>
        <w:widowControl w:val="0"/>
        <w:spacing w:line="360" w:lineRule="auto"/>
        <w:ind w:firstLine="560" w:firstLineChars="200"/>
        <w:jc w:val="both"/>
        <w:rPr>
          <w:rFonts w:hint="eastAsia" w:ascii="仿宋" w:hAnsi="仿宋" w:eastAsia="仿宋" w:cs="宋体"/>
          <w:bCs/>
          <w:sz w:val="28"/>
          <w:szCs w:val="28"/>
        </w:rPr>
      </w:pPr>
      <w:r>
        <w:rPr>
          <w:rFonts w:hint="eastAsia" w:ascii="仿宋" w:hAnsi="仿宋" w:eastAsia="仿宋" w:cs="宋体"/>
          <w:bCs/>
          <w:sz w:val="28"/>
          <w:szCs w:val="28"/>
        </w:rPr>
        <w:t>4.根据1、2、3操作结果，撰写数据分析结论和优化方案。</w:t>
      </w:r>
    </w:p>
    <w:p>
      <w:pPr>
        <w:widowControl w:val="0"/>
        <w:spacing w:line="360" w:lineRule="auto"/>
        <w:jc w:val="center"/>
        <w:outlineLvl w:val="1"/>
        <w:rPr>
          <w:rFonts w:hint="eastAsia" w:ascii="仿宋" w:hAnsi="仿宋" w:eastAsia="仿宋" w:cs="宋体"/>
          <w:b/>
          <w:sz w:val="28"/>
          <w:szCs w:val="28"/>
        </w:rPr>
      </w:pPr>
      <w:r>
        <w:rPr>
          <w:rFonts w:hint="eastAsia" w:ascii="仿宋" w:hAnsi="仿宋" w:eastAsia="仿宋" w:cs="宋体"/>
          <w:b/>
          <w:sz w:val="28"/>
          <w:szCs w:val="28"/>
        </w:rPr>
        <w:t>模块三 跨境电子商务合规通关</w:t>
      </w:r>
    </w:p>
    <w:p>
      <w:pPr>
        <w:widowControl w:val="0"/>
        <w:spacing w:line="360" w:lineRule="auto"/>
        <w:ind w:firstLine="562" w:firstLineChars="200"/>
        <w:jc w:val="both"/>
        <w:rPr>
          <w:rFonts w:hint="eastAsia" w:ascii="仿宋" w:hAnsi="仿宋" w:eastAsia="仿宋"/>
          <w:b/>
          <w:bCs w:val="0"/>
          <w:sz w:val="28"/>
          <w:szCs w:val="28"/>
          <w:lang w:val="en-US" w:eastAsia="zh-CN"/>
        </w:rPr>
      </w:pPr>
      <w:r>
        <w:rPr>
          <w:rFonts w:hint="eastAsia" w:ascii="仿宋" w:hAnsi="仿宋" w:eastAsia="仿宋"/>
          <w:b/>
          <w:bCs w:val="0"/>
          <w:sz w:val="28"/>
          <w:szCs w:val="28"/>
          <w:lang w:val="en-US" w:eastAsia="zh-CN"/>
        </w:rPr>
        <w:t>任务背景：</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宜阳商贸有限公司（该区内企业又为报关企业）通过跨境电商平台向全球销售销售轻工纺织产品。2023年11月8日，加拿大客人在跨境电商平台上下单购买了1副太阳眼镜，宜阳商贸有限公司从所在地出口申报放行后，通过跨境电商平台提供的运输方式运至加拿大温哥华客户手中。产品信息请参看货物图片及介绍。请回答相关问题。</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商品名称：2023 新款金属高清太阳镜</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商品描述：</w:t>
      </w:r>
    </w:p>
    <w:p>
      <w:pPr>
        <w:widowControl w:val="0"/>
        <w:numPr>
          <w:ilvl w:val="0"/>
          <w:numId w:val="0"/>
        </w:numPr>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品牌：BocaJuniors/博卡青年</w:t>
      </w:r>
    </w:p>
    <w:p>
      <w:pPr>
        <w:widowControl w:val="0"/>
        <w:numPr>
          <w:ilvl w:val="0"/>
          <w:numId w:val="0"/>
        </w:numPr>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2.镜框、镜架材质：金属</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适用场景：防晒,垂钓,出游,户外</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镜片、镜架颜色：黑色</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抗 UV 等级：UV380</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6.</w:t>
      </w:r>
      <w:r>
        <w:rPr>
          <w:rFonts w:hint="eastAsia" w:ascii="仿宋" w:hAnsi="仿宋" w:eastAsia="仿宋"/>
          <w:bCs/>
          <w:sz w:val="28"/>
          <w:szCs w:val="28"/>
        </w:rPr>
        <w:t>是否支持近视镜：否</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7.</w:t>
      </w:r>
      <w:r>
        <w:rPr>
          <w:rFonts w:hint="eastAsia" w:ascii="仿宋" w:hAnsi="仿宋" w:eastAsia="仿宋"/>
          <w:bCs/>
          <w:sz w:val="28"/>
          <w:szCs w:val="28"/>
        </w:rPr>
        <w:t>镜片材质：PC</w:t>
      </w:r>
    </w:p>
    <w:p>
      <w:pPr>
        <w:widowControl w:val="0"/>
        <w:spacing w:line="360" w:lineRule="auto"/>
        <w:ind w:firstLine="280" w:firstLineChars="100"/>
        <w:jc w:val="both"/>
        <w:rPr>
          <w:rFonts w:hint="eastAsia" w:ascii="仿宋" w:hAnsi="仿宋" w:eastAsia="仿宋"/>
          <w:bCs/>
          <w:sz w:val="28"/>
          <w:szCs w:val="28"/>
        </w:rPr>
      </w:pPr>
      <w:r>
        <w:rPr>
          <w:rFonts w:hint="eastAsia" w:ascii="仿宋" w:hAnsi="仿宋" w:eastAsia="仿宋"/>
          <w:bCs/>
          <w:sz w:val="28"/>
          <w:szCs w:val="28"/>
        </w:rPr>
        <w:t>净重量：0.03kg/副</w:t>
      </w:r>
    </w:p>
    <w:p>
      <w:pPr>
        <w:widowControl w:val="0"/>
        <w:spacing w:line="360" w:lineRule="auto"/>
        <w:ind w:firstLine="280" w:firstLineChars="100"/>
        <w:jc w:val="both"/>
        <w:rPr>
          <w:rFonts w:hint="eastAsia" w:ascii="仿宋" w:hAnsi="仿宋" w:eastAsia="仿宋"/>
          <w:bCs/>
          <w:sz w:val="28"/>
          <w:szCs w:val="28"/>
        </w:rPr>
      </w:pPr>
      <w:r>
        <w:rPr>
          <w:rFonts w:hint="eastAsia" w:ascii="仿宋" w:hAnsi="仿宋" w:eastAsia="仿宋"/>
          <w:bCs/>
          <w:sz w:val="28"/>
          <w:szCs w:val="28"/>
        </w:rPr>
        <w:t>包装毛重：0.10kg</w:t>
      </w:r>
    </w:p>
    <w:p>
      <w:pPr>
        <w:widowControl w:val="0"/>
        <w:spacing w:line="360" w:lineRule="auto"/>
        <w:ind w:firstLine="280" w:firstLineChars="100"/>
        <w:jc w:val="both"/>
        <w:rPr>
          <w:rFonts w:hint="eastAsia" w:ascii="仿宋" w:hAnsi="仿宋" w:eastAsia="仿宋"/>
          <w:bCs/>
          <w:sz w:val="28"/>
          <w:szCs w:val="28"/>
        </w:rPr>
      </w:pPr>
      <w:r>
        <w:rPr>
          <w:rFonts w:hint="eastAsia" w:ascii="仿宋" w:hAnsi="仿宋" w:eastAsia="仿宋"/>
          <w:bCs/>
          <w:sz w:val="28"/>
          <w:szCs w:val="28"/>
        </w:rPr>
        <w:t>外箱规格：15×5×5cm</w:t>
      </w:r>
    </w:p>
    <w:p>
      <w:pPr>
        <w:widowControl w:val="0"/>
        <w:spacing w:line="360" w:lineRule="auto"/>
        <w:ind w:firstLine="280" w:firstLineChars="100"/>
        <w:jc w:val="both"/>
        <w:rPr>
          <w:rFonts w:hint="eastAsia" w:ascii="仿宋" w:hAnsi="仿宋" w:eastAsia="仿宋"/>
          <w:bCs/>
          <w:sz w:val="28"/>
          <w:szCs w:val="28"/>
        </w:rPr>
      </w:pPr>
      <w:r>
        <w:rPr>
          <w:rFonts w:hint="eastAsia" w:ascii="仿宋" w:hAnsi="仿宋" w:eastAsia="仿宋"/>
          <w:bCs/>
          <w:sz w:val="28"/>
          <w:szCs w:val="28"/>
        </w:rPr>
        <w:t>售价：USD3.13/个</w:t>
      </w:r>
    </w:p>
    <w:p>
      <w:pPr>
        <w:widowControl w:val="0"/>
        <w:spacing w:line="360" w:lineRule="auto"/>
        <w:ind w:firstLine="280" w:firstLineChars="100"/>
        <w:jc w:val="both"/>
        <w:rPr>
          <w:rFonts w:hint="eastAsia" w:ascii="仿宋" w:hAnsi="仿宋" w:eastAsia="仿宋"/>
          <w:bCs/>
          <w:sz w:val="28"/>
          <w:szCs w:val="28"/>
        </w:rPr>
      </w:pPr>
      <w:r>
        <w:rPr>
          <w:rFonts w:hint="eastAsia" w:ascii="仿宋" w:hAnsi="仿宋" w:eastAsia="仿宋"/>
          <w:bCs/>
          <w:sz w:val="28"/>
          <w:szCs w:val="28"/>
        </w:rPr>
        <w:t>HS编码：9004100000</w:t>
      </w:r>
    </w:p>
    <w:p>
      <w:pPr>
        <w:widowControl w:val="0"/>
        <w:spacing w:line="360" w:lineRule="auto"/>
        <w:jc w:val="both"/>
        <w:rPr>
          <w:rFonts w:hint="eastAsia" w:ascii="仿宋" w:hAnsi="仿宋" w:eastAsia="仿宋" w:cs="宋体"/>
          <w:b/>
          <w:sz w:val="28"/>
          <w:szCs w:val="28"/>
        </w:rPr>
      </w:pPr>
      <w:r>
        <w:rPr>
          <w:rFonts w:hint="eastAsia" w:ascii="仿宋" w:hAnsi="仿宋" w:eastAsia="仿宋" w:cs="宋体"/>
          <w:b/>
          <w:sz w:val="28"/>
          <w:szCs w:val="28"/>
        </w:rPr>
        <w:t xml:space="preserve">任务 </w:t>
      </w:r>
      <w:r>
        <w:rPr>
          <w:rFonts w:hint="eastAsia" w:ascii="仿宋" w:hAnsi="仿宋" w:eastAsia="仿宋" w:cs="宋体"/>
          <w:b/>
          <w:sz w:val="28"/>
          <w:szCs w:val="28"/>
          <w:lang w:val="en-US" w:eastAsia="zh-CN"/>
        </w:rPr>
        <w:t>1</w:t>
      </w:r>
      <w:r>
        <w:rPr>
          <w:rFonts w:hint="eastAsia" w:ascii="仿宋" w:hAnsi="仿宋" w:eastAsia="仿宋" w:cs="宋体"/>
          <w:b/>
          <w:sz w:val="28"/>
          <w:szCs w:val="28"/>
        </w:rPr>
        <w:t xml:space="preserve"> 跨境电子商务物流方案设计</w:t>
      </w:r>
    </w:p>
    <w:p>
      <w:pPr>
        <w:widowControl w:val="0"/>
        <w:spacing w:line="360" w:lineRule="auto"/>
        <w:ind w:firstLine="562" w:firstLineChars="200"/>
        <w:jc w:val="both"/>
        <w:rPr>
          <w:rFonts w:hint="eastAsia" w:ascii="仿宋" w:hAnsi="仿宋" w:eastAsia="仿宋"/>
          <w:b/>
          <w:bCs w:val="0"/>
          <w:sz w:val="28"/>
          <w:szCs w:val="28"/>
        </w:rPr>
      </w:pPr>
      <w:r>
        <w:rPr>
          <w:rFonts w:hint="eastAsia" w:ascii="仿宋" w:hAnsi="仿宋" w:eastAsia="仿宋"/>
          <w:b/>
          <w:bCs w:val="0"/>
          <w:sz w:val="28"/>
          <w:szCs w:val="28"/>
        </w:rPr>
        <w:t>操作：</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根据跨境电商平台提供的运费报价表，在不考虑其他条件的情况下，上述背景中的业务，在无忧标准、菜鸟超级经济 Global 这些物流里，计算不同的跨境物流运费，并回答哪种物流最合适？（小数点保留 2 位）（查询物流报价表）</w:t>
      </w:r>
    </w:p>
    <w:p>
      <w:pPr>
        <w:widowControl w:val="0"/>
        <w:spacing w:line="360" w:lineRule="auto"/>
        <w:jc w:val="both"/>
        <w:rPr>
          <w:rFonts w:hint="eastAsia" w:ascii="仿宋" w:hAnsi="仿宋" w:eastAsia="仿宋" w:cs="宋体"/>
          <w:b/>
          <w:sz w:val="28"/>
          <w:szCs w:val="28"/>
        </w:rPr>
      </w:pPr>
      <w:r>
        <w:rPr>
          <w:rFonts w:hint="eastAsia" w:ascii="仿宋" w:hAnsi="仿宋" w:eastAsia="仿宋" w:cs="宋体"/>
          <w:b/>
          <w:sz w:val="28"/>
          <w:szCs w:val="28"/>
        </w:rPr>
        <w:t xml:space="preserve">任务 </w:t>
      </w:r>
      <w:r>
        <w:rPr>
          <w:rFonts w:hint="eastAsia" w:ascii="仿宋" w:hAnsi="仿宋" w:eastAsia="仿宋" w:cs="宋体"/>
          <w:b/>
          <w:sz w:val="28"/>
          <w:szCs w:val="28"/>
          <w:lang w:val="en-US" w:eastAsia="zh-CN"/>
        </w:rPr>
        <w:t xml:space="preserve">2 </w:t>
      </w:r>
      <w:r>
        <w:rPr>
          <w:rFonts w:hint="eastAsia" w:ascii="仿宋" w:hAnsi="仿宋" w:eastAsia="仿宋" w:cs="宋体"/>
          <w:b/>
          <w:sz w:val="28"/>
          <w:szCs w:val="28"/>
        </w:rPr>
        <w:t>跨境电商出口税费策划</w:t>
      </w:r>
    </w:p>
    <w:p>
      <w:pPr>
        <w:widowControl w:val="0"/>
        <w:spacing w:line="360" w:lineRule="auto"/>
        <w:ind w:firstLine="562" w:firstLineChars="200"/>
        <w:jc w:val="both"/>
        <w:rPr>
          <w:rFonts w:hint="eastAsia" w:ascii="仿宋" w:hAnsi="仿宋" w:eastAsia="仿宋"/>
          <w:b/>
          <w:bCs w:val="0"/>
          <w:sz w:val="28"/>
          <w:szCs w:val="28"/>
        </w:rPr>
      </w:pPr>
      <w:r>
        <w:rPr>
          <w:rFonts w:hint="eastAsia" w:ascii="仿宋" w:hAnsi="仿宋" w:eastAsia="仿宋"/>
          <w:b/>
          <w:bCs w:val="0"/>
          <w:sz w:val="28"/>
          <w:szCs w:val="28"/>
        </w:rPr>
        <w:t>操作：</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请查看中国人民共和国海关进出口税则（2023 版），对上述背景中的业务进行相关税费计算。</w:t>
      </w:r>
    </w:p>
    <w:p>
      <w:pPr>
        <w:widowControl w:val="0"/>
        <w:spacing w:line="360" w:lineRule="auto"/>
        <w:jc w:val="both"/>
        <w:rPr>
          <w:rFonts w:hint="eastAsia" w:ascii="仿宋" w:hAnsi="仿宋" w:eastAsia="仿宋"/>
          <w:b/>
          <w:bCs w:val="0"/>
          <w:sz w:val="28"/>
          <w:szCs w:val="28"/>
        </w:rPr>
      </w:pPr>
      <w:r>
        <w:rPr>
          <w:rFonts w:hint="eastAsia" w:ascii="仿宋" w:hAnsi="仿宋" w:eastAsia="仿宋"/>
          <w:b/>
          <w:bCs w:val="0"/>
          <w:sz w:val="28"/>
          <w:szCs w:val="28"/>
        </w:rPr>
        <w:t xml:space="preserve">任务 </w:t>
      </w:r>
      <w:r>
        <w:rPr>
          <w:rFonts w:hint="eastAsia" w:ascii="仿宋" w:hAnsi="仿宋" w:eastAsia="仿宋"/>
          <w:b/>
          <w:bCs w:val="0"/>
          <w:sz w:val="28"/>
          <w:szCs w:val="28"/>
          <w:lang w:val="en-US" w:eastAsia="zh-CN"/>
        </w:rPr>
        <w:t>3</w:t>
      </w:r>
      <w:r>
        <w:rPr>
          <w:rFonts w:hint="eastAsia" w:ascii="仿宋" w:hAnsi="仿宋" w:eastAsia="仿宋"/>
          <w:b/>
          <w:bCs w:val="0"/>
          <w:sz w:val="28"/>
          <w:szCs w:val="28"/>
        </w:rPr>
        <w:t xml:space="preserve"> 跨境电商出口通关操作</w:t>
      </w:r>
    </w:p>
    <w:p>
      <w:pPr>
        <w:widowControl w:val="0"/>
        <w:spacing w:line="360" w:lineRule="auto"/>
        <w:ind w:firstLine="562" w:firstLineChars="200"/>
        <w:jc w:val="both"/>
        <w:rPr>
          <w:rFonts w:hint="eastAsia" w:ascii="仿宋" w:hAnsi="仿宋" w:eastAsia="仿宋"/>
          <w:b/>
          <w:bCs w:val="0"/>
          <w:sz w:val="28"/>
          <w:szCs w:val="28"/>
        </w:rPr>
      </w:pPr>
      <w:r>
        <w:rPr>
          <w:rFonts w:hint="eastAsia" w:ascii="仿宋" w:hAnsi="仿宋" w:eastAsia="仿宋"/>
          <w:b/>
          <w:bCs w:val="0"/>
          <w:sz w:val="28"/>
          <w:szCs w:val="28"/>
        </w:rPr>
        <w:t>操作：</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根据产品信息结合案例背景.判断产品是否在跨境电子商务零售出口商品清单内？</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A 是</w:t>
      </w:r>
      <w:r>
        <w:rPr>
          <w:rFonts w:hint="eastAsia" w:ascii="仿宋" w:hAnsi="仿宋" w:eastAsia="仿宋"/>
          <w:bCs/>
          <w:sz w:val="28"/>
          <w:szCs w:val="28"/>
          <w:lang w:val="en-US" w:eastAsia="zh-CN"/>
        </w:rPr>
        <w:t xml:space="preserve">   </w:t>
      </w:r>
      <w:r>
        <w:rPr>
          <w:rFonts w:hint="eastAsia" w:ascii="仿宋" w:hAnsi="仿宋" w:eastAsia="仿宋"/>
          <w:bCs/>
          <w:sz w:val="28"/>
          <w:szCs w:val="28"/>
        </w:rPr>
        <w:tab/>
      </w:r>
      <w:r>
        <w:rPr>
          <w:rFonts w:hint="eastAsia" w:ascii="仿宋" w:hAnsi="仿宋" w:eastAsia="仿宋"/>
          <w:bCs/>
          <w:sz w:val="28"/>
          <w:szCs w:val="28"/>
        </w:rPr>
        <w:t>B 否</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根据产品信息结合案例背景.选择是否需要办理以下单证？</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A 濒危物种许可证</w:t>
      </w:r>
      <w:r>
        <w:rPr>
          <w:rFonts w:hint="eastAsia" w:ascii="仿宋" w:hAnsi="仿宋" w:eastAsia="仿宋"/>
          <w:bCs/>
          <w:sz w:val="28"/>
          <w:szCs w:val="28"/>
          <w:lang w:val="en-US" w:eastAsia="zh-CN"/>
        </w:rPr>
        <w:t xml:space="preserve"> </w:t>
      </w:r>
      <w:r>
        <w:rPr>
          <w:rFonts w:hint="eastAsia" w:ascii="仿宋" w:hAnsi="仿宋" w:eastAsia="仿宋"/>
          <w:bCs/>
          <w:sz w:val="28"/>
          <w:szCs w:val="28"/>
        </w:rPr>
        <w:t xml:space="preserve"> B 两用物项进口许可证</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C 原产地证</w:t>
      </w:r>
      <w:r>
        <w:rPr>
          <w:rFonts w:hint="eastAsia" w:ascii="仿宋" w:hAnsi="仿宋" w:eastAsia="仿宋"/>
          <w:bCs/>
          <w:sz w:val="28"/>
          <w:szCs w:val="28"/>
          <w:lang w:val="en-US" w:eastAsia="zh-CN"/>
        </w:rPr>
        <w:t xml:space="preserve"> </w:t>
      </w:r>
      <w:r>
        <w:rPr>
          <w:rFonts w:hint="eastAsia" w:ascii="仿宋" w:hAnsi="仿宋" w:eastAsia="仿宋"/>
          <w:bCs/>
          <w:sz w:val="28"/>
          <w:szCs w:val="28"/>
        </w:rPr>
        <w:tab/>
      </w:r>
      <w:r>
        <w:rPr>
          <w:rFonts w:hint="eastAsia" w:ascii="仿宋" w:hAnsi="仿宋" w:eastAsia="仿宋"/>
          <w:bCs/>
          <w:sz w:val="28"/>
          <w:szCs w:val="28"/>
          <w:lang w:val="en-US" w:eastAsia="zh-CN"/>
        </w:rPr>
        <w:t xml:space="preserve">    </w:t>
      </w:r>
      <w:r>
        <w:rPr>
          <w:rFonts w:hint="eastAsia" w:ascii="仿宋" w:hAnsi="仿宋" w:eastAsia="仿宋"/>
          <w:bCs/>
          <w:sz w:val="28"/>
          <w:szCs w:val="28"/>
        </w:rPr>
        <w:t>D 不需要办理证件</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根据产品信息结合案例背景.选择使用的监管方式？</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A 1210 “跨境电子商务网购保税”</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B 9610 “跨境贸易电子商务 ”</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 xml:space="preserve">C </w:t>
      </w:r>
      <w:r>
        <w:rPr>
          <w:rFonts w:hint="eastAsia" w:ascii="仿宋" w:hAnsi="仿宋" w:eastAsia="仿宋"/>
          <w:bCs/>
          <w:sz w:val="28"/>
          <w:szCs w:val="28"/>
        </w:rPr>
        <w:t>9710 “跨境电商 B2B 直接出口”</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 xml:space="preserve">D </w:t>
      </w:r>
      <w:r>
        <w:rPr>
          <w:rFonts w:hint="eastAsia" w:ascii="仿宋" w:hAnsi="仿宋" w:eastAsia="仿宋"/>
          <w:bCs/>
          <w:sz w:val="28"/>
          <w:szCs w:val="28"/>
        </w:rPr>
        <w:t>9810 “跨境电子商务出口海外仓”</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根据产品信息结合案例背景请列举跨境电商公司在出口申报时所需哪些单证？</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请结合案例背景简要阐述货物抵达境内口岸后到货物送达消费者手中的跨境电商通关操作步骤？</w:t>
      </w:r>
    </w:p>
    <w:p>
      <w:pPr>
        <w:widowControl w:val="0"/>
        <w:spacing w:line="360" w:lineRule="auto"/>
        <w:jc w:val="both"/>
        <w:rPr>
          <w:rFonts w:hint="eastAsia" w:ascii="仿宋" w:hAnsi="仿宋" w:eastAsia="仿宋"/>
          <w:b/>
          <w:bCs w:val="0"/>
          <w:sz w:val="28"/>
          <w:szCs w:val="28"/>
        </w:rPr>
      </w:pPr>
      <w:r>
        <w:rPr>
          <w:rFonts w:hint="eastAsia" w:ascii="仿宋" w:hAnsi="仿宋" w:eastAsia="仿宋"/>
          <w:b/>
          <w:bCs w:val="0"/>
          <w:sz w:val="28"/>
          <w:szCs w:val="28"/>
        </w:rPr>
        <w:t xml:space="preserve">任务 </w:t>
      </w:r>
      <w:r>
        <w:rPr>
          <w:rFonts w:hint="eastAsia" w:ascii="仿宋" w:hAnsi="仿宋" w:eastAsia="仿宋"/>
          <w:b/>
          <w:bCs w:val="0"/>
          <w:sz w:val="28"/>
          <w:szCs w:val="28"/>
          <w:lang w:val="en-US" w:eastAsia="zh-CN"/>
        </w:rPr>
        <w:t xml:space="preserve">4 </w:t>
      </w:r>
      <w:r>
        <w:rPr>
          <w:rFonts w:hint="eastAsia" w:ascii="仿宋" w:hAnsi="仿宋" w:eastAsia="仿宋"/>
          <w:b/>
          <w:bCs w:val="0"/>
          <w:sz w:val="28"/>
          <w:szCs w:val="28"/>
        </w:rPr>
        <w:t>跨境电子商务客户服务操作</w:t>
      </w:r>
    </w:p>
    <w:p>
      <w:pPr>
        <w:widowControl w:val="0"/>
        <w:spacing w:line="360" w:lineRule="auto"/>
        <w:ind w:firstLine="562" w:firstLineChars="200"/>
        <w:jc w:val="both"/>
        <w:rPr>
          <w:rFonts w:hint="eastAsia" w:ascii="仿宋" w:hAnsi="仿宋" w:eastAsia="仿宋"/>
          <w:b/>
          <w:bCs w:val="0"/>
          <w:sz w:val="28"/>
          <w:szCs w:val="28"/>
        </w:rPr>
      </w:pPr>
      <w:r>
        <w:rPr>
          <w:rFonts w:hint="eastAsia" w:ascii="仿宋" w:hAnsi="仿宋" w:eastAsia="仿宋"/>
          <w:b/>
          <w:bCs w:val="0"/>
          <w:sz w:val="28"/>
          <w:szCs w:val="28"/>
        </w:rPr>
        <w:t xml:space="preserve"> 任务背景：</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跨境电商知名品牌FIRADA于2023年在某跨境电商平台开店，将自身工厂打造的女士太阳镜产品销往海外，凭借丰富的站外推广经验打开了 FIRADA 品牌知名度，取得了每月单店有 20 万美金销售额的不菲成绩，但近日有收到一条来自美国买家的差评操作：评论内容为“I did not receive the package”。</w:t>
      </w:r>
    </w:p>
    <w:p>
      <w:pPr>
        <w:widowControl w:val="0"/>
        <w:spacing w:line="360" w:lineRule="auto"/>
        <w:ind w:firstLine="560" w:firstLineChars="200"/>
        <w:jc w:val="both"/>
        <w:rPr>
          <w:rFonts w:hint="eastAsia" w:ascii="仿宋" w:hAnsi="仿宋" w:eastAsia="仿宋"/>
          <w:bCs/>
          <w:sz w:val="28"/>
          <w:szCs w:val="28"/>
        </w:rPr>
      </w:pPr>
      <w:r>
        <w:rPr>
          <w:rFonts w:hint="eastAsia" w:ascii="仿宋" w:hAnsi="仿宋" w:eastAsia="仿宋"/>
          <w:bCs/>
          <w:sz w:val="28"/>
          <w:szCs w:val="28"/>
        </w:rPr>
        <w:t>该买家的订单还在物流时效内（正常运输时间是 15-30 天），请以 FIRADA客服专员的身份给该美国买家写一封客户维护邮件，不得少于 100 个英文单词。</w:t>
      </w:r>
    </w:p>
    <w:p>
      <w:pPr>
        <w:widowControl w:val="0"/>
        <w:spacing w:line="360" w:lineRule="auto"/>
        <w:ind w:firstLine="602" w:firstLineChars="200"/>
        <w:jc w:val="both"/>
        <w:outlineLvl w:val="0"/>
        <w:rPr>
          <w:rFonts w:ascii="仿宋" w:hAnsi="仿宋" w:eastAsia="仿宋"/>
          <w:b/>
          <w:sz w:val="30"/>
          <w:szCs w:val="30"/>
        </w:rPr>
      </w:pPr>
      <w:r>
        <w:rPr>
          <w:rFonts w:hint="eastAsia" w:ascii="仿宋" w:hAnsi="仿宋" w:eastAsia="仿宋"/>
          <w:b/>
          <w:sz w:val="30"/>
          <w:szCs w:val="30"/>
        </w:rPr>
        <w:t>十、赛项安全</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（一）组织机构</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1.成立由赛项执委会主任为组长的赛项安全保障小组，成员包括承办院校及合作企业等相关人员。</w:t>
      </w:r>
    </w:p>
    <w:p>
      <w:pPr>
        <w:widowControl w:val="0"/>
        <w:spacing w:line="360" w:lineRule="auto"/>
        <w:ind w:firstLine="560" w:firstLineChars="20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与地方相关部门建立协调机制，制定应急预案，及时处置突发事件，保证比赛安全进行。</w:t>
      </w:r>
    </w:p>
    <w:p>
      <w:pPr>
        <w:widowControl w:val="0"/>
        <w:spacing w:line="360" w:lineRule="auto"/>
        <w:ind w:firstLine="560" w:firstLineChars="200"/>
        <w:outlineLvl w:val="1"/>
        <w:rPr>
          <w:rFonts w:hint="eastAsia" w:ascii="仿宋" w:hAnsi="仿宋" w:eastAsia="仿宋" w:cs="宋体"/>
          <w:bCs/>
          <w:sz w:val="28"/>
          <w:szCs w:val="28"/>
        </w:rPr>
      </w:pPr>
      <w:r>
        <w:rPr>
          <w:rFonts w:hint="eastAsia" w:ascii="仿宋" w:hAnsi="仿宋" w:eastAsia="仿宋" w:cs="宋体"/>
          <w:bCs/>
          <w:sz w:val="28"/>
          <w:szCs w:val="28"/>
        </w:rPr>
        <w:t>（二）比赛环境安全管理要求</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赛项执委会须在赛前组织专人对工作、比赛现场、住宿场所和交通保障进行考察，并对安全工作提出明确要求。赛场布置，赛场内的器材、设备，应符合国家防疫要求及有关安全规定。如有必要，也可进行赛场仿真模拟测试，以发现可能出现的问题。承办单位赛前须按照执委会要求排除安全隐患。</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2.承办单位应提供保证应急预案实施的条件。必须明确制度和预案，配备急救人员与设施。大赛期间，承办单位须在赛场管理的关键岗位增加力量，建立安全管理日志。</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3.保证各通道口畅通，并配备专门人员看守。赛场环境中存在人员密集的区域，设置齐全的指示标志，增加引导人员，开辟备用通道。</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4.赛场周围设立警戒线，无关人员不得入内。所有参赛人员必须凭赛项执委会印发的有效证件进入场地。</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5.比赛现场内应参照相关职业岗位要求为选手提供必要的劳动保护。在具有危险性的操作环节，裁判员要严防选手出现错误操作。</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6.配备必要的医护人员和医疗药品，有应急抢救预案。</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7.设置突发事件应急疏散示意图。如遇特殊情况，服从大赛统一指挥。</w:t>
      </w:r>
    </w:p>
    <w:p>
      <w:pPr>
        <w:widowControl w:val="0"/>
        <w:spacing w:line="360" w:lineRule="auto"/>
        <w:ind w:firstLine="560" w:firstLineChars="200"/>
        <w:outlineLvl w:val="1"/>
        <w:rPr>
          <w:rFonts w:hint="eastAsia" w:ascii="仿宋" w:hAnsi="仿宋" w:eastAsia="仿宋" w:cs="宋体"/>
          <w:bCs/>
          <w:sz w:val="28"/>
          <w:szCs w:val="28"/>
        </w:rPr>
      </w:pPr>
      <w:r>
        <w:rPr>
          <w:rFonts w:hint="eastAsia" w:ascii="仿宋" w:hAnsi="仿宋" w:eastAsia="仿宋" w:cs="宋体"/>
          <w:bCs/>
          <w:sz w:val="28"/>
          <w:szCs w:val="28"/>
        </w:rPr>
        <w:t>（三）生活条件保障</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1.承办院校须尊重少数民族参赛人员的宗教信仰及文化习俗，安排好少数民族参赛选手和教师的饮食起居。</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2.竞赛期间安排的住宿地应具有经营许可资质。以学校宿舍作为住宿地的，大赛期间的住宿、饮食安全等由执委会和提供宿舍的学校共同负责。</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3.大赛期间有组织的参观和观摩活动的交通安全由执委会负责。执委会和承办单位须保证比赛期间选手、领队和裁判员、工作人员的交通安全。</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4.赛项的安全管理，除了可以采取必要的安全隔离措施外，应严格遵守国家相关法律法规，保护个人隐私和人身自由。</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（四）组队责任</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1.各学校组织代表队时，须安排为参赛选手购买大赛期间的人身意外伤害保险。</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2.各学校代表队组成后，须制定相关管理制度，并对所有选手、指导教师进行安全教育，实现与赛场安全管理的对接。</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（五）应急处理</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比赛期间发生意外事故时，发现者应在第一时间上报，同时采取措施，避免事态扩大。执委会应立即启动预案予以解决并向组委会报告。出现重大安全问题的赛项可以停赛，是否停赛由组委会决定。事后，执委会应向组委会报告详细情况。</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（六）处罚措施</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1.因参赛队伍原因造成重大安全事故的，取消其获奖资格。</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2.参赛队伍有发生重大安全事故隐患，经赛场工作人员提示、警告无效的，可取消其继续比赛的资格。</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3.赛事工作人员违规的，按照相应的制度追究责任。情节恶劣并造成重大安全事故的，由司法机关追究相应法律责任。</w:t>
      </w:r>
    </w:p>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十一、成绩评定</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成绩评定必须在公开、公平、公正、独立、透明的条件下进行，赛项最终得分按百分制计算。</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（一）评分标准</w:t>
      </w:r>
    </w:p>
    <w:p>
      <w:pPr>
        <w:widowControl w:val="0"/>
        <w:spacing w:line="360" w:lineRule="auto"/>
        <w:ind w:firstLine="560" w:firstLineChars="200"/>
        <w:rPr>
          <w:rFonts w:hint="eastAsia" w:ascii="仿宋" w:hAnsi="仿宋" w:eastAsia="仿宋"/>
          <w:bCs/>
          <w:sz w:val="28"/>
          <w:szCs w:val="28"/>
          <w:lang w:eastAsia="zh-CN"/>
        </w:rPr>
      </w:pPr>
      <w:r>
        <w:rPr>
          <w:rFonts w:ascii="仿宋" w:hAnsi="仿宋" w:eastAsia="仿宋"/>
          <w:bCs/>
          <w:sz w:val="28"/>
          <w:szCs w:val="28"/>
        </w:rPr>
        <w:t>1</w:t>
      </w:r>
      <w:r>
        <w:rPr>
          <w:rFonts w:hint="eastAsia" w:ascii="仿宋" w:hAnsi="仿宋" w:eastAsia="仿宋"/>
          <w:bCs/>
          <w:sz w:val="28"/>
          <w:szCs w:val="28"/>
        </w:rPr>
        <w:t>.本竞赛分为3个模块、10项任务。模块一“跨境电子商务数据化选品与发布”3</w:t>
      </w:r>
      <w:r>
        <w:rPr>
          <w:rFonts w:hint="eastAsia" w:ascii="仿宋" w:hAnsi="仿宋" w:eastAsia="仿宋"/>
          <w:bCs/>
          <w:sz w:val="28"/>
          <w:szCs w:val="28"/>
          <w:lang w:val="en-US" w:eastAsia="zh-CN"/>
        </w:rPr>
        <w:t>5</w:t>
      </w:r>
      <w:r>
        <w:rPr>
          <w:rFonts w:hint="eastAsia" w:ascii="仿宋" w:hAnsi="仿宋" w:eastAsia="仿宋"/>
          <w:bCs/>
          <w:sz w:val="28"/>
          <w:szCs w:val="28"/>
        </w:rPr>
        <w:t>分，模块二“跨境电子商务数据化运营与推广”45分，模块三“跨境电子商务合规通关”</w:t>
      </w:r>
      <w:r>
        <w:rPr>
          <w:rFonts w:hint="eastAsia" w:ascii="仿宋" w:hAnsi="仿宋" w:eastAsia="仿宋"/>
          <w:bCs/>
          <w:sz w:val="28"/>
          <w:szCs w:val="28"/>
          <w:lang w:val="en-US" w:eastAsia="zh-CN"/>
        </w:rPr>
        <w:t>20</w:t>
      </w:r>
      <w:r>
        <w:rPr>
          <w:rFonts w:hint="eastAsia" w:ascii="仿宋" w:hAnsi="仿宋" w:eastAsia="仿宋"/>
          <w:bCs/>
          <w:sz w:val="28"/>
          <w:szCs w:val="28"/>
        </w:rPr>
        <w:t>分，由裁判根据评分标准进行评分。3个模块的10项任务分数相加，计入总分</w:t>
      </w:r>
      <w:r>
        <w:rPr>
          <w:rFonts w:hint="eastAsia" w:ascii="仿宋" w:hAnsi="仿宋" w:eastAsia="仿宋"/>
          <w:bCs/>
          <w:sz w:val="28"/>
          <w:szCs w:val="28"/>
          <w:lang w:eastAsia="zh-CN"/>
        </w:rPr>
        <w:t>。</w:t>
      </w:r>
    </w:p>
    <w:p>
      <w:pPr>
        <w:widowControl w:val="0"/>
        <w:spacing w:line="360" w:lineRule="auto"/>
        <w:ind w:firstLine="560" w:firstLineChars="20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.若参赛队各模块成绩相加后相同，则比较跨境电子商务数据化运营与推广业务模块分数，分数高者胜出。若分数仍然相同，则比较跨境电子商务数据化选品与发布业务模块分数，分数高者胜出。</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（二）评分方式</w:t>
      </w:r>
    </w:p>
    <w:p>
      <w:pPr>
        <w:widowControl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rPr>
        <w:t>1.竞赛满分为 100 分。</w:t>
      </w:r>
    </w:p>
    <w:p>
      <w:pPr>
        <w:widowControl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rPr>
        <w:t>2.总成绩=跨境电子商务数据化选品与发布业务模块 +跨境电子商务数据化运营与推广业务模块 + 跨境电子商务合规通关业务模块。各项目竞赛成绩及总成绩保留小数点后2 位（小数点后第 2 位四舍五入）。</w:t>
      </w:r>
    </w:p>
    <w:p>
      <w:pPr>
        <w:widowControl w:val="0"/>
        <w:spacing w:line="360" w:lineRule="auto"/>
        <w:ind w:firstLine="560" w:firstLineChars="200"/>
        <w:rPr>
          <w:rFonts w:hint="eastAsia" w:ascii="仿宋" w:hAnsi="仿宋" w:eastAsia="仿宋"/>
          <w:bCs/>
          <w:sz w:val="28"/>
          <w:szCs w:val="28"/>
          <w:lang w:val="en-US" w:eastAsia="zh-CN"/>
        </w:rPr>
      </w:pPr>
      <w:r>
        <w:rPr>
          <w:rFonts w:hint="eastAsia" w:ascii="仿宋" w:hAnsi="仿宋" w:eastAsia="仿宋"/>
          <w:bCs/>
          <w:sz w:val="28"/>
          <w:szCs w:val="28"/>
        </w:rPr>
        <w:t>3.</w:t>
      </w:r>
      <w:r>
        <w:rPr>
          <w:rFonts w:hint="eastAsia" w:ascii="仿宋" w:hAnsi="仿宋" w:eastAsia="仿宋"/>
          <w:bCs/>
          <w:sz w:val="28"/>
          <w:szCs w:val="28"/>
          <w:lang w:val="en-US" w:eastAsia="zh-CN"/>
        </w:rPr>
        <w:t>裁判员选聘：裁判由大赛执委会聘任，裁判长1名。</w:t>
      </w:r>
    </w:p>
    <w:p>
      <w:pPr>
        <w:widowControl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.比赛过程采取二次加密，通过抽取参赛编号、工位号，屏蔽参赛队信息，每个环节设置一名独立裁判，每个环节结束后，数据立即封存于承办校保密室保险柜内，加密裁判直接隔离，确保成绩评定公平、公正。</w:t>
      </w:r>
    </w:p>
    <w:p>
      <w:pPr>
        <w:widowControl w:val="0"/>
        <w:spacing w:line="360" w:lineRule="auto"/>
        <w:ind w:firstLine="560" w:firstLineChars="200"/>
        <w:rPr>
          <w:rFonts w:hint="eastAsia" w:ascii="仿宋" w:hAnsi="仿宋" w:eastAsia="仿宋"/>
          <w:bCs/>
          <w:sz w:val="28"/>
          <w:szCs w:val="28"/>
          <w:lang w:val="en-US" w:eastAsia="zh-CN"/>
        </w:rPr>
      </w:pPr>
      <w:r>
        <w:rPr>
          <w:rFonts w:hint="eastAsia" w:ascii="仿宋" w:hAnsi="仿宋" w:eastAsia="仿宋"/>
          <w:bCs/>
          <w:sz w:val="28"/>
          <w:szCs w:val="28"/>
          <w:lang w:val="en-US" w:eastAsia="zh-CN"/>
        </w:rPr>
        <w:t>5</w:t>
      </w:r>
      <w:r>
        <w:rPr>
          <w:rFonts w:hint="eastAsia" w:ascii="仿宋" w:hAnsi="仿宋" w:eastAsia="仿宋"/>
          <w:bCs/>
          <w:sz w:val="28"/>
          <w:szCs w:val="28"/>
        </w:rPr>
        <w:t>.成绩抽检复核。对赛项总成绩排名前30%的所有参赛队伍（选手）的成绩进行复核；对其余成绩进行抽检复核，抽检覆盖率不得低于 15%。如在复核中发现错误，需按要求填写《成绩复核情况说明表》，并及时告知裁长，由裁判长更正成绩并签字确认</w:t>
      </w:r>
      <w:r>
        <w:rPr>
          <w:rFonts w:hint="eastAsia" w:ascii="仿宋" w:hAnsi="仿宋" w:eastAsia="仿宋"/>
          <w:bCs/>
          <w:sz w:val="28"/>
          <w:szCs w:val="28"/>
          <w:lang w:eastAsia="zh-CN"/>
        </w:rPr>
        <w:t>。</w:t>
      </w:r>
    </w:p>
    <w:p>
      <w:pPr>
        <w:widowControl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lang w:val="en-US" w:eastAsia="zh-CN"/>
        </w:rPr>
        <w:t>6</w:t>
      </w:r>
      <w:r>
        <w:rPr>
          <w:rFonts w:hint="eastAsia" w:ascii="仿宋" w:hAnsi="仿宋" w:eastAsia="仿宋"/>
          <w:bCs/>
          <w:sz w:val="28"/>
          <w:szCs w:val="28"/>
        </w:rPr>
        <w:t>.在竞赛过程中，参赛选手如有不服从裁判裁决、扰乱赛场秩序、弊等行为的，由裁判长按照规定扣减相应分数，情节严重的将取消比赛资格</w:t>
      </w:r>
      <w:r>
        <w:rPr>
          <w:rFonts w:hint="eastAsia" w:ascii="仿宋" w:hAnsi="仿宋" w:eastAsia="仿宋"/>
          <w:bCs/>
          <w:sz w:val="28"/>
          <w:szCs w:val="28"/>
          <w:lang w:eastAsia="zh-CN"/>
        </w:rPr>
        <w:t>，</w:t>
      </w:r>
      <w:r>
        <w:rPr>
          <w:rFonts w:hint="eastAsia" w:ascii="仿宋" w:hAnsi="仿宋" w:eastAsia="仿宋"/>
          <w:bCs/>
          <w:sz w:val="28"/>
          <w:szCs w:val="28"/>
        </w:rPr>
        <w:t>比赛成绩计 0 分。</w:t>
      </w:r>
    </w:p>
    <w:p>
      <w:pPr>
        <w:widowControl w:val="0"/>
        <w:spacing w:line="360" w:lineRule="auto"/>
        <w:ind w:firstLine="560" w:firstLineChars="200"/>
      </w:pPr>
      <w:r>
        <w:rPr>
          <w:rFonts w:hint="eastAsia" w:ascii="仿宋" w:hAnsi="仿宋" w:eastAsia="仿宋"/>
          <w:bCs/>
          <w:sz w:val="28"/>
          <w:szCs w:val="28"/>
          <w:lang w:val="en-US" w:eastAsia="zh-CN"/>
        </w:rPr>
        <w:t>7</w:t>
      </w:r>
      <w:r>
        <w:rPr>
          <w:rFonts w:hint="eastAsia" w:ascii="仿宋" w:hAnsi="仿宋" w:eastAsia="仿宋"/>
          <w:bCs/>
          <w:sz w:val="28"/>
          <w:szCs w:val="28"/>
        </w:rPr>
        <w:t>.赛项成绩解密后，经裁判长、监督仲裁长签字，在赛项执委会指定的地点，向全体参赛队进行公示。成绩公示 2 小时（公示有效时间范围 07</w:t>
      </w:r>
      <w:r>
        <w:rPr>
          <w:rFonts w:hint="eastAsia" w:ascii="仿宋" w:hAnsi="仿宋" w:eastAsia="仿宋"/>
          <w:bCs/>
          <w:sz w:val="28"/>
          <w:szCs w:val="28"/>
          <w:lang w:eastAsia="zh-CN"/>
        </w:rPr>
        <w:t>：</w:t>
      </w:r>
      <w:r>
        <w:rPr>
          <w:rFonts w:hint="eastAsia" w:ascii="仿宋" w:hAnsi="仿宋" w:eastAsia="仿宋"/>
          <w:bCs/>
          <w:sz w:val="28"/>
          <w:szCs w:val="28"/>
        </w:rPr>
        <w:t>00-24：00），公示无异议后由赛项执委会发布，且每个比赛环节裁判判分的原始材料和最终成绩等结果性材料都须经监督仲裁组人员和裁判长签字后装袋密封留档。</w:t>
      </w:r>
    </w:p>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十二、奖项设置</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本赛项设团体一、二、三等奖。以赛项实际参赛队总数为基数，一、二、三等奖获奖比例分别为10%、20%、30%（小数点后四舍五入）。</w:t>
      </w:r>
    </w:p>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十三、赛项预案</w:t>
      </w:r>
    </w:p>
    <w:p>
      <w:pPr>
        <w:widowControl w:val="0"/>
        <w:spacing w:line="360" w:lineRule="auto"/>
        <w:ind w:firstLine="560" w:firstLineChars="200"/>
        <w:rPr>
          <w:rFonts w:ascii="仿宋" w:hAnsi="仿宋" w:eastAsia="仿宋" w:cs="宋体"/>
          <w:bCs/>
          <w:sz w:val="28"/>
          <w:szCs w:val="28"/>
        </w:rPr>
      </w:pPr>
      <w:r>
        <w:rPr>
          <w:rFonts w:hint="eastAsia" w:ascii="仿宋" w:hAnsi="仿宋" w:eastAsia="仿宋" w:cs="宋体"/>
          <w:bCs/>
          <w:sz w:val="28"/>
          <w:szCs w:val="28"/>
        </w:rPr>
        <w:t>1.竞赛软硬件环境和电脑在比赛前进行压力测试，验证功能正常。</w:t>
      </w:r>
    </w:p>
    <w:p>
      <w:pPr>
        <w:widowControl w:val="0"/>
        <w:spacing w:line="360" w:lineRule="auto"/>
        <w:ind w:firstLine="560" w:firstLineChars="20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.竞赛过程中出现设备掉电、故障等意外时，现场裁判需及时确认情况，安排赛场技术支持人员进行处理，现场裁判登记详细情况，填写补时登记表，报裁判长批准后，可安排延长补足相应选手的比赛时间。</w:t>
      </w:r>
    </w:p>
    <w:p>
      <w:pPr>
        <w:widowControl w:val="0"/>
        <w:spacing w:line="360" w:lineRule="auto"/>
        <w:ind w:firstLine="560" w:firstLineChars="200"/>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.比赛期间发生大规模意外事故和安全问题（如发病、中毒等），发现者应第一时间报告赛项执委会，赛项执委会应采取中止比赛、快速疏散人群等措施避免事态扩大，并第一时间报告</w:t>
      </w:r>
      <w:r>
        <w:rPr>
          <w:rFonts w:hint="eastAsia" w:ascii="仿宋" w:hAnsi="仿宋" w:eastAsia="仿宋"/>
          <w:bCs/>
          <w:sz w:val="28"/>
          <w:szCs w:val="28"/>
          <w:lang w:val="en-US" w:eastAsia="zh-CN"/>
        </w:rPr>
        <w:t>大赛</w:t>
      </w:r>
      <w:r>
        <w:rPr>
          <w:rFonts w:hint="eastAsia" w:ascii="仿宋" w:hAnsi="仿宋" w:eastAsia="仿宋"/>
          <w:bCs/>
          <w:sz w:val="28"/>
          <w:szCs w:val="28"/>
        </w:rPr>
        <w:t>组委会。赛项出现重大安全问题可以停赛，是否停赛由</w:t>
      </w:r>
      <w:r>
        <w:rPr>
          <w:rFonts w:hint="eastAsia" w:ascii="仿宋" w:hAnsi="仿宋" w:eastAsia="仿宋"/>
          <w:bCs/>
          <w:sz w:val="28"/>
          <w:szCs w:val="28"/>
          <w:lang w:val="en-US" w:eastAsia="zh-CN"/>
        </w:rPr>
        <w:t>大赛</w:t>
      </w:r>
      <w:r>
        <w:rPr>
          <w:rFonts w:hint="eastAsia" w:ascii="仿宋" w:hAnsi="仿宋" w:eastAsia="仿宋"/>
          <w:bCs/>
          <w:sz w:val="28"/>
          <w:szCs w:val="28"/>
        </w:rPr>
        <w:t>组委会决定。</w:t>
      </w:r>
    </w:p>
    <w:p>
      <w:pPr>
        <w:widowControl w:val="0"/>
        <w:spacing w:line="360" w:lineRule="auto"/>
        <w:ind w:firstLine="560" w:firstLineChars="20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.因参赛队伍原因形成事故隐患或造成事故的，视情节警告或取消其获奖资格；赛事工作人员违规的，按照相应的制度追究责任。</w:t>
      </w:r>
    </w:p>
    <w:p>
      <w:pPr>
        <w:widowControl w:val="0"/>
        <w:spacing w:line="360" w:lineRule="auto"/>
        <w:ind w:firstLine="602" w:firstLineChars="200"/>
        <w:outlineLvl w:val="0"/>
        <w:rPr>
          <w:rFonts w:ascii="仿宋" w:hAnsi="仿宋" w:eastAsia="仿宋"/>
          <w:b/>
          <w:sz w:val="30"/>
          <w:szCs w:val="30"/>
        </w:rPr>
      </w:pPr>
      <w:r>
        <w:rPr>
          <w:rFonts w:hint="eastAsia" w:ascii="仿宋" w:hAnsi="仿宋" w:eastAsia="仿宋"/>
          <w:b/>
          <w:sz w:val="30"/>
          <w:szCs w:val="30"/>
        </w:rPr>
        <w:t>十四、竞赛须知</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（一）参赛队须知</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1.参赛队应该参加赛项承办单位组织的开赛式等各项赛事活动。</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2.在赛事期间，参赛队成员不得私自接触裁判，凡发现有弄虚作假者，取消其参赛资格，成绩无效。</w:t>
      </w:r>
    </w:p>
    <w:p>
      <w:pPr>
        <w:widowControl w:val="0"/>
        <w:spacing w:line="360" w:lineRule="auto"/>
        <w:ind w:firstLine="560" w:firstLineChars="200"/>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参赛队认为存在不符合竞赛规定的设备、工具、软件，有失公正的评判、奖励，以及工作人员的违规行为等情况时，须在该赛项竞赛结束后2小时内，向赛项仲裁组提交书面申诉材料。各参赛队应服从和执行申诉的最终仲裁结果。</w:t>
      </w:r>
    </w:p>
    <w:p>
      <w:pPr>
        <w:widowControl w:val="0"/>
        <w:spacing w:line="360" w:lineRule="auto"/>
        <w:ind w:firstLine="560" w:firstLineChars="20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.各学校组织代表队时，须安排为参赛选手购买大赛期间的人身意外伤害保险。</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（二）指导教师须知</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1.各参赛队要发扬良好道德风尚，听从指挥，服从裁判，不弄虚作假。如发现弄虚作假者，取消参赛资格，名次无效。</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2.各参赛队领队要坚决执行竞赛的各项规定，加强对参赛人员的管理，做好赛前准备工作，督促选手带好证件等竞赛相关材料。</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3.竞赛过程中，除参加当场次竞赛的选手、执行裁判员、现场工作人员和经批准的人员外，领队、指导教师及其他人员一律不得进入竞赛现场。</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4.参赛队若对竞赛过程有异议，在规定的时间内由领队向赛项仲裁工作组提出书面报告。</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5.对申诉的仲裁结果，领队要带头服从和执行，并做好选手工作。参赛选手不得因申诉或对处理意见不服而停止竞赛，否则以弃权处理。</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6.指导老师应及时查看大赛专用网页有关赛项的通知和内容，认真研究和掌握本赛项竞赛的规程、技术规范和赛场要求，指导选手做好赛前的一切技术准备和竞赛准备。</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（三）参赛选手须知</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1.参赛选手应严格遵守赛场规章、操作规程和工艺准则，保证人身及设备安全，接受裁判员的监督和警示，文明竞赛。</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2.参赛选手应按照规定时间抵达赛场，凭身份证、学生证，以及统一发放的参赛证，完成入场检录、抽签确定竞赛工位号，不得迟到早退。</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3.参赛选手进入赛场前，须将身份证、学生证、参赛证交由检录人员统一保管，不得带入场内。</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4.参赛选手凭竞赛工位号进入赛场，不允许携带任何电子设备及其他资料、用品。</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5.参赛选手应在规定的时间段进入赛场，认真核对竞赛工位号，在指定位置就座。</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6.参赛选手入场后，迅速确认竞赛设备状况，填写相关确认文件，并由参赛队长确认签字（竞赛工位号）。</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7.参赛选手在收到开赛信号前不得启动操作。在竞赛过程中，确因计算机软件或硬件故障，致使操作无法继续的，经裁判长确认，予以启用备用计算机。</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8.参赛选手应在竞赛规定时间内完成任务书内容，及时按要求保存工作记录，以防止因操作系统异常及其他设备异常造成的数据丢失。对于因各种原因造成的数据丢失，由参赛选手自行负责。</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lang w:val="en-US" w:eastAsia="zh-CN"/>
        </w:rPr>
        <w:t>9</w:t>
      </w:r>
      <w:r>
        <w:rPr>
          <w:rFonts w:hint="eastAsia" w:ascii="仿宋" w:hAnsi="仿宋" w:eastAsia="仿宋"/>
          <w:bCs/>
          <w:sz w:val="28"/>
          <w:szCs w:val="28"/>
        </w:rPr>
        <w:t>.竞赛过程中，因严重操作失误或安全事故不能进行比赛的（例如因操作原因发生短路导致赛场断电的、造成设备不能正常工作的），</w:t>
      </w:r>
      <w:r>
        <w:rPr>
          <w:rFonts w:hint="eastAsia" w:ascii="仿宋" w:hAnsi="仿宋" w:eastAsia="仿宋"/>
          <w:bCs/>
          <w:sz w:val="28"/>
          <w:szCs w:val="28"/>
          <w:lang w:val="en-US" w:eastAsia="zh-CN"/>
        </w:rPr>
        <w:t>裁判长</w:t>
      </w:r>
      <w:r>
        <w:rPr>
          <w:rFonts w:hint="eastAsia" w:ascii="仿宋" w:hAnsi="仿宋" w:eastAsia="仿宋"/>
          <w:bCs/>
          <w:sz w:val="28"/>
          <w:szCs w:val="28"/>
        </w:rPr>
        <w:t>有权中止该队比赛。</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lang w:val="en-US" w:eastAsia="zh-CN"/>
        </w:rPr>
        <w:t>0</w:t>
      </w:r>
      <w:r>
        <w:rPr>
          <w:rFonts w:hint="eastAsia" w:ascii="仿宋" w:hAnsi="仿宋" w:eastAsia="仿宋"/>
          <w:bCs/>
          <w:sz w:val="28"/>
          <w:szCs w:val="28"/>
        </w:rPr>
        <w:t>.竞赛分为三个场次，选手在每场次竞赛中连续工作，食品、饮水等由赛场统一提供。每场次竞赛期间，选手休息、饮食或如厕时间均计算在比赛时间内。</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lang w:val="en-US" w:eastAsia="zh-CN"/>
        </w:rPr>
        <w:t>1</w:t>
      </w:r>
      <w:r>
        <w:rPr>
          <w:rFonts w:hint="eastAsia" w:ascii="仿宋" w:hAnsi="仿宋" w:eastAsia="仿宋"/>
          <w:bCs/>
          <w:sz w:val="28"/>
          <w:szCs w:val="28"/>
        </w:rPr>
        <w:t>.在比赛中如遇非人为因素造成的设备故障，经裁判确认后，可向裁判长申请补足排除故障的时间。</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lang w:val="en-US" w:eastAsia="zh-CN"/>
        </w:rPr>
        <w:t>2</w:t>
      </w:r>
      <w:r>
        <w:rPr>
          <w:rFonts w:hint="eastAsia" w:ascii="仿宋" w:hAnsi="仿宋" w:eastAsia="仿宋"/>
          <w:bCs/>
          <w:sz w:val="28"/>
          <w:szCs w:val="28"/>
        </w:rPr>
        <w:t>.参赛选手不得因各种原因提前结束比赛。如确因不可抗因素需要离开赛场的，须向现场裁判员举手示意，经裁判员许可并完成记录经裁判</w:t>
      </w:r>
      <w:r>
        <w:rPr>
          <w:rFonts w:hint="eastAsia" w:ascii="仿宋" w:hAnsi="仿宋" w:eastAsia="仿宋"/>
          <w:bCs/>
          <w:sz w:val="28"/>
          <w:szCs w:val="28"/>
          <w:lang w:val="en-US" w:eastAsia="zh-CN"/>
        </w:rPr>
        <w:t>长</w:t>
      </w:r>
      <w:r>
        <w:rPr>
          <w:rFonts w:hint="eastAsia" w:ascii="仿宋" w:hAnsi="仿宋" w:eastAsia="仿宋"/>
          <w:bCs/>
          <w:sz w:val="28"/>
          <w:szCs w:val="28"/>
        </w:rPr>
        <w:t>确认后，方可离开。</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lang w:val="en-US" w:eastAsia="zh-CN"/>
        </w:rPr>
        <w:t>3</w:t>
      </w:r>
      <w:r>
        <w:rPr>
          <w:rFonts w:hint="eastAsia" w:ascii="仿宋" w:hAnsi="仿宋" w:eastAsia="仿宋"/>
          <w:bCs/>
          <w:sz w:val="28"/>
          <w:szCs w:val="28"/>
        </w:rPr>
        <w:t>.竞赛时间结束，选手应全体起立，结束操作。经工作人员检查后可离开赛场，离开赛场时不得带走任何资料与设备。</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lang w:val="en-US" w:eastAsia="zh-CN"/>
        </w:rPr>
        <w:t>4</w:t>
      </w:r>
      <w:r>
        <w:rPr>
          <w:rFonts w:hint="eastAsia" w:ascii="仿宋" w:hAnsi="仿宋" w:eastAsia="仿宋"/>
          <w:bCs/>
          <w:sz w:val="28"/>
          <w:szCs w:val="28"/>
        </w:rPr>
        <w:t>.在竞赛期间，未经执委会批准，参赛选手不得接受其他单位和个人进行的与竞赛内容相关的采访。参赛选手不得将竞赛的相关信息私自公布。</w:t>
      </w:r>
    </w:p>
    <w:p>
      <w:pPr>
        <w:widowControl w:val="0"/>
        <w:spacing w:line="360" w:lineRule="auto"/>
        <w:ind w:firstLine="560" w:firstLineChars="200"/>
        <w:outlineLvl w:val="1"/>
        <w:rPr>
          <w:rFonts w:ascii="仿宋" w:hAnsi="仿宋" w:eastAsia="仿宋"/>
          <w:bCs/>
          <w:sz w:val="28"/>
          <w:szCs w:val="28"/>
        </w:rPr>
      </w:pPr>
      <w:r>
        <w:rPr>
          <w:rFonts w:hint="eastAsia" w:ascii="仿宋" w:hAnsi="仿宋" w:eastAsia="仿宋"/>
          <w:bCs/>
          <w:sz w:val="28"/>
          <w:szCs w:val="28"/>
        </w:rPr>
        <w:t>（四）工作人员须知</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1.赛场工作人员由赛项执委会统一聘用并进行工作分工，进入竞赛现场须佩戴组委会统一提供的工作牌。</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2.赛场工作人员需服从赛项执委会的管理，严格执行赛项执委会制订的各项比赛规则，执行赛项执委会的工作安排，积极维护好赛场秩序，坚守岗位，为赛场提供有序的服务。</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3.赛场工作人员进入现场，不得携带任何通讯工具或与竞赛无关的物品。</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4.参赛队进入赛场，现场裁判及赛场工作人员应按规定审查参赛选手带入赛场的物品，如发现不允许带入赛场的物品，交由参赛队随行人员保管，赛场不提供保管服务。</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5.赛场工作人员在竞赛过程中不回答选手提出的任何有关比赛技术问题，如遇争议问题，应及时报告裁判长。</w:t>
      </w:r>
    </w:p>
    <w:p>
      <w:pPr>
        <w:widowControl w:val="0"/>
        <w:spacing w:line="360" w:lineRule="auto"/>
        <w:ind w:firstLine="602" w:firstLineChars="200"/>
        <w:outlineLvl w:val="0"/>
        <w:rPr>
          <w:rFonts w:ascii="仿宋" w:hAnsi="仿宋" w:eastAsia="仿宋"/>
          <w:b/>
          <w:color w:val="FF0000"/>
          <w:sz w:val="30"/>
          <w:szCs w:val="30"/>
        </w:rPr>
      </w:pPr>
      <w:r>
        <w:rPr>
          <w:rFonts w:hint="eastAsia" w:ascii="仿宋" w:hAnsi="仿宋" w:eastAsia="仿宋"/>
          <w:b/>
          <w:sz w:val="30"/>
          <w:szCs w:val="30"/>
        </w:rPr>
        <w:t>十五、申诉与仲裁</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1.各参赛队对不符合大赛和赛项规程规定的仪器、设备、工装、材料、物件、计算机软硬件、竞赛使用工具、用品，竞赛执裁、赛场管理、竞赛成绩，以及工作人员的不规范行为等，可向赛项监督仲裁组提出申诉。</w:t>
      </w:r>
    </w:p>
    <w:p>
      <w:pPr>
        <w:widowControl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2.申诉主体为参赛队领队。</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3.申诉启动时，参赛队以该队参赛选手亲笔签字同意的书面报告的形式递交赛项监督仲裁组。报告应对申诉事件的现象、发生时间、涉及人员、申诉依据等进行充分、实事求是的叙述。非书面申诉不予受理。</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4.提出申诉的时间应在比赛结束后（选手赛场比赛内容全部完成）</w:t>
      </w:r>
      <w:r>
        <w:rPr>
          <w:rFonts w:ascii="仿宋" w:hAnsi="仿宋" w:eastAsia="仿宋"/>
          <w:bCs/>
          <w:sz w:val="28"/>
          <w:szCs w:val="28"/>
        </w:rPr>
        <w:t>2小时内（公示有效时间范</w:t>
      </w:r>
      <w:r>
        <w:rPr>
          <w:rFonts w:hint="eastAsia" w:ascii="仿宋" w:hAnsi="仿宋" w:eastAsia="仿宋"/>
          <w:bCs/>
          <w:sz w:val="28"/>
          <w:szCs w:val="28"/>
        </w:rPr>
        <w:t>围</w:t>
      </w:r>
      <w:r>
        <w:rPr>
          <w:rFonts w:ascii="仿宋" w:hAnsi="仿宋" w:eastAsia="仿宋"/>
          <w:bCs/>
          <w:sz w:val="28"/>
          <w:szCs w:val="28"/>
        </w:rPr>
        <w:t>07:00—24:00）</w:t>
      </w:r>
      <w:r>
        <w:rPr>
          <w:rFonts w:hint="eastAsia" w:ascii="仿宋" w:hAnsi="仿宋" w:eastAsia="仿宋"/>
          <w:bCs/>
          <w:sz w:val="28"/>
          <w:szCs w:val="28"/>
        </w:rPr>
        <w:t>。</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5.赛项监督仲裁组在接到申诉报告后的2小时内组织复议，并及时将复议结果以书面形式告知申诉方。申诉方对复议结果仍有异议，可参赛队领队向大赛组委会提出申诉。大赛组委会的仲裁结果为最终结果。</w:t>
      </w:r>
    </w:p>
    <w:p>
      <w:pPr>
        <w:widowControl w:val="0"/>
        <w:spacing w:line="360" w:lineRule="auto"/>
        <w:ind w:firstLine="560" w:firstLineChars="200"/>
        <w:rPr>
          <w:rFonts w:ascii="仿宋" w:hAnsi="仿宋" w:eastAsia="仿宋"/>
          <w:bCs/>
          <w:sz w:val="28"/>
          <w:szCs w:val="28"/>
        </w:rPr>
      </w:pPr>
      <w:r>
        <w:rPr>
          <w:rFonts w:hint="eastAsia" w:ascii="仿宋" w:hAnsi="仿宋" w:eastAsia="仿宋"/>
          <w:bCs/>
          <w:sz w:val="28"/>
          <w:szCs w:val="28"/>
        </w:rPr>
        <w:t>6.仲裁结果由申诉人签收，不能代收。如在约定时间和地点申诉人离开，视为自行放弃申诉。申诉方可随时提出放弃申诉。</w:t>
      </w:r>
    </w:p>
    <w:p>
      <w:pPr>
        <w:widowControl w:val="0"/>
        <w:spacing w:line="360" w:lineRule="auto"/>
        <w:ind w:firstLine="560" w:firstLineChars="200"/>
      </w:pPr>
      <w:r>
        <w:rPr>
          <w:rFonts w:hint="eastAsia" w:ascii="仿宋" w:hAnsi="仿宋" w:eastAsia="仿宋"/>
          <w:bCs/>
          <w:sz w:val="28"/>
          <w:szCs w:val="28"/>
        </w:rPr>
        <w:t>7.申诉方必须提供真实的申诉信息并严格遵守申诉程序，提出无理申诉或采取过激行为扰乱赛场秩序的应给予取消参赛成绩等处罚。</w:t>
      </w:r>
    </w:p>
    <w:sectPr>
      <w:footerReference r:id="rId3" w:type="default"/>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TimesNewRomanPSMT">
    <w:altName w:val="微软雅黑"/>
    <w:panose1 w:val="00000000000000000000"/>
    <w:charset w:val="86"/>
    <w:family w:val="auto"/>
    <w:pitch w:val="default"/>
    <w:sig w:usb0="00000000" w:usb1="00000000" w:usb2="00000010" w:usb3="00000000" w:csb0="000401FF" w:csb1="00000000"/>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mMWFjNDhlMTk0Nzg5NDE1OTc1YzlmMDBlMmNhM2YifQ=="/>
  </w:docVars>
  <w:rsids>
    <w:rsidRoot w:val="0041716F"/>
    <w:rsid w:val="00007B66"/>
    <w:rsid w:val="00007EB0"/>
    <w:rsid w:val="00012FD1"/>
    <w:rsid w:val="00016566"/>
    <w:rsid w:val="00017830"/>
    <w:rsid w:val="00023658"/>
    <w:rsid w:val="00023DA4"/>
    <w:rsid w:val="00024377"/>
    <w:rsid w:val="00024EE8"/>
    <w:rsid w:val="00025E7C"/>
    <w:rsid w:val="00025F76"/>
    <w:rsid w:val="00027932"/>
    <w:rsid w:val="00031C5A"/>
    <w:rsid w:val="00032BEF"/>
    <w:rsid w:val="00033840"/>
    <w:rsid w:val="00033EB6"/>
    <w:rsid w:val="000348CA"/>
    <w:rsid w:val="00035C7C"/>
    <w:rsid w:val="00035CCC"/>
    <w:rsid w:val="00037118"/>
    <w:rsid w:val="000425A5"/>
    <w:rsid w:val="00043B16"/>
    <w:rsid w:val="000462B7"/>
    <w:rsid w:val="000471B2"/>
    <w:rsid w:val="00050A74"/>
    <w:rsid w:val="00051BE1"/>
    <w:rsid w:val="00056E73"/>
    <w:rsid w:val="00063BBC"/>
    <w:rsid w:val="0006403F"/>
    <w:rsid w:val="00070371"/>
    <w:rsid w:val="000719F5"/>
    <w:rsid w:val="00072A69"/>
    <w:rsid w:val="00073519"/>
    <w:rsid w:val="0007435B"/>
    <w:rsid w:val="000752FB"/>
    <w:rsid w:val="0007544A"/>
    <w:rsid w:val="00084875"/>
    <w:rsid w:val="00085714"/>
    <w:rsid w:val="00086880"/>
    <w:rsid w:val="000908A7"/>
    <w:rsid w:val="000935B3"/>
    <w:rsid w:val="000A13D7"/>
    <w:rsid w:val="000A2011"/>
    <w:rsid w:val="000B6CCA"/>
    <w:rsid w:val="000B72E2"/>
    <w:rsid w:val="000C041B"/>
    <w:rsid w:val="000D611E"/>
    <w:rsid w:val="000E3819"/>
    <w:rsid w:val="000E3E9C"/>
    <w:rsid w:val="000E678E"/>
    <w:rsid w:val="000F2696"/>
    <w:rsid w:val="000F48D3"/>
    <w:rsid w:val="00100409"/>
    <w:rsid w:val="0010087D"/>
    <w:rsid w:val="0010102D"/>
    <w:rsid w:val="001058D2"/>
    <w:rsid w:val="0010612C"/>
    <w:rsid w:val="001067C7"/>
    <w:rsid w:val="00113FE4"/>
    <w:rsid w:val="00114F36"/>
    <w:rsid w:val="0011772B"/>
    <w:rsid w:val="00117FB0"/>
    <w:rsid w:val="0012168C"/>
    <w:rsid w:val="001232C5"/>
    <w:rsid w:val="001258F6"/>
    <w:rsid w:val="001432BC"/>
    <w:rsid w:val="00146ED6"/>
    <w:rsid w:val="00150CB5"/>
    <w:rsid w:val="0015166D"/>
    <w:rsid w:val="001529D6"/>
    <w:rsid w:val="00152CB6"/>
    <w:rsid w:val="00155747"/>
    <w:rsid w:val="001560F2"/>
    <w:rsid w:val="00156C58"/>
    <w:rsid w:val="001600C5"/>
    <w:rsid w:val="00165AC0"/>
    <w:rsid w:val="00174E9C"/>
    <w:rsid w:val="00194C8A"/>
    <w:rsid w:val="00196B9C"/>
    <w:rsid w:val="001A0633"/>
    <w:rsid w:val="001A3651"/>
    <w:rsid w:val="001B7826"/>
    <w:rsid w:val="001C0D15"/>
    <w:rsid w:val="001C1AA2"/>
    <w:rsid w:val="001C5E6D"/>
    <w:rsid w:val="001D5073"/>
    <w:rsid w:val="001D6A60"/>
    <w:rsid w:val="001E6DD7"/>
    <w:rsid w:val="001F1C22"/>
    <w:rsid w:val="001F251B"/>
    <w:rsid w:val="001F4574"/>
    <w:rsid w:val="00204AC6"/>
    <w:rsid w:val="00204E2B"/>
    <w:rsid w:val="00210ECB"/>
    <w:rsid w:val="00211AA2"/>
    <w:rsid w:val="00211CF1"/>
    <w:rsid w:val="002130A4"/>
    <w:rsid w:val="002144B6"/>
    <w:rsid w:val="002152E1"/>
    <w:rsid w:val="00221F1F"/>
    <w:rsid w:val="00225F7B"/>
    <w:rsid w:val="0022719D"/>
    <w:rsid w:val="00230318"/>
    <w:rsid w:val="002340A7"/>
    <w:rsid w:val="00234CB0"/>
    <w:rsid w:val="00235C0D"/>
    <w:rsid w:val="00236312"/>
    <w:rsid w:val="0024000D"/>
    <w:rsid w:val="00241006"/>
    <w:rsid w:val="00241A03"/>
    <w:rsid w:val="00244ED6"/>
    <w:rsid w:val="002504F8"/>
    <w:rsid w:val="00250940"/>
    <w:rsid w:val="00252CA2"/>
    <w:rsid w:val="002567C8"/>
    <w:rsid w:val="00262558"/>
    <w:rsid w:val="00263F04"/>
    <w:rsid w:val="0026493D"/>
    <w:rsid w:val="00265580"/>
    <w:rsid w:val="00270415"/>
    <w:rsid w:val="0028422F"/>
    <w:rsid w:val="00285301"/>
    <w:rsid w:val="00290B96"/>
    <w:rsid w:val="0029169E"/>
    <w:rsid w:val="00292152"/>
    <w:rsid w:val="00292F98"/>
    <w:rsid w:val="00297D16"/>
    <w:rsid w:val="00297ECD"/>
    <w:rsid w:val="002A1812"/>
    <w:rsid w:val="002A2693"/>
    <w:rsid w:val="002B09D4"/>
    <w:rsid w:val="002B137F"/>
    <w:rsid w:val="002B723A"/>
    <w:rsid w:val="002C683E"/>
    <w:rsid w:val="002C7C9A"/>
    <w:rsid w:val="002E0137"/>
    <w:rsid w:val="002E2810"/>
    <w:rsid w:val="002E37F4"/>
    <w:rsid w:val="002F109C"/>
    <w:rsid w:val="002F37F9"/>
    <w:rsid w:val="002F48F4"/>
    <w:rsid w:val="002F7621"/>
    <w:rsid w:val="0030172C"/>
    <w:rsid w:val="00311C1A"/>
    <w:rsid w:val="0031363E"/>
    <w:rsid w:val="00315F09"/>
    <w:rsid w:val="0031622E"/>
    <w:rsid w:val="00316BDC"/>
    <w:rsid w:val="003174DD"/>
    <w:rsid w:val="00317DDC"/>
    <w:rsid w:val="00320A17"/>
    <w:rsid w:val="00324DA6"/>
    <w:rsid w:val="00326994"/>
    <w:rsid w:val="00330927"/>
    <w:rsid w:val="003325FC"/>
    <w:rsid w:val="003328EC"/>
    <w:rsid w:val="00333033"/>
    <w:rsid w:val="00340C39"/>
    <w:rsid w:val="00345819"/>
    <w:rsid w:val="0035190E"/>
    <w:rsid w:val="00351E8B"/>
    <w:rsid w:val="00353746"/>
    <w:rsid w:val="00355070"/>
    <w:rsid w:val="00355C15"/>
    <w:rsid w:val="003607C8"/>
    <w:rsid w:val="00371248"/>
    <w:rsid w:val="00373D9E"/>
    <w:rsid w:val="003748E7"/>
    <w:rsid w:val="00376FFF"/>
    <w:rsid w:val="0038264E"/>
    <w:rsid w:val="00383DB8"/>
    <w:rsid w:val="0038786E"/>
    <w:rsid w:val="00392D11"/>
    <w:rsid w:val="00396F0A"/>
    <w:rsid w:val="003B352B"/>
    <w:rsid w:val="003B56FC"/>
    <w:rsid w:val="003C25E6"/>
    <w:rsid w:val="003C2AD5"/>
    <w:rsid w:val="003C4672"/>
    <w:rsid w:val="003C7D77"/>
    <w:rsid w:val="003D2E6F"/>
    <w:rsid w:val="003D6982"/>
    <w:rsid w:val="003E044E"/>
    <w:rsid w:val="003E1D41"/>
    <w:rsid w:val="003E5C97"/>
    <w:rsid w:val="003E5EA2"/>
    <w:rsid w:val="003F3259"/>
    <w:rsid w:val="003F685A"/>
    <w:rsid w:val="00402339"/>
    <w:rsid w:val="004053C0"/>
    <w:rsid w:val="0041203B"/>
    <w:rsid w:val="0041376B"/>
    <w:rsid w:val="0041716F"/>
    <w:rsid w:val="00421CA6"/>
    <w:rsid w:val="00424934"/>
    <w:rsid w:val="004256B5"/>
    <w:rsid w:val="00426796"/>
    <w:rsid w:val="00431165"/>
    <w:rsid w:val="00436778"/>
    <w:rsid w:val="00441DAD"/>
    <w:rsid w:val="00442674"/>
    <w:rsid w:val="00444858"/>
    <w:rsid w:val="00445BB1"/>
    <w:rsid w:val="00454C04"/>
    <w:rsid w:val="00455CF0"/>
    <w:rsid w:val="004560EA"/>
    <w:rsid w:val="004578CA"/>
    <w:rsid w:val="004616D9"/>
    <w:rsid w:val="00463F7A"/>
    <w:rsid w:val="004666D1"/>
    <w:rsid w:val="00472210"/>
    <w:rsid w:val="004759F9"/>
    <w:rsid w:val="00477BFB"/>
    <w:rsid w:val="00482037"/>
    <w:rsid w:val="00482480"/>
    <w:rsid w:val="00483486"/>
    <w:rsid w:val="00483ECE"/>
    <w:rsid w:val="004876A8"/>
    <w:rsid w:val="00497EDD"/>
    <w:rsid w:val="004A0264"/>
    <w:rsid w:val="004A5FB4"/>
    <w:rsid w:val="004B2F48"/>
    <w:rsid w:val="004B4447"/>
    <w:rsid w:val="004B5147"/>
    <w:rsid w:val="004B5D71"/>
    <w:rsid w:val="004C2D95"/>
    <w:rsid w:val="004C521A"/>
    <w:rsid w:val="004C6248"/>
    <w:rsid w:val="004D10CF"/>
    <w:rsid w:val="004D237C"/>
    <w:rsid w:val="004D3E83"/>
    <w:rsid w:val="004D6326"/>
    <w:rsid w:val="004E2AE4"/>
    <w:rsid w:val="004E3DE0"/>
    <w:rsid w:val="004F55EE"/>
    <w:rsid w:val="004F6D9A"/>
    <w:rsid w:val="004F7E14"/>
    <w:rsid w:val="00502AC1"/>
    <w:rsid w:val="00503D92"/>
    <w:rsid w:val="00504EC4"/>
    <w:rsid w:val="00505B70"/>
    <w:rsid w:val="00515A1F"/>
    <w:rsid w:val="005228DE"/>
    <w:rsid w:val="00523D9F"/>
    <w:rsid w:val="00534FC8"/>
    <w:rsid w:val="00535EF4"/>
    <w:rsid w:val="00537BDD"/>
    <w:rsid w:val="0054471A"/>
    <w:rsid w:val="00544AA7"/>
    <w:rsid w:val="00555588"/>
    <w:rsid w:val="00556145"/>
    <w:rsid w:val="00557F64"/>
    <w:rsid w:val="00565E55"/>
    <w:rsid w:val="005713FD"/>
    <w:rsid w:val="00571624"/>
    <w:rsid w:val="00572250"/>
    <w:rsid w:val="0057649C"/>
    <w:rsid w:val="005767C4"/>
    <w:rsid w:val="00576BC0"/>
    <w:rsid w:val="00576C41"/>
    <w:rsid w:val="005770D7"/>
    <w:rsid w:val="005841B2"/>
    <w:rsid w:val="005843E9"/>
    <w:rsid w:val="0059481D"/>
    <w:rsid w:val="005963ED"/>
    <w:rsid w:val="0059641C"/>
    <w:rsid w:val="005A0840"/>
    <w:rsid w:val="005A3100"/>
    <w:rsid w:val="005A34BF"/>
    <w:rsid w:val="005A4813"/>
    <w:rsid w:val="005A6236"/>
    <w:rsid w:val="005B17AA"/>
    <w:rsid w:val="005B3CEC"/>
    <w:rsid w:val="005C0465"/>
    <w:rsid w:val="005C0EDF"/>
    <w:rsid w:val="005C3F2A"/>
    <w:rsid w:val="005C4924"/>
    <w:rsid w:val="005C5D5B"/>
    <w:rsid w:val="005C7A4C"/>
    <w:rsid w:val="005C7AA3"/>
    <w:rsid w:val="005C7B1D"/>
    <w:rsid w:val="005D1C3D"/>
    <w:rsid w:val="005D430E"/>
    <w:rsid w:val="005E4FE4"/>
    <w:rsid w:val="005E5535"/>
    <w:rsid w:val="005F084A"/>
    <w:rsid w:val="005F1E64"/>
    <w:rsid w:val="00603744"/>
    <w:rsid w:val="00613714"/>
    <w:rsid w:val="00613E97"/>
    <w:rsid w:val="00621E3A"/>
    <w:rsid w:val="00626CB4"/>
    <w:rsid w:val="0064288F"/>
    <w:rsid w:val="006440AA"/>
    <w:rsid w:val="00644471"/>
    <w:rsid w:val="00647812"/>
    <w:rsid w:val="006568AE"/>
    <w:rsid w:val="00656EEB"/>
    <w:rsid w:val="006579A7"/>
    <w:rsid w:val="00662032"/>
    <w:rsid w:val="0066347A"/>
    <w:rsid w:val="0066355C"/>
    <w:rsid w:val="00665823"/>
    <w:rsid w:val="0067250D"/>
    <w:rsid w:val="00673018"/>
    <w:rsid w:val="00677A4C"/>
    <w:rsid w:val="00684D22"/>
    <w:rsid w:val="0069650A"/>
    <w:rsid w:val="006967FA"/>
    <w:rsid w:val="006A0649"/>
    <w:rsid w:val="006A26C8"/>
    <w:rsid w:val="006A2AED"/>
    <w:rsid w:val="006A68A9"/>
    <w:rsid w:val="006B067D"/>
    <w:rsid w:val="006B29F4"/>
    <w:rsid w:val="006B2A28"/>
    <w:rsid w:val="006B36AD"/>
    <w:rsid w:val="006C083A"/>
    <w:rsid w:val="006C1A70"/>
    <w:rsid w:val="006C1C7E"/>
    <w:rsid w:val="006C4EF8"/>
    <w:rsid w:val="006C793F"/>
    <w:rsid w:val="006D27A2"/>
    <w:rsid w:val="006E0ECB"/>
    <w:rsid w:val="006E0F25"/>
    <w:rsid w:val="006E2734"/>
    <w:rsid w:val="006E5E52"/>
    <w:rsid w:val="006F0A95"/>
    <w:rsid w:val="006F0DA1"/>
    <w:rsid w:val="006F250E"/>
    <w:rsid w:val="006F5CB0"/>
    <w:rsid w:val="006F6821"/>
    <w:rsid w:val="006F69D9"/>
    <w:rsid w:val="007009A4"/>
    <w:rsid w:val="00704E8F"/>
    <w:rsid w:val="00710454"/>
    <w:rsid w:val="00711E42"/>
    <w:rsid w:val="007154BC"/>
    <w:rsid w:val="00720631"/>
    <w:rsid w:val="00720B17"/>
    <w:rsid w:val="00720D3E"/>
    <w:rsid w:val="00734E23"/>
    <w:rsid w:val="007357A8"/>
    <w:rsid w:val="00735BE6"/>
    <w:rsid w:val="00736A95"/>
    <w:rsid w:val="00736CE0"/>
    <w:rsid w:val="00737FC4"/>
    <w:rsid w:val="007441CC"/>
    <w:rsid w:val="00745E11"/>
    <w:rsid w:val="007474FB"/>
    <w:rsid w:val="00751878"/>
    <w:rsid w:val="0075361C"/>
    <w:rsid w:val="00756E2D"/>
    <w:rsid w:val="007648E3"/>
    <w:rsid w:val="0077209E"/>
    <w:rsid w:val="00772232"/>
    <w:rsid w:val="00775F64"/>
    <w:rsid w:val="00782D37"/>
    <w:rsid w:val="0079163F"/>
    <w:rsid w:val="00793705"/>
    <w:rsid w:val="007968FC"/>
    <w:rsid w:val="007A0EE2"/>
    <w:rsid w:val="007A2431"/>
    <w:rsid w:val="007B055E"/>
    <w:rsid w:val="007B0E5C"/>
    <w:rsid w:val="007B7DFE"/>
    <w:rsid w:val="007C0C92"/>
    <w:rsid w:val="007C13B2"/>
    <w:rsid w:val="007C4CD7"/>
    <w:rsid w:val="007D04E6"/>
    <w:rsid w:val="007D0A0B"/>
    <w:rsid w:val="007D41F9"/>
    <w:rsid w:val="007D68DB"/>
    <w:rsid w:val="007D769D"/>
    <w:rsid w:val="007D7B71"/>
    <w:rsid w:val="007E17F4"/>
    <w:rsid w:val="007E422D"/>
    <w:rsid w:val="007E4FDF"/>
    <w:rsid w:val="007F258A"/>
    <w:rsid w:val="007F3396"/>
    <w:rsid w:val="007F4C95"/>
    <w:rsid w:val="008011C7"/>
    <w:rsid w:val="00803418"/>
    <w:rsid w:val="00804386"/>
    <w:rsid w:val="008050BD"/>
    <w:rsid w:val="008052FD"/>
    <w:rsid w:val="00815D53"/>
    <w:rsid w:val="0081666B"/>
    <w:rsid w:val="00820802"/>
    <w:rsid w:val="00823ABF"/>
    <w:rsid w:val="008253F8"/>
    <w:rsid w:val="0082660B"/>
    <w:rsid w:val="0084171B"/>
    <w:rsid w:val="00846BD2"/>
    <w:rsid w:val="008510D5"/>
    <w:rsid w:val="00853108"/>
    <w:rsid w:val="00854119"/>
    <w:rsid w:val="00862EDB"/>
    <w:rsid w:val="008640CD"/>
    <w:rsid w:val="00864F8E"/>
    <w:rsid w:val="008709C4"/>
    <w:rsid w:val="008711AC"/>
    <w:rsid w:val="0087146F"/>
    <w:rsid w:val="0087168B"/>
    <w:rsid w:val="00871934"/>
    <w:rsid w:val="00873C3E"/>
    <w:rsid w:val="008846F0"/>
    <w:rsid w:val="00885DAB"/>
    <w:rsid w:val="00887FEE"/>
    <w:rsid w:val="0089330D"/>
    <w:rsid w:val="00895C05"/>
    <w:rsid w:val="008A0883"/>
    <w:rsid w:val="008A3F66"/>
    <w:rsid w:val="008A7B7C"/>
    <w:rsid w:val="008B03B9"/>
    <w:rsid w:val="008B19C7"/>
    <w:rsid w:val="008B36D6"/>
    <w:rsid w:val="008C3B7B"/>
    <w:rsid w:val="008D00F3"/>
    <w:rsid w:val="008D558C"/>
    <w:rsid w:val="008E5DB4"/>
    <w:rsid w:val="008F3C74"/>
    <w:rsid w:val="008F4DA7"/>
    <w:rsid w:val="00900367"/>
    <w:rsid w:val="00904AD0"/>
    <w:rsid w:val="00912041"/>
    <w:rsid w:val="009201E4"/>
    <w:rsid w:val="009213F7"/>
    <w:rsid w:val="0092340C"/>
    <w:rsid w:val="00931424"/>
    <w:rsid w:val="0093172D"/>
    <w:rsid w:val="00933F11"/>
    <w:rsid w:val="00934B5C"/>
    <w:rsid w:val="00934D7F"/>
    <w:rsid w:val="0093626C"/>
    <w:rsid w:val="009425B0"/>
    <w:rsid w:val="0094446A"/>
    <w:rsid w:val="00944F92"/>
    <w:rsid w:val="00945E78"/>
    <w:rsid w:val="00952F14"/>
    <w:rsid w:val="00965C1E"/>
    <w:rsid w:val="00966A85"/>
    <w:rsid w:val="00967701"/>
    <w:rsid w:val="00975E56"/>
    <w:rsid w:val="00976466"/>
    <w:rsid w:val="0098654D"/>
    <w:rsid w:val="00987D70"/>
    <w:rsid w:val="0099161D"/>
    <w:rsid w:val="00992298"/>
    <w:rsid w:val="0099382A"/>
    <w:rsid w:val="009964D2"/>
    <w:rsid w:val="009A0ED0"/>
    <w:rsid w:val="009A49C2"/>
    <w:rsid w:val="009A6890"/>
    <w:rsid w:val="009B2051"/>
    <w:rsid w:val="009B6155"/>
    <w:rsid w:val="009B7AB0"/>
    <w:rsid w:val="009C4CB9"/>
    <w:rsid w:val="009C5E7C"/>
    <w:rsid w:val="009D2CDB"/>
    <w:rsid w:val="009D311B"/>
    <w:rsid w:val="009E39E5"/>
    <w:rsid w:val="009E5DFC"/>
    <w:rsid w:val="009E615F"/>
    <w:rsid w:val="009F0328"/>
    <w:rsid w:val="009F5232"/>
    <w:rsid w:val="009F61F0"/>
    <w:rsid w:val="00A00C10"/>
    <w:rsid w:val="00A01FEF"/>
    <w:rsid w:val="00A05F74"/>
    <w:rsid w:val="00A1095D"/>
    <w:rsid w:val="00A12965"/>
    <w:rsid w:val="00A13EEA"/>
    <w:rsid w:val="00A15B6D"/>
    <w:rsid w:val="00A15CE2"/>
    <w:rsid w:val="00A24248"/>
    <w:rsid w:val="00A30A44"/>
    <w:rsid w:val="00A30C94"/>
    <w:rsid w:val="00A33BBB"/>
    <w:rsid w:val="00A53449"/>
    <w:rsid w:val="00A54D9E"/>
    <w:rsid w:val="00A556CE"/>
    <w:rsid w:val="00A567A7"/>
    <w:rsid w:val="00A65DAF"/>
    <w:rsid w:val="00A7480F"/>
    <w:rsid w:val="00A7662F"/>
    <w:rsid w:val="00A767EA"/>
    <w:rsid w:val="00A77E01"/>
    <w:rsid w:val="00A867FC"/>
    <w:rsid w:val="00A95F0B"/>
    <w:rsid w:val="00AB1209"/>
    <w:rsid w:val="00AB1676"/>
    <w:rsid w:val="00AB28A5"/>
    <w:rsid w:val="00AB395C"/>
    <w:rsid w:val="00AB496E"/>
    <w:rsid w:val="00AB721A"/>
    <w:rsid w:val="00AC0F66"/>
    <w:rsid w:val="00AC2276"/>
    <w:rsid w:val="00AC6413"/>
    <w:rsid w:val="00AC741B"/>
    <w:rsid w:val="00AD1F19"/>
    <w:rsid w:val="00AD228A"/>
    <w:rsid w:val="00AD2B39"/>
    <w:rsid w:val="00AD7AD2"/>
    <w:rsid w:val="00AE0B47"/>
    <w:rsid w:val="00AE442A"/>
    <w:rsid w:val="00AE4D08"/>
    <w:rsid w:val="00AE547F"/>
    <w:rsid w:val="00AF028C"/>
    <w:rsid w:val="00AF07F8"/>
    <w:rsid w:val="00AF0B61"/>
    <w:rsid w:val="00AF0CD0"/>
    <w:rsid w:val="00AF35BD"/>
    <w:rsid w:val="00AF429B"/>
    <w:rsid w:val="00B00874"/>
    <w:rsid w:val="00B00C5D"/>
    <w:rsid w:val="00B01604"/>
    <w:rsid w:val="00B04581"/>
    <w:rsid w:val="00B06757"/>
    <w:rsid w:val="00B07088"/>
    <w:rsid w:val="00B072A6"/>
    <w:rsid w:val="00B1114E"/>
    <w:rsid w:val="00B13433"/>
    <w:rsid w:val="00B17440"/>
    <w:rsid w:val="00B178FA"/>
    <w:rsid w:val="00B23421"/>
    <w:rsid w:val="00B26213"/>
    <w:rsid w:val="00B27994"/>
    <w:rsid w:val="00B325A3"/>
    <w:rsid w:val="00B330E2"/>
    <w:rsid w:val="00B3488E"/>
    <w:rsid w:val="00B36D2C"/>
    <w:rsid w:val="00B36E38"/>
    <w:rsid w:val="00B405F8"/>
    <w:rsid w:val="00B44A4D"/>
    <w:rsid w:val="00B46446"/>
    <w:rsid w:val="00B606AB"/>
    <w:rsid w:val="00B60B05"/>
    <w:rsid w:val="00B629F6"/>
    <w:rsid w:val="00B64C46"/>
    <w:rsid w:val="00B66465"/>
    <w:rsid w:val="00B75E0C"/>
    <w:rsid w:val="00B75E21"/>
    <w:rsid w:val="00B76D49"/>
    <w:rsid w:val="00B77E86"/>
    <w:rsid w:val="00B80426"/>
    <w:rsid w:val="00B81697"/>
    <w:rsid w:val="00B87B1F"/>
    <w:rsid w:val="00B90972"/>
    <w:rsid w:val="00BA3404"/>
    <w:rsid w:val="00BA446E"/>
    <w:rsid w:val="00BA6F89"/>
    <w:rsid w:val="00BC7424"/>
    <w:rsid w:val="00BD2847"/>
    <w:rsid w:val="00BD6DE1"/>
    <w:rsid w:val="00BE64A8"/>
    <w:rsid w:val="00BE74C2"/>
    <w:rsid w:val="00BF6921"/>
    <w:rsid w:val="00C02EC7"/>
    <w:rsid w:val="00C03F07"/>
    <w:rsid w:val="00C159A3"/>
    <w:rsid w:val="00C16EEE"/>
    <w:rsid w:val="00C201F5"/>
    <w:rsid w:val="00C2170B"/>
    <w:rsid w:val="00C25CC9"/>
    <w:rsid w:val="00C322D8"/>
    <w:rsid w:val="00C325FE"/>
    <w:rsid w:val="00C3291D"/>
    <w:rsid w:val="00C37167"/>
    <w:rsid w:val="00C43E37"/>
    <w:rsid w:val="00C52340"/>
    <w:rsid w:val="00C64E2A"/>
    <w:rsid w:val="00C66F97"/>
    <w:rsid w:val="00C73BB7"/>
    <w:rsid w:val="00C76536"/>
    <w:rsid w:val="00C80D78"/>
    <w:rsid w:val="00C812C1"/>
    <w:rsid w:val="00C83E00"/>
    <w:rsid w:val="00C90B6D"/>
    <w:rsid w:val="00C90F1B"/>
    <w:rsid w:val="00C9375A"/>
    <w:rsid w:val="00C95E64"/>
    <w:rsid w:val="00C9783E"/>
    <w:rsid w:val="00CA06D2"/>
    <w:rsid w:val="00CA6B42"/>
    <w:rsid w:val="00CB21CD"/>
    <w:rsid w:val="00CB5DC8"/>
    <w:rsid w:val="00CC2B6B"/>
    <w:rsid w:val="00CC6C2D"/>
    <w:rsid w:val="00CC7309"/>
    <w:rsid w:val="00CD041D"/>
    <w:rsid w:val="00CD4A70"/>
    <w:rsid w:val="00CD5660"/>
    <w:rsid w:val="00CE1E0E"/>
    <w:rsid w:val="00CE35ED"/>
    <w:rsid w:val="00CE4AF0"/>
    <w:rsid w:val="00CE6C6E"/>
    <w:rsid w:val="00CF0E08"/>
    <w:rsid w:val="00CF3222"/>
    <w:rsid w:val="00CF3A73"/>
    <w:rsid w:val="00CF3CB6"/>
    <w:rsid w:val="00CF488A"/>
    <w:rsid w:val="00CF5109"/>
    <w:rsid w:val="00CF71FD"/>
    <w:rsid w:val="00D14E7E"/>
    <w:rsid w:val="00D16654"/>
    <w:rsid w:val="00D17BE1"/>
    <w:rsid w:val="00D254C5"/>
    <w:rsid w:val="00D25A28"/>
    <w:rsid w:val="00D27B3E"/>
    <w:rsid w:val="00D31809"/>
    <w:rsid w:val="00D31B04"/>
    <w:rsid w:val="00D31E18"/>
    <w:rsid w:val="00D32830"/>
    <w:rsid w:val="00D328C5"/>
    <w:rsid w:val="00D33E1E"/>
    <w:rsid w:val="00D37AD6"/>
    <w:rsid w:val="00D40843"/>
    <w:rsid w:val="00D40C35"/>
    <w:rsid w:val="00D42F36"/>
    <w:rsid w:val="00D44470"/>
    <w:rsid w:val="00D447EA"/>
    <w:rsid w:val="00D46FFA"/>
    <w:rsid w:val="00D51AF0"/>
    <w:rsid w:val="00D52343"/>
    <w:rsid w:val="00D54268"/>
    <w:rsid w:val="00D56FEB"/>
    <w:rsid w:val="00D57FE5"/>
    <w:rsid w:val="00D61418"/>
    <w:rsid w:val="00D6316D"/>
    <w:rsid w:val="00D648FF"/>
    <w:rsid w:val="00D64FF1"/>
    <w:rsid w:val="00D66D9A"/>
    <w:rsid w:val="00D751C4"/>
    <w:rsid w:val="00D8364A"/>
    <w:rsid w:val="00D865A7"/>
    <w:rsid w:val="00D932C8"/>
    <w:rsid w:val="00DA64D5"/>
    <w:rsid w:val="00DB582B"/>
    <w:rsid w:val="00DB7E2D"/>
    <w:rsid w:val="00DC070C"/>
    <w:rsid w:val="00DC1E3C"/>
    <w:rsid w:val="00DC39A0"/>
    <w:rsid w:val="00DC7813"/>
    <w:rsid w:val="00DD0DB0"/>
    <w:rsid w:val="00DD3B7F"/>
    <w:rsid w:val="00DE080A"/>
    <w:rsid w:val="00DE45D1"/>
    <w:rsid w:val="00DF238E"/>
    <w:rsid w:val="00DF3D0B"/>
    <w:rsid w:val="00DF49D3"/>
    <w:rsid w:val="00DF5EDF"/>
    <w:rsid w:val="00E07CA1"/>
    <w:rsid w:val="00E152AA"/>
    <w:rsid w:val="00E21A9E"/>
    <w:rsid w:val="00E23245"/>
    <w:rsid w:val="00E33117"/>
    <w:rsid w:val="00E4028B"/>
    <w:rsid w:val="00E4163C"/>
    <w:rsid w:val="00E41B36"/>
    <w:rsid w:val="00E52806"/>
    <w:rsid w:val="00E52855"/>
    <w:rsid w:val="00E571BF"/>
    <w:rsid w:val="00E65FDF"/>
    <w:rsid w:val="00E70316"/>
    <w:rsid w:val="00E70784"/>
    <w:rsid w:val="00E71CC7"/>
    <w:rsid w:val="00E7223C"/>
    <w:rsid w:val="00E809C9"/>
    <w:rsid w:val="00E82BE3"/>
    <w:rsid w:val="00E84AD9"/>
    <w:rsid w:val="00E922DE"/>
    <w:rsid w:val="00E97D53"/>
    <w:rsid w:val="00EA6551"/>
    <w:rsid w:val="00EB72FF"/>
    <w:rsid w:val="00EC2CC9"/>
    <w:rsid w:val="00EC33B9"/>
    <w:rsid w:val="00ED1340"/>
    <w:rsid w:val="00ED4ED2"/>
    <w:rsid w:val="00ED7C84"/>
    <w:rsid w:val="00EE12C1"/>
    <w:rsid w:val="00EF0530"/>
    <w:rsid w:val="00EF08AC"/>
    <w:rsid w:val="00EF1A01"/>
    <w:rsid w:val="00EF1FC9"/>
    <w:rsid w:val="00EF3475"/>
    <w:rsid w:val="00F12606"/>
    <w:rsid w:val="00F13BE4"/>
    <w:rsid w:val="00F1421A"/>
    <w:rsid w:val="00F142F8"/>
    <w:rsid w:val="00F25181"/>
    <w:rsid w:val="00F40471"/>
    <w:rsid w:val="00F464BF"/>
    <w:rsid w:val="00F521EB"/>
    <w:rsid w:val="00F530DE"/>
    <w:rsid w:val="00F60361"/>
    <w:rsid w:val="00F6352C"/>
    <w:rsid w:val="00F718A1"/>
    <w:rsid w:val="00F722DE"/>
    <w:rsid w:val="00F726A0"/>
    <w:rsid w:val="00F7292C"/>
    <w:rsid w:val="00F76EBA"/>
    <w:rsid w:val="00F7796B"/>
    <w:rsid w:val="00F801F0"/>
    <w:rsid w:val="00F8027F"/>
    <w:rsid w:val="00F80DDD"/>
    <w:rsid w:val="00F8130B"/>
    <w:rsid w:val="00F8294A"/>
    <w:rsid w:val="00F830D8"/>
    <w:rsid w:val="00F86107"/>
    <w:rsid w:val="00F91A36"/>
    <w:rsid w:val="00F94FCF"/>
    <w:rsid w:val="00F9782D"/>
    <w:rsid w:val="00FA0900"/>
    <w:rsid w:val="00FA2500"/>
    <w:rsid w:val="00FB3A83"/>
    <w:rsid w:val="00FB42E5"/>
    <w:rsid w:val="00FC25D7"/>
    <w:rsid w:val="00FC2DDE"/>
    <w:rsid w:val="00FC56C1"/>
    <w:rsid w:val="00FC5804"/>
    <w:rsid w:val="00FD149B"/>
    <w:rsid w:val="00FD6F46"/>
    <w:rsid w:val="00FD71F0"/>
    <w:rsid w:val="00FD787B"/>
    <w:rsid w:val="00FE38A0"/>
    <w:rsid w:val="00FE3B69"/>
    <w:rsid w:val="00FE6F85"/>
    <w:rsid w:val="00FF4304"/>
    <w:rsid w:val="01AF279D"/>
    <w:rsid w:val="02136F4B"/>
    <w:rsid w:val="08645310"/>
    <w:rsid w:val="0B4C5F48"/>
    <w:rsid w:val="0EC20452"/>
    <w:rsid w:val="0F276507"/>
    <w:rsid w:val="0FD06744"/>
    <w:rsid w:val="0FD52407"/>
    <w:rsid w:val="11C72224"/>
    <w:rsid w:val="140B464A"/>
    <w:rsid w:val="14953508"/>
    <w:rsid w:val="14CA62B3"/>
    <w:rsid w:val="155E2E9F"/>
    <w:rsid w:val="16C17241"/>
    <w:rsid w:val="1788238C"/>
    <w:rsid w:val="1870094F"/>
    <w:rsid w:val="19B47531"/>
    <w:rsid w:val="19BF6413"/>
    <w:rsid w:val="1B4B0CB3"/>
    <w:rsid w:val="1D5B78C1"/>
    <w:rsid w:val="1E7644ED"/>
    <w:rsid w:val="20F52909"/>
    <w:rsid w:val="25A77F4A"/>
    <w:rsid w:val="270E6F97"/>
    <w:rsid w:val="27951823"/>
    <w:rsid w:val="27B73DC6"/>
    <w:rsid w:val="2A7F1A2E"/>
    <w:rsid w:val="2A9904EC"/>
    <w:rsid w:val="2B5711AB"/>
    <w:rsid w:val="2C770676"/>
    <w:rsid w:val="2CA13945"/>
    <w:rsid w:val="2E813A2E"/>
    <w:rsid w:val="2F097960"/>
    <w:rsid w:val="31AB491E"/>
    <w:rsid w:val="32193F7E"/>
    <w:rsid w:val="32427031"/>
    <w:rsid w:val="325F698A"/>
    <w:rsid w:val="32C739DA"/>
    <w:rsid w:val="33296443"/>
    <w:rsid w:val="35213875"/>
    <w:rsid w:val="35395BCF"/>
    <w:rsid w:val="35D501BC"/>
    <w:rsid w:val="35EF127D"/>
    <w:rsid w:val="371B37BB"/>
    <w:rsid w:val="3A6A181A"/>
    <w:rsid w:val="3DAB4624"/>
    <w:rsid w:val="3DB4526A"/>
    <w:rsid w:val="3FD87226"/>
    <w:rsid w:val="41B16C01"/>
    <w:rsid w:val="42442539"/>
    <w:rsid w:val="44103433"/>
    <w:rsid w:val="4BAB2B21"/>
    <w:rsid w:val="4C0A0767"/>
    <w:rsid w:val="4CBC32F1"/>
    <w:rsid w:val="4CD55219"/>
    <w:rsid w:val="4D2C6E03"/>
    <w:rsid w:val="4E391AD9"/>
    <w:rsid w:val="4E9F792B"/>
    <w:rsid w:val="53415499"/>
    <w:rsid w:val="56E349F0"/>
    <w:rsid w:val="58C85C32"/>
    <w:rsid w:val="5C8023D4"/>
    <w:rsid w:val="62634C1E"/>
    <w:rsid w:val="64030466"/>
    <w:rsid w:val="640970FF"/>
    <w:rsid w:val="64CF0348"/>
    <w:rsid w:val="652B653A"/>
    <w:rsid w:val="678371C8"/>
    <w:rsid w:val="68B7537B"/>
    <w:rsid w:val="690D42CF"/>
    <w:rsid w:val="69E77EE2"/>
    <w:rsid w:val="6C335661"/>
    <w:rsid w:val="70AE2463"/>
    <w:rsid w:val="7189045B"/>
    <w:rsid w:val="74BA691F"/>
    <w:rsid w:val="761D67D9"/>
    <w:rsid w:val="77000835"/>
    <w:rsid w:val="782347DB"/>
    <w:rsid w:val="7A041623"/>
    <w:rsid w:val="7A3902E6"/>
    <w:rsid w:val="7A825B33"/>
    <w:rsid w:val="7A8A0B42"/>
    <w:rsid w:val="7AB11D39"/>
    <w:rsid w:val="7B31335E"/>
    <w:rsid w:val="7D6A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宋体" w:hAnsi="宋体" w:eastAsia="宋体" w:cs="宋体"/>
      <w:sz w:val="24"/>
      <w:szCs w:val="24"/>
      <w:lang w:val="en-US" w:eastAsia="zh-CN" w:bidi="ar-SA"/>
    </w:rPr>
  </w:style>
  <w:style w:type="paragraph" w:styleId="2">
    <w:name w:val="heading 1"/>
    <w:basedOn w:val="1"/>
    <w:autoRedefine/>
    <w:qFormat/>
    <w:uiPriority w:val="1"/>
    <w:pPr>
      <w:ind w:left="1463"/>
      <w:outlineLvl w:val="1"/>
    </w:pPr>
    <w:rPr>
      <w:rFonts w:ascii="微软雅黑" w:hAnsi="微软雅黑" w:eastAsia="微软雅黑" w:cs="微软雅黑"/>
      <w:b/>
      <w:bCs/>
      <w:sz w:val="32"/>
      <w:szCs w:val="32"/>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textAlignment w:val="baseline"/>
    </w:pPr>
    <w:rPr>
      <w:rFonts w:ascii="Calibri" w:hAnsi="Calibri" w:cs="Times New Roman"/>
      <w:kern w:val="2"/>
      <w:sz w:val="21"/>
    </w:rPr>
  </w:style>
  <w:style w:type="paragraph" w:styleId="4">
    <w:name w:val="Body Text"/>
    <w:basedOn w:val="1"/>
    <w:autoRedefine/>
    <w:qFormat/>
    <w:uiPriority w:val="0"/>
    <w:pPr>
      <w:spacing w:after="120"/>
    </w:pPr>
  </w:style>
  <w:style w:type="paragraph" w:styleId="5">
    <w:name w:val="Balloon Text"/>
    <w:basedOn w:val="1"/>
    <w:link w:val="16"/>
    <w:autoRedefine/>
    <w:semiHidden/>
    <w:unhideWhenUsed/>
    <w:qFormat/>
    <w:uiPriority w:val="99"/>
    <w:pPr>
      <w:jc w:val="both"/>
      <w:textAlignment w:val="baseline"/>
    </w:pPr>
    <w:rPr>
      <w:rFonts w:ascii="Calibri" w:hAnsi="Calibri" w:cs="Times New Roman"/>
      <w:kern w:val="2"/>
      <w:sz w:val="18"/>
      <w:szCs w:val="18"/>
    </w:rPr>
  </w:style>
  <w:style w:type="paragraph" w:styleId="6">
    <w:name w:val="footer"/>
    <w:basedOn w:val="1"/>
    <w:link w:val="15"/>
    <w:autoRedefine/>
    <w:unhideWhenUsed/>
    <w:qFormat/>
    <w:uiPriority w:val="99"/>
    <w:pPr>
      <w:tabs>
        <w:tab w:val="center" w:pos="4153"/>
        <w:tab w:val="right" w:pos="8306"/>
      </w:tabs>
      <w:snapToGrid w:val="0"/>
      <w:textAlignment w:val="baseline"/>
    </w:pPr>
    <w:rPr>
      <w:rFonts w:ascii="Calibri" w:hAnsi="Calibri" w:cs="Times New Roman"/>
      <w:kern w:val="2"/>
      <w:sz w:val="18"/>
      <w:szCs w:val="18"/>
    </w:rPr>
  </w:style>
  <w:style w:type="paragraph" w:styleId="7">
    <w:name w:val="header"/>
    <w:basedOn w:val="1"/>
    <w:link w:val="14"/>
    <w:autoRedefine/>
    <w:unhideWhenUsed/>
    <w:qFormat/>
    <w:uiPriority w:val="99"/>
    <w:pPr>
      <w:pBdr>
        <w:bottom w:val="single" w:color="auto" w:sz="6" w:space="1"/>
      </w:pBdr>
      <w:tabs>
        <w:tab w:val="center" w:pos="4153"/>
        <w:tab w:val="right" w:pos="8306"/>
      </w:tabs>
      <w:snapToGrid w:val="0"/>
      <w:jc w:val="center"/>
      <w:textAlignment w:val="baseline"/>
    </w:pPr>
    <w:rPr>
      <w:rFonts w:ascii="Calibri" w:hAnsi="Calibri" w:cs="Times New Roman"/>
      <w:kern w:val="2"/>
      <w:sz w:val="18"/>
      <w:szCs w:val="18"/>
    </w:rPr>
  </w:style>
  <w:style w:type="paragraph" w:styleId="8">
    <w:name w:val="HTML Preformatted"/>
    <w:basedOn w:val="1"/>
    <w:link w:val="18"/>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9">
    <w:name w:val="Normal (Web)"/>
    <w:basedOn w:val="1"/>
    <w:autoRedefine/>
    <w:unhideWhenUsed/>
    <w:qFormat/>
    <w:uiPriority w:val="99"/>
    <w:pPr>
      <w:spacing w:before="100" w:beforeAutospacing="1" w:after="100" w:afterAutospacing="1"/>
    </w:pPr>
  </w:style>
  <w:style w:type="table" w:styleId="11">
    <w:name w:val="Table Grid"/>
    <w:basedOn w:val="1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autoRedefine/>
    <w:qFormat/>
    <w:uiPriority w:val="34"/>
    <w:pPr>
      <w:ind w:firstLine="420" w:firstLineChars="200"/>
    </w:pPr>
  </w:style>
  <w:style w:type="character" w:customStyle="1" w:styleId="14">
    <w:name w:val="页眉 字符"/>
    <w:basedOn w:val="12"/>
    <w:link w:val="7"/>
    <w:autoRedefine/>
    <w:qFormat/>
    <w:uiPriority w:val="99"/>
    <w:rPr>
      <w:rFonts w:ascii="Calibri" w:hAnsi="Calibri"/>
      <w:kern w:val="2"/>
      <w:sz w:val="18"/>
      <w:szCs w:val="18"/>
    </w:rPr>
  </w:style>
  <w:style w:type="character" w:customStyle="1" w:styleId="15">
    <w:name w:val="页脚 字符"/>
    <w:basedOn w:val="12"/>
    <w:link w:val="6"/>
    <w:autoRedefine/>
    <w:qFormat/>
    <w:uiPriority w:val="99"/>
    <w:rPr>
      <w:rFonts w:ascii="Calibri" w:hAnsi="Calibri"/>
      <w:kern w:val="2"/>
      <w:sz w:val="18"/>
      <w:szCs w:val="18"/>
    </w:rPr>
  </w:style>
  <w:style w:type="character" w:customStyle="1" w:styleId="16">
    <w:name w:val="批注框文本 字符"/>
    <w:basedOn w:val="12"/>
    <w:link w:val="5"/>
    <w:autoRedefine/>
    <w:semiHidden/>
    <w:qFormat/>
    <w:uiPriority w:val="99"/>
    <w:rPr>
      <w:rFonts w:ascii="Calibri" w:hAnsi="Calibri"/>
      <w:kern w:val="2"/>
      <w:sz w:val="18"/>
      <w:szCs w:val="18"/>
    </w:rPr>
  </w:style>
  <w:style w:type="paragraph" w:customStyle="1" w:styleId="17">
    <w:name w:val="修订1"/>
    <w:autoRedefine/>
    <w:hidden/>
    <w:semiHidden/>
    <w:qFormat/>
    <w:uiPriority w:val="99"/>
    <w:rPr>
      <w:rFonts w:ascii="Calibri" w:hAnsi="Calibri" w:eastAsia="宋体" w:cs="Times New Roman"/>
      <w:kern w:val="2"/>
      <w:sz w:val="21"/>
      <w:szCs w:val="24"/>
      <w:lang w:val="en-US" w:eastAsia="zh-CN" w:bidi="ar-SA"/>
    </w:rPr>
  </w:style>
  <w:style w:type="character" w:customStyle="1" w:styleId="18">
    <w:name w:val="HTML 预设格式 字符"/>
    <w:basedOn w:val="12"/>
    <w:link w:val="8"/>
    <w:autoRedefine/>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2871</Words>
  <Characters>16368</Characters>
  <Lines>136</Lines>
  <Paragraphs>38</Paragraphs>
  <TotalTime>34</TotalTime>
  <ScaleCrop>false</ScaleCrop>
  <LinksUpToDate>false</LinksUpToDate>
  <CharactersWithSpaces>19201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2024-02-20T13:01:00Z</dcterms:created>
  <dc:creator>Administrator</dc:creator>
  <cp:lastModifiedBy>企业用户_384828762</cp:lastModifiedBy>
  <dcterms:modified xsi:type="dcterms:W3CDTF">2024-03-11T01:56:49Z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A6ADB86E308A47BAAEC687A36B42F551_13</vt:lpwstr>
  </property>
</Properties>
</file>