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autoSpaceDE/>
        <w:autoSpaceDN/>
        <w:spacing w:line="640" w:lineRule="exact"/>
        <w:jc w:val="center"/>
        <w:outlineLvl w:val="0"/>
        <w:rPr>
          <w:b/>
          <w:bCs/>
          <w:color w:val="000000"/>
          <w:spacing w:val="-21"/>
          <w:sz w:val="44"/>
          <w:szCs w:val="44"/>
          <w:shd w:val="clear" w:color="auto" w:fill="FFFFFF"/>
          <w:lang w:val="en-US" w:bidi="ar-SA"/>
        </w:rPr>
      </w:pPr>
      <w:r>
        <w:rPr>
          <w:rFonts w:hint="eastAsia"/>
          <w:b/>
          <w:bCs/>
          <w:color w:val="000000"/>
          <w:spacing w:val="-21"/>
          <w:sz w:val="44"/>
          <w:szCs w:val="44"/>
          <w:shd w:val="clear" w:color="auto" w:fill="FFFFFF"/>
          <w:lang w:val="en-US" w:bidi="ar-SA"/>
        </w:rPr>
        <w:t>2025年河北省职业院校技能大赛（高职组）</w:t>
      </w:r>
    </w:p>
    <w:p>
      <w:pPr>
        <w:widowControl/>
        <w:shd w:val="clear" w:color="auto" w:fill="FFFFFF"/>
        <w:autoSpaceDE/>
        <w:autoSpaceDN/>
        <w:spacing w:line="640" w:lineRule="exact"/>
        <w:jc w:val="center"/>
        <w:outlineLvl w:val="0"/>
        <w:rPr>
          <w:b/>
          <w:bCs/>
          <w:color w:val="000000"/>
          <w:spacing w:val="-21"/>
          <w:sz w:val="44"/>
          <w:szCs w:val="44"/>
          <w:shd w:val="clear" w:color="auto" w:fill="FFFFFF"/>
          <w:lang w:val="en-US" w:bidi="ar-SA"/>
        </w:rPr>
      </w:pPr>
      <w:r>
        <w:rPr>
          <w:rFonts w:hint="eastAsia"/>
          <w:b/>
          <w:bCs/>
          <w:color w:val="000000"/>
          <w:spacing w:val="-21"/>
          <w:sz w:val="44"/>
          <w:szCs w:val="44"/>
          <w:shd w:val="clear" w:color="auto" w:fill="FFFFFF"/>
          <w:lang w:val="en-US" w:bidi="ar-SA"/>
        </w:rPr>
        <w:t>“网络系统管理”赛项规程</w:t>
      </w:r>
    </w:p>
    <w:p>
      <w:pPr>
        <w:widowControl/>
        <w:shd w:val="clear" w:color="auto" w:fill="FFFFFF"/>
        <w:autoSpaceDE/>
        <w:autoSpaceDN/>
        <w:spacing w:line="640" w:lineRule="exact"/>
        <w:jc w:val="center"/>
        <w:outlineLvl w:val="0"/>
        <w:rPr>
          <w:b/>
          <w:bCs/>
          <w:color w:val="000000"/>
          <w:spacing w:val="-21"/>
          <w:sz w:val="44"/>
          <w:szCs w:val="44"/>
          <w:shd w:val="clear" w:color="auto" w:fill="FFFFFF"/>
          <w:lang w:val="en-US" w:bidi="ar-SA"/>
        </w:rPr>
      </w:pPr>
    </w:p>
    <w:p>
      <w:pPr>
        <w:autoSpaceDE/>
        <w:autoSpaceDN/>
        <w:adjustRightInd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bidi="ar-SA"/>
        </w:rPr>
        <w:t>一、赛项名称</w:t>
      </w:r>
    </w:p>
    <w:p>
      <w:pPr>
        <w:pStyle w:val="3"/>
        <w:ind w:left="788" w:right="5856" w:firstLine="0"/>
        <w:rPr>
          <w:rFonts w:ascii="仿宋" w:hAnsi="仿宋" w:eastAsia="仿宋" w:cs="仿宋"/>
          <w:spacing w:val="-5"/>
          <w:lang w:val="en-US"/>
        </w:rPr>
      </w:pPr>
      <w:r>
        <w:rPr>
          <w:rFonts w:hint="eastAsia" w:ascii="仿宋" w:hAnsi="仿宋" w:eastAsia="仿宋" w:cs="仿宋"/>
          <w:spacing w:val="-5"/>
        </w:rPr>
        <w:t>赛项编号：GZ073</w:t>
      </w:r>
    </w:p>
    <w:p>
      <w:pPr>
        <w:pStyle w:val="3"/>
        <w:ind w:left="788" w:right="5856" w:firstLine="0"/>
        <w:rPr>
          <w:rFonts w:ascii="仿宋" w:hAnsi="仿宋" w:eastAsia="仿宋" w:cs="仿宋"/>
          <w:spacing w:val="-3"/>
        </w:rPr>
      </w:pPr>
      <w:r>
        <w:rPr>
          <w:rFonts w:hint="eastAsia" w:ascii="仿宋" w:hAnsi="仿宋" w:eastAsia="仿宋" w:cs="仿宋"/>
          <w:spacing w:val="-5"/>
        </w:rPr>
        <w:t>赛项名称：网络系统管理</w:t>
      </w:r>
      <w:r>
        <w:rPr>
          <w:rFonts w:hint="eastAsia" w:ascii="仿宋" w:hAnsi="仿宋" w:eastAsia="仿宋" w:cs="仿宋"/>
          <w:spacing w:val="-3"/>
        </w:rPr>
        <w:t>赛项组别：高职</w:t>
      </w:r>
    </w:p>
    <w:p>
      <w:pPr>
        <w:pStyle w:val="3"/>
        <w:rPr>
          <w:rFonts w:ascii="仿宋" w:hAnsi="仿宋" w:eastAsia="仿宋" w:cs="仿宋"/>
          <w:spacing w:val="-3"/>
        </w:rPr>
      </w:pPr>
      <w:r>
        <w:rPr>
          <w:rFonts w:hint="eastAsia" w:ascii="仿宋" w:hAnsi="仿宋" w:eastAsia="仿宋" w:cs="仿宋"/>
        </w:rPr>
        <w:t>赛项归属：电子与信息大类</w:t>
      </w:r>
    </w:p>
    <w:p>
      <w:pPr>
        <w:autoSpaceDE/>
        <w:autoSpaceDN/>
        <w:adjustRightInd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bidi="ar-SA"/>
        </w:rPr>
        <w:t>二、竞赛目的</w:t>
      </w:r>
    </w:p>
    <w:p>
      <w:pPr>
        <w:pStyle w:val="3"/>
        <w:spacing w:before="123"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本赛项旨在融合世界技能大赛的技术标准和规则要求，通过大赛让参赛选手经历一个基于完整工作过程的检测，使参赛选手熟悉并掌握行业的技术规范和技术标准。通过竞赛来检测教学水平，引领和促进职业教育教学改革，营造崇尚技能的社会氛围。</w:t>
      </w:r>
    </w:p>
    <w:p>
      <w:pPr>
        <w:pStyle w:val="3"/>
        <w:spacing w:line="364" w:lineRule="auto"/>
        <w:ind w:left="226" w:right="624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3"/>
        </w:rPr>
        <w:t>网络系统管理岗位上的人员主要工作在商业和组织机构中，包括网络运营中心、互联网服务提供商、数据中心等工作场所；为用户提供日</w:t>
      </w:r>
      <w:r>
        <w:rPr>
          <w:rFonts w:hint="eastAsia" w:ascii="仿宋" w:hAnsi="仿宋" w:eastAsia="仿宋" w:cs="仿宋"/>
        </w:rPr>
        <w:t>常IT</w:t>
      </w:r>
      <w:r>
        <w:rPr>
          <w:rFonts w:hint="eastAsia" w:ascii="仿宋" w:hAnsi="仿宋" w:eastAsia="仿宋" w:cs="仿宋"/>
          <w:spacing w:val="-5"/>
        </w:rPr>
        <w:t>业务运营，支持广泛的</w:t>
      </w:r>
      <w:r>
        <w:rPr>
          <w:rFonts w:hint="eastAsia" w:ascii="仿宋" w:hAnsi="仿宋" w:eastAsia="仿宋" w:cs="仿宋"/>
        </w:rPr>
        <w:t>IT</w:t>
      </w:r>
      <w:r>
        <w:rPr>
          <w:rFonts w:hint="eastAsia" w:ascii="仿宋" w:hAnsi="仿宋" w:eastAsia="仿宋" w:cs="仿宋"/>
          <w:spacing w:val="-8"/>
        </w:rPr>
        <w:t>信息服务：用户业务支持、故障排除、</w:t>
      </w:r>
      <w:r>
        <w:rPr>
          <w:rFonts w:hint="eastAsia" w:ascii="仿宋" w:hAnsi="仿宋" w:eastAsia="仿宋" w:cs="仿宋"/>
          <w:spacing w:val="-5"/>
        </w:rPr>
        <w:t>设计、安装与升级操作系统、规划网络应用、配置网络设备等。此外，</w:t>
      </w:r>
      <w:r>
        <w:rPr>
          <w:rFonts w:hint="eastAsia" w:ascii="仿宋" w:hAnsi="仿宋" w:eastAsia="仿宋" w:cs="仿宋"/>
          <w:spacing w:val="-4"/>
        </w:rPr>
        <w:t>网络系统管理人员有责任与用户进行专业的工作交互，以满足用户的信息化需求，确保</w:t>
      </w:r>
      <w:r>
        <w:rPr>
          <w:rFonts w:hint="eastAsia" w:ascii="仿宋" w:hAnsi="仿宋" w:eastAsia="仿宋" w:cs="仿宋"/>
        </w:rPr>
        <w:t>IT</w:t>
      </w:r>
      <w:r>
        <w:rPr>
          <w:rFonts w:hint="eastAsia" w:ascii="仿宋" w:hAnsi="仿宋" w:eastAsia="仿宋" w:cs="仿宋"/>
          <w:spacing w:val="-3"/>
        </w:rPr>
        <w:t>系统和网络服务的连续性，并对</w:t>
      </w:r>
      <w:r>
        <w:rPr>
          <w:rFonts w:hint="eastAsia" w:ascii="仿宋" w:hAnsi="仿宋" w:eastAsia="仿宋" w:cs="仿宋"/>
        </w:rPr>
        <w:t>IT</w:t>
      </w:r>
      <w:r>
        <w:rPr>
          <w:rFonts w:hint="eastAsia" w:ascii="仿宋" w:hAnsi="仿宋" w:eastAsia="仿宋" w:cs="仿宋"/>
          <w:spacing w:val="-1"/>
        </w:rPr>
        <w:t>系统的运营和</w:t>
      </w:r>
      <w:r>
        <w:rPr>
          <w:rFonts w:hint="eastAsia" w:ascii="仿宋" w:hAnsi="仿宋" w:eastAsia="仿宋" w:cs="仿宋"/>
          <w:spacing w:val="-8"/>
        </w:rPr>
        <w:t>网络服务的开发提供建议和指导，以提升</w:t>
      </w:r>
      <w:r>
        <w:rPr>
          <w:rFonts w:hint="eastAsia" w:ascii="仿宋" w:hAnsi="仿宋" w:eastAsia="仿宋" w:cs="仿宋"/>
        </w:rPr>
        <w:t>IT</w:t>
      </w:r>
      <w:r>
        <w:rPr>
          <w:rFonts w:hint="eastAsia" w:ascii="仿宋" w:hAnsi="仿宋" w:eastAsia="仿宋" w:cs="仿宋"/>
          <w:spacing w:val="-2"/>
        </w:rPr>
        <w:t>网络信息系统的管理效能，</w:t>
      </w:r>
      <w:r>
        <w:rPr>
          <w:rFonts w:hint="eastAsia" w:ascii="仿宋" w:hAnsi="仿宋" w:eastAsia="仿宋" w:cs="仿宋"/>
          <w:spacing w:val="-3"/>
        </w:rPr>
        <w:t>推动组织向前发展。</w:t>
      </w:r>
    </w:p>
    <w:p>
      <w:pPr>
        <w:pStyle w:val="3"/>
        <w:spacing w:line="364" w:lineRule="auto"/>
        <w:ind w:left="226" w:right="684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通过大赛培养参赛选手在企业真实项目环境下进行网络规划与实施、配置网络设备的基础信息、搭建网络与部署信息化系统的方案、搭建移动互联网与实现无线网络优化、实施出口安全防护与远程接入、搭建网络服务与配置企业应用、完成网络设计与规划等信息化全网融合领域的核心技能；同时培养选手的抗压力、6S规范等职业素质；展现职业院校计算机网络技术及其相关专业学生的技能与风采，激发学生求知欲和参赛热情，以达到“以赛促学、以赛促教、以赛促改”目的。</w:t>
      </w:r>
    </w:p>
    <w:p>
      <w:pPr>
        <w:pStyle w:val="3"/>
        <w:spacing w:line="364" w:lineRule="auto"/>
        <w:ind w:left="226" w:right="626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10"/>
        </w:rPr>
        <w:t>通过大赛搭建校企合作平台，引导更多的行业、企业参与校企合作，</w:t>
      </w:r>
      <w:r>
        <w:rPr>
          <w:rFonts w:hint="eastAsia" w:ascii="仿宋" w:hAnsi="仿宋" w:eastAsia="仿宋" w:cs="仿宋"/>
          <w:spacing w:val="-3"/>
        </w:rPr>
        <w:t>深化产教融合，推进产教融合人才培养，使职业院校能更深入地了解产业的发展趋势以及产业对</w:t>
      </w:r>
      <w:r>
        <w:rPr>
          <w:rFonts w:hint="eastAsia" w:ascii="仿宋" w:hAnsi="仿宋" w:eastAsia="仿宋" w:cs="仿宋"/>
        </w:rPr>
        <w:t>IT</w:t>
      </w:r>
      <w:r>
        <w:rPr>
          <w:rFonts w:hint="eastAsia" w:ascii="仿宋" w:hAnsi="仿宋" w:eastAsia="仿宋" w:cs="仿宋"/>
          <w:spacing w:val="-3"/>
        </w:rPr>
        <w:t>人才的需求标准，引领计算机网络技术及</w:t>
      </w:r>
      <w:r>
        <w:rPr>
          <w:rFonts w:hint="eastAsia" w:ascii="仿宋" w:hAnsi="仿宋" w:eastAsia="仿宋" w:cs="仿宋"/>
          <w:spacing w:val="-9"/>
        </w:rPr>
        <w:t>相关专业改革与发展，适应互联网+、移动互联、云计算、大数据、智慧</w:t>
      </w:r>
      <w:r>
        <w:rPr>
          <w:rFonts w:hint="eastAsia" w:ascii="仿宋" w:hAnsi="仿宋" w:eastAsia="仿宋" w:cs="仿宋"/>
          <w:spacing w:val="-6"/>
        </w:rPr>
        <w:t>城市等新一代网络技术发展的需求，推动专业的新模式、新业态、新应</w:t>
      </w:r>
      <w:r>
        <w:rPr>
          <w:rFonts w:hint="eastAsia" w:ascii="仿宋" w:hAnsi="仿宋" w:eastAsia="仿宋" w:cs="仿宋"/>
          <w:spacing w:val="-5"/>
        </w:rPr>
        <w:t>用的发展。</w:t>
      </w:r>
    </w:p>
    <w:p>
      <w:pPr>
        <w:pStyle w:val="3"/>
        <w:spacing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通过大赛培养一批“实践能力强、教学水平高、敬业精神佳”的双师型“种子教师”师资队伍，建设一批高质量、立体化的专业课程资源包、项目教学资源等。</w:t>
      </w:r>
    </w:p>
    <w:p>
      <w:pPr>
        <w:autoSpaceDE/>
        <w:autoSpaceDN/>
        <w:adjustRightInd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bidi="ar-SA"/>
        </w:rPr>
        <w:t>三、竞赛内容</w:t>
      </w:r>
    </w:p>
    <w:p>
      <w:pPr>
        <w:pStyle w:val="3"/>
        <w:spacing w:before="123"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网络系统管理赛项基于企业真实项目，结合企业岗位技能需求，在规定时间内完成指定任务的网络系统规划和网络服务业务部署。</w:t>
      </w: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（一）竞赛内容</w:t>
      </w:r>
    </w:p>
    <w:p>
      <w:pPr>
        <w:pStyle w:val="3"/>
        <w:spacing w:before="123"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本赛项基于企业真实项目和工作任务，结合企业岗位对学生职业技能的最新需求，要求选手在规定时间内完成项目需求分析与网络设计规划、网络设备配置、企业网络服务与应用部署、网络运维管理等典型工作任务，考察选手在信息化网络领域的职业素养、专业技能、创新意识等能力。</w:t>
      </w:r>
    </w:p>
    <w:p>
      <w:pPr>
        <w:pStyle w:val="3"/>
        <w:spacing w:before="123"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本竞赛只考核技能，不涉及理论，考核点如下表所示。本竞赛总计1000分，最终核算为100分。</w:t>
      </w:r>
    </w:p>
    <w:p>
      <w:pPr>
        <w:pStyle w:val="3"/>
        <w:ind w:left="0" w:firstLine="0"/>
        <w:rPr>
          <w:sz w:val="20"/>
        </w:rPr>
      </w:pPr>
    </w:p>
    <w:p>
      <w:pPr>
        <w:pStyle w:val="3"/>
        <w:spacing w:before="9"/>
        <w:ind w:left="0" w:firstLine="0"/>
        <w:rPr>
          <w:sz w:val="11"/>
        </w:rPr>
      </w:pP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0"/>
        <w:gridCol w:w="2084"/>
        <w:gridCol w:w="1049"/>
        <w:gridCol w:w="1341"/>
        <w:gridCol w:w="16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1330" w:type="dxa"/>
            <w:vMerge w:val="restart"/>
          </w:tcPr>
          <w:p>
            <w:pPr>
              <w:pStyle w:val="11"/>
              <w:spacing w:before="83"/>
              <w:ind w:left="182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模块编号</w:t>
            </w:r>
          </w:p>
        </w:tc>
        <w:tc>
          <w:tcPr>
            <w:tcW w:w="2084" w:type="dxa"/>
            <w:vMerge w:val="restart"/>
          </w:tcPr>
          <w:p>
            <w:pPr>
              <w:pStyle w:val="11"/>
              <w:spacing w:before="83"/>
              <w:ind w:left="268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模块名称</w:t>
            </w:r>
          </w:p>
        </w:tc>
        <w:tc>
          <w:tcPr>
            <w:tcW w:w="4012" w:type="dxa"/>
            <w:gridSpan w:val="3"/>
          </w:tcPr>
          <w:p>
            <w:pPr>
              <w:pStyle w:val="11"/>
              <w:spacing w:line="292" w:lineRule="exact"/>
              <w:ind w:left="1751" w:right="174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分数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1330" w:type="dxa"/>
            <w:vMerge w:val="continue"/>
            <w:tcBorders>
              <w:top w:val="nil"/>
            </w:tcBorders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84" w:type="dxa"/>
            <w:vMerge w:val="continue"/>
            <w:tcBorders>
              <w:top w:val="nil"/>
            </w:tcBorders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pStyle w:val="11"/>
              <w:spacing w:line="289" w:lineRule="exact"/>
              <w:ind w:left="88" w:right="82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评价分</w:t>
            </w:r>
          </w:p>
        </w:tc>
        <w:tc>
          <w:tcPr>
            <w:tcW w:w="1341" w:type="dxa"/>
          </w:tcPr>
          <w:p>
            <w:pPr>
              <w:pStyle w:val="11"/>
              <w:spacing w:line="289" w:lineRule="exact"/>
              <w:ind w:left="116" w:right="107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测量分（%）</w:t>
            </w:r>
          </w:p>
        </w:tc>
        <w:tc>
          <w:tcPr>
            <w:tcW w:w="1622" w:type="dxa"/>
          </w:tcPr>
          <w:p>
            <w:pPr>
              <w:pStyle w:val="11"/>
              <w:spacing w:line="289" w:lineRule="exact"/>
              <w:ind w:left="85" w:right="78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合计（%）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1330" w:type="dxa"/>
          </w:tcPr>
          <w:p>
            <w:pPr>
              <w:pStyle w:val="11"/>
              <w:spacing w:before="2" w:line="289" w:lineRule="exact"/>
              <w:ind w:left="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A</w:t>
            </w:r>
          </w:p>
        </w:tc>
        <w:tc>
          <w:tcPr>
            <w:tcW w:w="2084" w:type="dxa"/>
          </w:tcPr>
          <w:p>
            <w:pPr>
              <w:pStyle w:val="11"/>
              <w:spacing w:before="2" w:line="289" w:lineRule="exact"/>
              <w:ind w:right="261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网络构建</w:t>
            </w:r>
          </w:p>
        </w:tc>
        <w:tc>
          <w:tcPr>
            <w:tcW w:w="1049" w:type="dxa"/>
          </w:tcPr>
          <w:p>
            <w:pPr>
              <w:pStyle w:val="11"/>
              <w:spacing w:before="2" w:line="289" w:lineRule="exact"/>
              <w:ind w:left="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/</w:t>
            </w:r>
          </w:p>
        </w:tc>
        <w:tc>
          <w:tcPr>
            <w:tcW w:w="1341" w:type="dxa"/>
          </w:tcPr>
          <w:p>
            <w:pPr>
              <w:pStyle w:val="11"/>
              <w:spacing w:before="2" w:line="289" w:lineRule="exact"/>
              <w:ind w:left="116" w:right="107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60</w:t>
            </w:r>
          </w:p>
        </w:tc>
        <w:tc>
          <w:tcPr>
            <w:tcW w:w="1622" w:type="dxa"/>
          </w:tcPr>
          <w:p>
            <w:pPr>
              <w:pStyle w:val="11"/>
              <w:spacing w:before="2" w:line="289" w:lineRule="exact"/>
              <w:ind w:left="84" w:right="78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1330" w:type="dxa"/>
          </w:tcPr>
          <w:p>
            <w:pPr>
              <w:pStyle w:val="11"/>
              <w:spacing w:before="2" w:line="289" w:lineRule="exact"/>
              <w:ind w:left="9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B</w:t>
            </w:r>
          </w:p>
        </w:tc>
        <w:tc>
          <w:tcPr>
            <w:tcW w:w="2084" w:type="dxa"/>
          </w:tcPr>
          <w:p>
            <w:pPr>
              <w:pStyle w:val="11"/>
              <w:spacing w:before="2" w:line="289" w:lineRule="exact"/>
              <w:ind w:right="261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系统服务</w:t>
            </w:r>
          </w:p>
        </w:tc>
        <w:tc>
          <w:tcPr>
            <w:tcW w:w="1049" w:type="dxa"/>
          </w:tcPr>
          <w:p>
            <w:pPr>
              <w:pStyle w:val="11"/>
              <w:spacing w:before="2" w:line="289" w:lineRule="exact"/>
              <w:ind w:left="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/</w:t>
            </w:r>
          </w:p>
        </w:tc>
        <w:tc>
          <w:tcPr>
            <w:tcW w:w="1341" w:type="dxa"/>
          </w:tcPr>
          <w:p>
            <w:pPr>
              <w:pStyle w:val="11"/>
              <w:spacing w:before="2" w:line="289" w:lineRule="exact"/>
              <w:ind w:left="116" w:right="107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40</w:t>
            </w:r>
          </w:p>
        </w:tc>
        <w:tc>
          <w:tcPr>
            <w:tcW w:w="1622" w:type="dxa"/>
          </w:tcPr>
          <w:p>
            <w:pPr>
              <w:pStyle w:val="11"/>
              <w:spacing w:before="2" w:line="289" w:lineRule="exact"/>
              <w:ind w:left="84" w:right="78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5804" w:type="dxa"/>
            <w:gridSpan w:val="4"/>
          </w:tcPr>
          <w:p>
            <w:pPr>
              <w:pStyle w:val="11"/>
              <w:spacing w:before="2" w:line="289" w:lineRule="exact"/>
              <w:ind w:left="2471" w:right="2464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总分</w:t>
            </w:r>
          </w:p>
        </w:tc>
        <w:tc>
          <w:tcPr>
            <w:tcW w:w="1622" w:type="dxa"/>
          </w:tcPr>
          <w:p>
            <w:pPr>
              <w:pStyle w:val="11"/>
              <w:spacing w:before="2" w:line="289" w:lineRule="exact"/>
              <w:ind w:left="84" w:right="78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100</w:t>
            </w:r>
          </w:p>
        </w:tc>
      </w:tr>
    </w:tbl>
    <w:p>
      <w:pPr>
        <w:pStyle w:val="3"/>
        <w:spacing w:before="8"/>
        <w:ind w:left="0" w:firstLine="0"/>
        <w:rPr>
          <w:sz w:val="19"/>
        </w:rPr>
      </w:pPr>
    </w:p>
    <w:p>
      <w:pPr>
        <w:pStyle w:val="3"/>
        <w:spacing w:before="8"/>
        <w:ind w:left="0" w:firstLine="0"/>
        <w:rPr>
          <w:sz w:val="19"/>
        </w:rPr>
      </w:pPr>
    </w:p>
    <w:p>
      <w:pPr>
        <w:pStyle w:val="3"/>
        <w:spacing w:before="8"/>
        <w:ind w:left="0" w:firstLine="0"/>
        <w:rPr>
          <w:sz w:val="19"/>
        </w:rPr>
      </w:pPr>
    </w:p>
    <w:p>
      <w:pPr>
        <w:pStyle w:val="3"/>
        <w:spacing w:before="8"/>
        <w:ind w:left="0" w:firstLine="0"/>
        <w:rPr>
          <w:sz w:val="19"/>
        </w:rPr>
      </w:pP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（二）模块介绍</w:t>
      </w:r>
    </w:p>
    <w:p>
      <w:pPr>
        <w:pStyle w:val="3"/>
        <w:spacing w:before="122" w:line="360" w:lineRule="auto"/>
        <w:ind w:left="788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本次竞赛中各模块的基本内容如下所示。</w:t>
      </w:r>
    </w:p>
    <w:tbl>
      <w:tblPr>
        <w:tblStyle w:val="7"/>
        <w:tblW w:w="0" w:type="auto"/>
        <w:tblInd w:w="16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2"/>
        <w:gridCol w:w="2249"/>
        <w:gridCol w:w="25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42" w:type="dxa"/>
            <w:vAlign w:val="center"/>
          </w:tcPr>
          <w:p>
            <w:pPr>
              <w:pStyle w:val="11"/>
              <w:spacing w:line="360" w:lineRule="auto"/>
              <w:ind w:left="320" w:right="312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模块编号</w:t>
            </w:r>
          </w:p>
        </w:tc>
        <w:tc>
          <w:tcPr>
            <w:tcW w:w="2249" w:type="dxa"/>
            <w:vAlign w:val="center"/>
          </w:tcPr>
          <w:p>
            <w:pPr>
              <w:pStyle w:val="11"/>
              <w:spacing w:line="360" w:lineRule="auto"/>
              <w:ind w:right="333"/>
              <w:jc w:val="right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模块名称</w:t>
            </w:r>
          </w:p>
        </w:tc>
        <w:tc>
          <w:tcPr>
            <w:tcW w:w="2573" w:type="dxa"/>
            <w:vAlign w:val="center"/>
          </w:tcPr>
          <w:p>
            <w:pPr>
              <w:pStyle w:val="11"/>
              <w:spacing w:line="360" w:lineRule="auto"/>
              <w:ind w:left="60" w:right="47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工作任务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642" w:type="dxa"/>
            <w:vAlign w:val="center"/>
          </w:tcPr>
          <w:p>
            <w:pPr>
              <w:pStyle w:val="11"/>
              <w:ind w:left="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A</w:t>
            </w:r>
          </w:p>
        </w:tc>
        <w:tc>
          <w:tcPr>
            <w:tcW w:w="2249" w:type="dxa"/>
            <w:vAlign w:val="center"/>
          </w:tcPr>
          <w:p>
            <w:pPr>
              <w:pStyle w:val="11"/>
              <w:ind w:right="335"/>
              <w:jc w:val="center"/>
              <w:rPr>
                <w:rFonts w:ascii="仿宋" w:hAnsi="仿宋" w:eastAsia="仿宋" w:cs="仿宋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网络构建</w:t>
            </w:r>
          </w:p>
        </w:tc>
        <w:tc>
          <w:tcPr>
            <w:tcW w:w="2573" w:type="dxa"/>
            <w:vAlign w:val="center"/>
          </w:tcPr>
          <w:p>
            <w:pPr>
              <w:pStyle w:val="11"/>
              <w:ind w:left="63" w:right="4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连接、配置及调试网络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642" w:type="dxa"/>
            <w:vAlign w:val="center"/>
          </w:tcPr>
          <w:p>
            <w:pPr>
              <w:pStyle w:val="11"/>
              <w:ind w:left="9"/>
              <w:jc w:val="center"/>
              <w:rPr>
                <w:rFonts w:ascii="仿宋" w:hAnsi="仿宋" w:eastAsia="仿宋" w:cs="仿宋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lang w:val="en-US"/>
              </w:rPr>
              <w:t>B</w:t>
            </w:r>
          </w:p>
        </w:tc>
        <w:tc>
          <w:tcPr>
            <w:tcW w:w="2249" w:type="dxa"/>
            <w:vAlign w:val="center"/>
          </w:tcPr>
          <w:p>
            <w:pPr>
              <w:pStyle w:val="11"/>
              <w:ind w:right="335"/>
              <w:jc w:val="center"/>
              <w:rPr>
                <w:rFonts w:ascii="仿宋" w:hAnsi="仿宋" w:eastAsia="仿宋" w:cs="仿宋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lang w:val="en-US"/>
              </w:rPr>
              <w:t>系统服务</w:t>
            </w:r>
          </w:p>
        </w:tc>
        <w:tc>
          <w:tcPr>
            <w:tcW w:w="2573" w:type="dxa"/>
            <w:vAlign w:val="center"/>
          </w:tcPr>
          <w:p>
            <w:pPr>
              <w:pStyle w:val="11"/>
              <w:ind w:left="63" w:right="4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/>
              </w:rPr>
              <w:t>Windows和Linux</w:t>
            </w:r>
            <w:r>
              <w:rPr>
                <w:rFonts w:hint="eastAsia" w:ascii="仿宋" w:hAnsi="仿宋" w:eastAsia="仿宋" w:cs="仿宋"/>
                <w:sz w:val="24"/>
              </w:rPr>
              <w:t>安装、配置及测试服务</w:t>
            </w:r>
          </w:p>
        </w:tc>
      </w:tr>
    </w:tbl>
    <w:p>
      <w:pPr>
        <w:pStyle w:val="3"/>
        <w:spacing w:line="357" w:lineRule="exact"/>
        <w:ind w:left="786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其中，各模块的详细内容描述如下。</w:t>
      </w:r>
    </w:p>
    <w:p>
      <w:pPr>
        <w:pStyle w:val="10"/>
        <w:tabs>
          <w:tab w:val="left" w:pos="1488"/>
        </w:tabs>
        <w:ind w:left="785" w:firstLine="0"/>
        <w:rPr>
          <w:rFonts w:ascii="仿宋" w:hAnsi="仿宋" w:eastAsia="仿宋" w:cs="仿宋"/>
          <w:b/>
          <w:bCs/>
          <w:sz w:val="28"/>
        </w:rPr>
      </w:pPr>
      <w:r>
        <w:rPr>
          <w:rFonts w:hint="eastAsia" w:ascii="仿宋" w:hAnsi="仿宋" w:eastAsia="仿宋" w:cs="仿宋"/>
          <w:b/>
          <w:bCs/>
          <w:spacing w:val="-1"/>
          <w:sz w:val="28"/>
          <w:lang w:val="en-US"/>
        </w:rPr>
        <w:t>1.</w:t>
      </w:r>
      <w:r>
        <w:rPr>
          <w:rFonts w:hint="eastAsia" w:ascii="仿宋" w:hAnsi="仿宋" w:eastAsia="仿宋" w:cs="仿宋"/>
          <w:b/>
          <w:bCs/>
          <w:spacing w:val="-1"/>
          <w:sz w:val="28"/>
        </w:rPr>
        <w:t>网络构建模块</w:t>
      </w:r>
    </w:p>
    <w:p>
      <w:pPr>
        <w:pStyle w:val="3"/>
        <w:spacing w:before="186" w:line="364" w:lineRule="auto"/>
        <w:ind w:left="226" w:right="628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3"/>
        </w:rPr>
        <w:t>依据网络构建的服务需求，构建复杂的网络及服务，完成各类网络设备的配置与管理。根据行业认证要求，用户需求及设计要求，在所有</w:t>
      </w:r>
      <w:r>
        <w:rPr>
          <w:rFonts w:hint="eastAsia" w:ascii="仿宋" w:hAnsi="仿宋" w:eastAsia="仿宋" w:cs="仿宋"/>
          <w:spacing w:val="-10"/>
        </w:rPr>
        <w:t>有可能在网络环境出现的网络设备上，例如：路由器、数据中心交换机、</w:t>
      </w:r>
      <w:r>
        <w:rPr>
          <w:rFonts w:hint="eastAsia" w:ascii="仿宋" w:hAnsi="仿宋" w:eastAsia="仿宋" w:cs="仿宋"/>
          <w:spacing w:val="-3"/>
        </w:rPr>
        <w:t>出口网关、无线设备等等应用各种类型的服务配置，包括软件及硬件升级，设计并执行灾难恢复流程等。</w:t>
      </w:r>
    </w:p>
    <w:p>
      <w:pPr>
        <w:pStyle w:val="3"/>
        <w:spacing w:line="356" w:lineRule="exact"/>
        <w:ind w:left="786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参赛选手需要掌握以下并不仅限于以下技能。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根据拓扑规划，根据设备在实际案例中的位置规范配置设备。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0"/>
          <w:sz w:val="28"/>
        </w:rPr>
        <w:t>会配置设备的远程访问，会配置接口描述，按照标准规范密码等。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3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  <w:lang w:val="en-US"/>
        </w:rPr>
        <w:t>配置BGPMPLSVPN实现多点标签路由导入</w:t>
      </w:r>
      <w:r>
        <w:rPr>
          <w:rFonts w:hint="eastAsia" w:ascii="仿宋" w:hAnsi="仿宋" w:eastAsia="仿宋" w:cs="仿宋"/>
          <w:spacing w:val="-3"/>
          <w:sz w:val="28"/>
        </w:rPr>
        <w:t>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  <w:lang w:val="en-US"/>
        </w:rPr>
        <w:t>配置VRF路由隔离技术</w:t>
      </w:r>
      <w:r>
        <w:rPr>
          <w:rFonts w:hint="eastAsia" w:ascii="仿宋" w:hAnsi="仿宋" w:eastAsia="仿宋" w:cs="仿宋"/>
          <w:spacing w:val="-3"/>
          <w:sz w:val="28"/>
        </w:rPr>
        <w:t>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配置交换机安全技术</w:t>
      </w:r>
      <w:r>
        <w:rPr>
          <w:rFonts w:hint="eastAsia" w:ascii="仿宋" w:hAnsi="仿宋" w:eastAsia="仿宋" w:cs="仿宋"/>
          <w:sz w:val="28"/>
        </w:rPr>
        <w:t>（</w:t>
      </w:r>
      <w:r>
        <w:rPr>
          <w:rFonts w:hint="eastAsia" w:ascii="仿宋" w:hAnsi="仿宋" w:eastAsia="仿宋" w:cs="仿宋"/>
          <w:spacing w:val="-35"/>
          <w:sz w:val="28"/>
        </w:rPr>
        <w:t>如</w:t>
      </w:r>
      <w:r>
        <w:rPr>
          <w:rFonts w:hint="eastAsia" w:ascii="仿宋" w:hAnsi="仿宋" w:eastAsia="仿宋" w:cs="仿宋"/>
          <w:spacing w:val="-2"/>
          <w:sz w:val="28"/>
        </w:rPr>
        <w:t>SSH</w:t>
      </w:r>
      <w:r>
        <w:rPr>
          <w:rFonts w:hint="eastAsia" w:ascii="仿宋" w:hAnsi="仿宋" w:eastAsia="仿宋" w:cs="仿宋"/>
          <w:sz w:val="28"/>
        </w:rPr>
        <w:t>、ACL、SNMP</w:t>
      </w:r>
      <w:r>
        <w:rPr>
          <w:rFonts w:hint="eastAsia" w:ascii="仿宋" w:hAnsi="仿宋" w:eastAsia="仿宋" w:cs="仿宋"/>
          <w:spacing w:val="-36"/>
          <w:sz w:val="28"/>
        </w:rPr>
        <w:t>等</w:t>
      </w:r>
      <w:r>
        <w:rPr>
          <w:rFonts w:hint="eastAsia" w:ascii="仿宋" w:hAnsi="仿宋" w:eastAsia="仿宋" w:cs="仿宋"/>
          <w:sz w:val="28"/>
        </w:rPr>
        <w:t>）</w:t>
      </w:r>
      <w:r>
        <w:rPr>
          <w:rFonts w:hint="eastAsia" w:ascii="仿宋" w:hAnsi="仿宋" w:eastAsia="仿宋" w:cs="仿宋"/>
          <w:spacing w:val="-2"/>
          <w:sz w:val="28"/>
        </w:rPr>
        <w:t>实现网络安全性。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会进行网络联调、测试和验证。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配置虚拟局域网技术，实现网络广播隔离与区域划分。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2"/>
          <w:sz w:val="28"/>
        </w:rPr>
        <w:t>配置交换机</w:t>
      </w:r>
      <w:r>
        <w:rPr>
          <w:rFonts w:hint="eastAsia" w:ascii="仿宋" w:hAnsi="仿宋" w:eastAsia="仿宋" w:cs="仿宋"/>
          <w:sz w:val="28"/>
        </w:rPr>
        <w:t>DHCP</w:t>
      </w:r>
      <w:r>
        <w:rPr>
          <w:rFonts w:hint="eastAsia" w:ascii="仿宋" w:hAnsi="仿宋" w:eastAsia="仿宋" w:cs="仿宋"/>
          <w:spacing w:val="-10"/>
          <w:sz w:val="28"/>
        </w:rPr>
        <w:t>中继，实现用户动态获取地址。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59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配置交换机生成树技术，实现网络冗余与备份。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line="364" w:lineRule="auto"/>
        <w:ind w:right="763" w:hanging="420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配置交换机路由技术</w:t>
      </w:r>
      <w:r>
        <w:rPr>
          <w:rFonts w:hint="eastAsia" w:ascii="仿宋" w:hAnsi="仿宋" w:eastAsia="仿宋" w:cs="仿宋"/>
          <w:sz w:val="28"/>
        </w:rPr>
        <w:t>（</w:t>
      </w:r>
      <w:r>
        <w:rPr>
          <w:rFonts w:hint="eastAsia" w:ascii="仿宋" w:hAnsi="仿宋" w:eastAsia="仿宋" w:cs="仿宋"/>
          <w:spacing w:val="-2"/>
          <w:sz w:val="28"/>
        </w:rPr>
        <w:t>如静态、</w:t>
      </w:r>
      <w:r>
        <w:rPr>
          <w:rFonts w:hint="eastAsia" w:ascii="仿宋" w:hAnsi="仿宋" w:eastAsia="仿宋" w:cs="仿宋"/>
          <w:sz w:val="28"/>
        </w:rPr>
        <w:t>RIP</w:t>
      </w:r>
      <w:r>
        <w:rPr>
          <w:rFonts w:hint="eastAsia" w:ascii="仿宋" w:hAnsi="仿宋" w:eastAsia="仿宋" w:cs="仿宋"/>
          <w:spacing w:val="-5"/>
          <w:sz w:val="28"/>
        </w:rPr>
        <w:t>、</w:t>
      </w:r>
      <w:r>
        <w:rPr>
          <w:rFonts w:hint="eastAsia" w:ascii="仿宋" w:hAnsi="仿宋" w:eastAsia="仿宋" w:cs="仿宋"/>
          <w:sz w:val="28"/>
        </w:rPr>
        <w:t>OSPF</w:t>
      </w:r>
      <w:r>
        <w:rPr>
          <w:rFonts w:hint="eastAsia" w:ascii="仿宋" w:hAnsi="仿宋" w:eastAsia="仿宋" w:cs="仿宋"/>
          <w:spacing w:val="-3"/>
          <w:sz w:val="28"/>
        </w:rPr>
        <w:t>、</w:t>
      </w:r>
      <w:r>
        <w:rPr>
          <w:rFonts w:hint="eastAsia" w:ascii="仿宋" w:hAnsi="仿宋" w:eastAsia="仿宋" w:cs="仿宋"/>
          <w:sz w:val="28"/>
        </w:rPr>
        <w:t>BGP</w:t>
      </w:r>
      <w:r>
        <w:rPr>
          <w:rFonts w:hint="eastAsia" w:ascii="仿宋" w:hAnsi="仿宋" w:eastAsia="仿宋" w:cs="仿宋"/>
          <w:spacing w:val="-33"/>
          <w:sz w:val="28"/>
        </w:rPr>
        <w:t>等</w:t>
      </w:r>
      <w:r>
        <w:rPr>
          <w:rFonts w:hint="eastAsia" w:ascii="仿宋" w:hAnsi="仿宋" w:eastAsia="仿宋" w:cs="仿宋"/>
          <w:spacing w:val="-4"/>
          <w:sz w:val="28"/>
        </w:rPr>
        <w:t>）</w:t>
      </w:r>
      <w:r>
        <w:rPr>
          <w:rFonts w:hint="eastAsia" w:ascii="仿宋" w:hAnsi="仿宋" w:eastAsia="仿宋" w:cs="仿宋"/>
          <w:spacing w:val="-3"/>
          <w:sz w:val="28"/>
        </w:rPr>
        <w:t>，实现网络连通。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0" w:line="364" w:lineRule="auto"/>
        <w:ind w:right="817" w:hanging="420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根据需求描述及对功能理解，完成路由器配置。包括静态路由、</w:t>
      </w:r>
      <w:r>
        <w:rPr>
          <w:rFonts w:hint="eastAsia" w:ascii="仿宋" w:hAnsi="仿宋" w:eastAsia="仿宋" w:cs="仿宋"/>
          <w:sz w:val="28"/>
        </w:rPr>
        <w:t>RIP、OSPF、BGP</w:t>
      </w:r>
      <w:r>
        <w:rPr>
          <w:rFonts w:hint="eastAsia" w:ascii="仿宋" w:hAnsi="仿宋" w:eastAsia="仿宋" w:cs="仿宋"/>
          <w:spacing w:val="-10"/>
          <w:sz w:val="28"/>
        </w:rPr>
        <w:t>等，实现网络连通。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0" w:line="358" w:lineRule="exact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34"/>
          <w:sz w:val="28"/>
        </w:rPr>
        <w:t>掌握</w:t>
      </w:r>
      <w:r>
        <w:rPr>
          <w:rFonts w:hint="eastAsia" w:ascii="仿宋" w:hAnsi="仿宋" w:eastAsia="仿宋" w:cs="仿宋"/>
          <w:sz w:val="28"/>
        </w:rPr>
        <w:t>IPV6</w:t>
      </w:r>
      <w:r>
        <w:rPr>
          <w:rFonts w:hint="eastAsia" w:ascii="仿宋" w:hAnsi="仿宋" w:eastAsia="仿宋" w:cs="仿宋"/>
          <w:spacing w:val="-15"/>
          <w:sz w:val="28"/>
        </w:rPr>
        <w:t>常用路由协议，会组建</w:t>
      </w:r>
      <w:r>
        <w:rPr>
          <w:rFonts w:hint="eastAsia" w:ascii="仿宋" w:hAnsi="仿宋" w:eastAsia="仿宋" w:cs="仿宋"/>
          <w:sz w:val="28"/>
        </w:rPr>
        <w:t>IPV6</w:t>
      </w:r>
      <w:r>
        <w:rPr>
          <w:rFonts w:hint="eastAsia" w:ascii="仿宋" w:hAnsi="仿宋" w:eastAsia="仿宋" w:cs="仿宋"/>
          <w:spacing w:val="-10"/>
          <w:sz w:val="28"/>
        </w:rPr>
        <w:t>网络，实现网络连通。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5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23"/>
          <w:sz w:val="28"/>
        </w:rPr>
        <w:t>会配置</w:t>
      </w:r>
      <w:r>
        <w:rPr>
          <w:rFonts w:hint="eastAsia" w:ascii="仿宋" w:hAnsi="仿宋" w:eastAsia="仿宋" w:cs="仿宋"/>
          <w:sz w:val="28"/>
        </w:rPr>
        <w:t>IPV6</w:t>
      </w:r>
      <w:r>
        <w:rPr>
          <w:rFonts w:hint="eastAsia" w:ascii="仿宋" w:hAnsi="仿宋" w:eastAsia="仿宋" w:cs="仿宋"/>
          <w:spacing w:val="-18"/>
          <w:sz w:val="28"/>
        </w:rPr>
        <w:t>隧道技术，实现</w:t>
      </w:r>
      <w:r>
        <w:rPr>
          <w:rFonts w:hint="eastAsia" w:ascii="仿宋" w:hAnsi="仿宋" w:eastAsia="仿宋" w:cs="仿宋"/>
          <w:sz w:val="28"/>
        </w:rPr>
        <w:t>IPV6overIPV4</w:t>
      </w:r>
      <w:r>
        <w:rPr>
          <w:rFonts w:hint="eastAsia" w:ascii="仿宋" w:hAnsi="仿宋" w:eastAsia="仿宋" w:cs="仿宋"/>
          <w:spacing w:val="-18"/>
          <w:sz w:val="28"/>
        </w:rPr>
        <w:t>通信。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配置和应用常用广域网技术</w:t>
      </w:r>
      <w:r>
        <w:rPr>
          <w:rFonts w:hint="eastAsia" w:ascii="仿宋" w:hAnsi="仿宋" w:eastAsia="仿宋" w:cs="仿宋"/>
          <w:sz w:val="28"/>
        </w:rPr>
        <w:t>（如PPP等）。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line="364" w:lineRule="auto"/>
        <w:ind w:right="623" w:hanging="420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6"/>
          <w:sz w:val="28"/>
        </w:rPr>
        <w:t>配置交换机高可靠性技术</w:t>
      </w:r>
      <w:r>
        <w:rPr>
          <w:rFonts w:hint="eastAsia" w:ascii="仿宋" w:hAnsi="仿宋" w:eastAsia="仿宋" w:cs="仿宋"/>
          <w:spacing w:val="-3"/>
          <w:sz w:val="28"/>
        </w:rPr>
        <w:t>（</w:t>
      </w:r>
      <w:r>
        <w:rPr>
          <w:rFonts w:hint="eastAsia" w:ascii="仿宋" w:hAnsi="仿宋" w:eastAsia="仿宋" w:cs="仿宋"/>
          <w:spacing w:val="-7"/>
          <w:sz w:val="28"/>
        </w:rPr>
        <w:t>如链路聚合、</w:t>
      </w:r>
      <w:r>
        <w:rPr>
          <w:rFonts w:hint="eastAsia" w:ascii="仿宋" w:hAnsi="仿宋" w:eastAsia="仿宋" w:cs="仿宋"/>
          <w:sz w:val="28"/>
        </w:rPr>
        <w:t>DLDP</w:t>
      </w:r>
      <w:r>
        <w:rPr>
          <w:rFonts w:hint="eastAsia" w:ascii="仿宋" w:hAnsi="仿宋" w:eastAsia="仿宋" w:cs="仿宋"/>
          <w:spacing w:val="-32"/>
          <w:sz w:val="28"/>
        </w:rPr>
        <w:t>、</w:t>
      </w:r>
      <w:r>
        <w:rPr>
          <w:rFonts w:hint="eastAsia" w:ascii="仿宋" w:hAnsi="仿宋" w:eastAsia="仿宋" w:cs="仿宋"/>
          <w:spacing w:val="-2"/>
          <w:sz w:val="28"/>
        </w:rPr>
        <w:t>BFD</w:t>
      </w:r>
      <w:r>
        <w:rPr>
          <w:rFonts w:hint="eastAsia" w:ascii="仿宋" w:hAnsi="仿宋" w:eastAsia="仿宋" w:cs="仿宋"/>
          <w:spacing w:val="-32"/>
          <w:sz w:val="28"/>
        </w:rPr>
        <w:t>、</w:t>
      </w:r>
      <w:r>
        <w:rPr>
          <w:rFonts w:hint="eastAsia" w:ascii="仿宋" w:hAnsi="仿宋" w:eastAsia="仿宋" w:cs="仿宋"/>
          <w:sz w:val="28"/>
        </w:rPr>
        <w:t>Track</w:t>
      </w:r>
      <w:r>
        <w:rPr>
          <w:rFonts w:hint="eastAsia" w:ascii="仿宋" w:hAnsi="仿宋" w:eastAsia="仿宋" w:cs="仿宋"/>
          <w:spacing w:val="-31"/>
          <w:sz w:val="28"/>
        </w:rPr>
        <w:t>等</w:t>
      </w:r>
      <w:r>
        <w:rPr>
          <w:rFonts w:hint="eastAsia" w:ascii="仿宋" w:hAnsi="仿宋" w:eastAsia="仿宋" w:cs="仿宋"/>
          <w:spacing w:val="-17"/>
          <w:sz w:val="28"/>
        </w:rPr>
        <w:t>），</w:t>
      </w:r>
      <w:r>
        <w:rPr>
          <w:rFonts w:hint="eastAsia" w:ascii="仿宋" w:hAnsi="仿宋" w:eastAsia="仿宋" w:cs="仿宋"/>
          <w:spacing w:val="-3"/>
          <w:sz w:val="28"/>
        </w:rPr>
        <w:t>实现网络中链路快速收敛。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0" w:line="358" w:lineRule="exact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2"/>
          <w:sz w:val="28"/>
        </w:rPr>
        <w:t>配置交换机</w:t>
      </w:r>
      <w:r>
        <w:rPr>
          <w:rFonts w:hint="eastAsia" w:ascii="仿宋" w:hAnsi="仿宋" w:eastAsia="仿宋" w:cs="仿宋"/>
          <w:sz w:val="28"/>
        </w:rPr>
        <w:t>VRRP</w:t>
      </w:r>
      <w:r>
        <w:rPr>
          <w:rFonts w:hint="eastAsia" w:ascii="仿宋" w:hAnsi="仿宋" w:eastAsia="仿宋" w:cs="仿宋"/>
          <w:spacing w:val="-10"/>
          <w:sz w:val="28"/>
        </w:rPr>
        <w:t>技术，实现网关冗余与备份。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pacing w:val="-3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</w:t>
      </w:r>
      <w:r>
        <w:rPr>
          <w:rFonts w:hint="eastAsia" w:ascii="仿宋" w:hAnsi="仿宋" w:eastAsia="仿宋" w:cs="仿宋"/>
          <w:spacing w:val="-3"/>
          <w:sz w:val="28"/>
          <w:lang w:val="en-US"/>
        </w:rPr>
        <w:t>多协议标签转发技术（MPLS）</w:t>
      </w:r>
      <w:r>
        <w:rPr>
          <w:rFonts w:hint="eastAsia" w:ascii="仿宋" w:hAnsi="仿宋" w:eastAsia="仿宋" w:cs="仿宋"/>
          <w:spacing w:val="-3"/>
          <w:sz w:val="28"/>
        </w:rPr>
        <w:t>，实现</w:t>
      </w:r>
      <w:r>
        <w:rPr>
          <w:rFonts w:hint="eastAsia" w:ascii="仿宋" w:hAnsi="仿宋" w:eastAsia="仿宋" w:cs="仿宋"/>
          <w:spacing w:val="-3"/>
          <w:sz w:val="28"/>
          <w:lang w:val="en-US"/>
        </w:rPr>
        <w:t>路由分发。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会实施路由策略，控制路由按照指定策略转发。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7" w:line="364" w:lineRule="auto"/>
        <w:ind w:right="628" w:hanging="420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0"/>
          <w:sz w:val="28"/>
        </w:rPr>
        <w:t>配置交换机网络设备虚拟交换技术，实现数据中心网络的虚拟化，</w:t>
      </w:r>
      <w:r>
        <w:rPr>
          <w:rFonts w:hint="eastAsia" w:ascii="仿宋" w:hAnsi="仿宋" w:eastAsia="仿宋" w:cs="仿宋"/>
          <w:spacing w:val="-3"/>
          <w:sz w:val="28"/>
        </w:rPr>
        <w:t>实现网络中心网络的高可靠。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0" w:line="364" w:lineRule="auto"/>
        <w:ind w:right="817" w:hanging="420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配置无线控制器转发模式，实现无线网络中用户数据本地转发或</w:t>
      </w:r>
      <w:r>
        <w:rPr>
          <w:rFonts w:hint="eastAsia" w:ascii="仿宋" w:hAnsi="仿宋" w:eastAsia="仿宋" w:cs="仿宋"/>
          <w:spacing w:val="-1"/>
          <w:sz w:val="28"/>
        </w:rPr>
        <w:t>集中转发。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0" w:line="358" w:lineRule="exact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0"/>
          <w:sz w:val="28"/>
        </w:rPr>
        <w:t>使用无线控制器创建</w:t>
      </w:r>
      <w:r>
        <w:rPr>
          <w:rFonts w:hint="eastAsia" w:ascii="仿宋" w:hAnsi="仿宋" w:eastAsia="仿宋" w:cs="仿宋"/>
          <w:sz w:val="28"/>
        </w:rPr>
        <w:t>SSID</w:t>
      </w:r>
      <w:r>
        <w:rPr>
          <w:rFonts w:hint="eastAsia" w:ascii="仿宋" w:hAnsi="仿宋" w:eastAsia="仿宋" w:cs="仿宋"/>
          <w:spacing w:val="-9"/>
          <w:sz w:val="28"/>
        </w:rPr>
        <w:t>,实现无线用户关联</w:t>
      </w:r>
      <w:r>
        <w:rPr>
          <w:rFonts w:hint="eastAsia" w:ascii="仿宋" w:hAnsi="仿宋" w:eastAsia="仿宋" w:cs="仿宋"/>
          <w:sz w:val="28"/>
        </w:rPr>
        <w:t>SSID。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5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8"/>
          <w:sz w:val="28"/>
        </w:rPr>
        <w:t>配置无线控制器热备功能，实现双</w:t>
      </w:r>
      <w:r>
        <w:rPr>
          <w:rFonts w:hint="eastAsia" w:ascii="仿宋" w:hAnsi="仿宋" w:eastAsia="仿宋" w:cs="仿宋"/>
          <w:sz w:val="28"/>
        </w:rPr>
        <w:t>AC</w:t>
      </w:r>
      <w:r>
        <w:rPr>
          <w:rFonts w:hint="eastAsia" w:ascii="仿宋" w:hAnsi="仿宋" w:eastAsia="仿宋" w:cs="仿宋"/>
          <w:spacing w:val="-12"/>
          <w:sz w:val="28"/>
        </w:rPr>
        <w:t>的负载均衡。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实现无线认证，实现无线用户安全准入。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0"/>
          <w:sz w:val="28"/>
        </w:rPr>
        <w:t>使用无线控制器配置</w:t>
      </w:r>
      <w:r>
        <w:rPr>
          <w:rFonts w:hint="eastAsia" w:ascii="仿宋" w:hAnsi="仿宋" w:eastAsia="仿宋" w:cs="仿宋"/>
          <w:sz w:val="28"/>
        </w:rPr>
        <w:t>AP</w:t>
      </w:r>
      <w:r>
        <w:rPr>
          <w:rFonts w:hint="eastAsia" w:ascii="仿宋" w:hAnsi="仿宋" w:eastAsia="仿宋" w:cs="仿宋"/>
          <w:spacing w:val="-10"/>
          <w:sz w:val="28"/>
        </w:rPr>
        <w:t>隔离，实现无线用户二层隔离。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3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使用无线控制器配置限制，实现特性用户流量限速。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使用无线控制器配置数据加密，实现用户通信安全。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0"/>
          <w:sz w:val="28"/>
        </w:rPr>
        <w:t>使用出网关配置</w:t>
      </w:r>
      <w:r>
        <w:rPr>
          <w:rFonts w:hint="eastAsia" w:ascii="仿宋" w:hAnsi="仿宋" w:eastAsia="仿宋" w:cs="仿宋"/>
          <w:sz w:val="28"/>
        </w:rPr>
        <w:t>NAPT</w:t>
      </w:r>
      <w:r>
        <w:rPr>
          <w:rFonts w:hint="eastAsia" w:ascii="仿宋" w:hAnsi="仿宋" w:eastAsia="仿宋" w:cs="仿宋"/>
          <w:spacing w:val="-10"/>
          <w:sz w:val="28"/>
        </w:rPr>
        <w:t>及时间控制，实现用户访问互联网。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1"/>
          <w:sz w:val="28"/>
        </w:rPr>
        <w:t>使用出口网关</w:t>
      </w:r>
      <w:r>
        <w:rPr>
          <w:rFonts w:hint="eastAsia" w:ascii="仿宋" w:hAnsi="仿宋" w:eastAsia="仿宋" w:cs="仿宋"/>
          <w:sz w:val="28"/>
        </w:rPr>
        <w:t>WebPortal</w:t>
      </w:r>
      <w:r>
        <w:rPr>
          <w:rFonts w:hint="eastAsia" w:ascii="仿宋" w:hAnsi="仿宋" w:eastAsia="仿宋" w:cs="仿宋"/>
          <w:spacing w:val="-9"/>
          <w:sz w:val="28"/>
        </w:rPr>
        <w:t>认证，实现用户身份认证。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使用出口网关流量控制，实现特定业务速率限制。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使用出口网关行为审计，实现内网用户数据安全审计。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59" w:line="364" w:lineRule="auto"/>
        <w:ind w:right="886" w:hanging="420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8"/>
          <w:sz w:val="28"/>
        </w:rPr>
        <w:t>使用出口网关实现</w:t>
      </w:r>
      <w:r>
        <w:rPr>
          <w:rFonts w:hint="eastAsia" w:ascii="仿宋" w:hAnsi="仿宋" w:eastAsia="仿宋" w:cs="仿宋"/>
          <w:sz w:val="28"/>
        </w:rPr>
        <w:t>VPN</w:t>
      </w:r>
      <w:r>
        <w:rPr>
          <w:rFonts w:hint="eastAsia" w:ascii="仿宋" w:hAnsi="仿宋" w:eastAsia="仿宋" w:cs="仿宋"/>
          <w:spacing w:val="-4"/>
          <w:sz w:val="28"/>
        </w:rPr>
        <w:t>，基于行业应用场景实现外网用户安全访</w:t>
      </w:r>
      <w:r>
        <w:rPr>
          <w:rFonts w:hint="eastAsia" w:ascii="仿宋" w:hAnsi="仿宋" w:eastAsia="仿宋" w:cs="仿宋"/>
          <w:spacing w:val="-3"/>
          <w:sz w:val="28"/>
        </w:rPr>
        <w:t>问内网服务，实现隧道技术，包括不限于</w:t>
      </w:r>
      <w:r>
        <w:rPr>
          <w:rFonts w:hint="eastAsia" w:ascii="仿宋" w:hAnsi="仿宋" w:eastAsia="仿宋" w:cs="仿宋"/>
          <w:sz w:val="28"/>
        </w:rPr>
        <w:t>GRE隧道，Ipsec</w:t>
      </w:r>
      <w:r>
        <w:rPr>
          <w:rFonts w:hint="eastAsia" w:ascii="仿宋" w:hAnsi="仿宋" w:eastAsia="仿宋" w:cs="仿宋"/>
          <w:spacing w:val="-35"/>
          <w:sz w:val="28"/>
        </w:rPr>
        <w:t>隧道等。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0" w:line="364" w:lineRule="auto"/>
        <w:ind w:right="765" w:hanging="420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会开展无线地勘和工勘，能绘制无线规划平面图、设计</w:t>
      </w:r>
      <w:r>
        <w:rPr>
          <w:rFonts w:hint="eastAsia" w:ascii="仿宋" w:hAnsi="仿宋" w:eastAsia="仿宋" w:cs="仿宋"/>
          <w:sz w:val="28"/>
        </w:rPr>
        <w:t>AP</w:t>
      </w:r>
      <w:r>
        <w:rPr>
          <w:rFonts w:hint="eastAsia" w:ascii="仿宋" w:hAnsi="仿宋" w:eastAsia="仿宋" w:cs="仿宋"/>
          <w:spacing w:val="2"/>
          <w:sz w:val="28"/>
        </w:rPr>
        <w:t>点位</w:t>
      </w:r>
      <w:r>
        <w:rPr>
          <w:rFonts w:hint="eastAsia" w:ascii="仿宋" w:hAnsi="仿宋" w:eastAsia="仿宋" w:cs="仿宋"/>
          <w:spacing w:val="-12"/>
          <w:sz w:val="28"/>
        </w:rPr>
        <w:t>图、配置热图、规划设备清单和物料清单、计算无线规划的材料</w:t>
      </w:r>
      <w:r>
        <w:rPr>
          <w:rFonts w:hint="eastAsia" w:ascii="仿宋" w:hAnsi="仿宋" w:eastAsia="仿宋" w:cs="仿宋"/>
          <w:sz w:val="28"/>
        </w:rPr>
        <w:t>总价表。</w:t>
      </w:r>
    </w:p>
    <w:p>
      <w:pPr>
        <w:pStyle w:val="10"/>
        <w:tabs>
          <w:tab w:val="left" w:pos="1488"/>
        </w:tabs>
        <w:ind w:left="785" w:firstLine="0"/>
        <w:jc w:val="both"/>
        <w:rPr>
          <w:rFonts w:ascii="仿宋" w:hAnsi="仿宋" w:eastAsia="仿宋" w:cs="仿宋"/>
          <w:b/>
          <w:bCs/>
          <w:sz w:val="28"/>
        </w:rPr>
      </w:pPr>
      <w:r>
        <w:rPr>
          <w:rFonts w:hint="eastAsia" w:ascii="仿宋" w:hAnsi="仿宋" w:eastAsia="仿宋" w:cs="仿宋"/>
          <w:b/>
          <w:bCs/>
          <w:spacing w:val="-1"/>
          <w:sz w:val="28"/>
          <w:lang w:val="en-US"/>
        </w:rPr>
        <w:t>2.</w:t>
      </w:r>
      <w:r>
        <w:rPr>
          <w:rFonts w:hint="eastAsia" w:ascii="仿宋" w:hAnsi="仿宋" w:eastAsia="仿宋" w:cs="仿宋"/>
          <w:b/>
          <w:bCs/>
          <w:spacing w:val="-1"/>
          <w:sz w:val="28"/>
        </w:rPr>
        <w:t>系统服务-</w:t>
      </w:r>
      <w:r>
        <w:rPr>
          <w:rFonts w:hint="eastAsia" w:ascii="仿宋" w:hAnsi="仿宋" w:eastAsia="仿宋" w:cs="仿宋"/>
          <w:b/>
          <w:bCs/>
          <w:sz w:val="28"/>
        </w:rPr>
        <w:t>Linux</w:t>
      </w:r>
      <w:r>
        <w:rPr>
          <w:rFonts w:hint="eastAsia" w:ascii="仿宋" w:hAnsi="仿宋" w:eastAsia="仿宋" w:cs="仿宋"/>
          <w:b/>
          <w:bCs/>
          <w:spacing w:val="-1"/>
          <w:sz w:val="28"/>
        </w:rPr>
        <w:t>服务部署</w:t>
      </w:r>
    </w:p>
    <w:p>
      <w:pPr>
        <w:pStyle w:val="3"/>
        <w:spacing w:before="186" w:line="364" w:lineRule="auto"/>
        <w:ind w:left="226" w:right="761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3"/>
        </w:rPr>
        <w:t>依据设计图纸配置系统网络连接，依据信息系统构建要求，完成基</w:t>
      </w:r>
      <w:r>
        <w:rPr>
          <w:rFonts w:hint="eastAsia" w:ascii="仿宋" w:hAnsi="仿宋" w:eastAsia="仿宋" w:cs="仿宋"/>
          <w:spacing w:val="-1"/>
        </w:rPr>
        <w:t>于</w:t>
      </w:r>
      <w:r>
        <w:rPr>
          <w:rFonts w:hint="eastAsia" w:ascii="仿宋" w:hAnsi="仿宋" w:eastAsia="仿宋" w:cs="仿宋"/>
        </w:rPr>
        <w:t>Linux</w:t>
      </w:r>
      <w:r>
        <w:rPr>
          <w:rFonts w:hint="eastAsia" w:ascii="仿宋" w:hAnsi="仿宋" w:eastAsia="仿宋" w:cs="仿宋"/>
          <w:spacing w:val="-9"/>
        </w:rPr>
        <w:t>系统的企业信息化系统的构建；在符合</w:t>
      </w:r>
      <w:r>
        <w:rPr>
          <w:rFonts w:hint="eastAsia" w:ascii="仿宋" w:hAnsi="仿宋" w:eastAsia="仿宋" w:cs="仿宋"/>
        </w:rPr>
        <w:t>LPI2</w:t>
      </w:r>
      <w:r>
        <w:rPr>
          <w:rFonts w:hint="eastAsia" w:ascii="仿宋" w:hAnsi="仿宋" w:eastAsia="仿宋" w:cs="仿宋"/>
          <w:spacing w:val="-1"/>
        </w:rPr>
        <w:t>技术水平规范要</w:t>
      </w:r>
      <w:r>
        <w:rPr>
          <w:rFonts w:hint="eastAsia" w:ascii="仿宋" w:hAnsi="仿宋" w:eastAsia="仿宋" w:cs="仿宋"/>
          <w:spacing w:val="-6"/>
        </w:rPr>
        <w:t>求的情况下，管理多台</w:t>
      </w:r>
      <w:r>
        <w:rPr>
          <w:rFonts w:hint="eastAsia" w:ascii="仿宋" w:hAnsi="仿宋" w:eastAsia="仿宋" w:cs="仿宋"/>
        </w:rPr>
        <w:t>Linux</w:t>
      </w:r>
      <w:r>
        <w:rPr>
          <w:rFonts w:hint="eastAsia" w:ascii="仿宋" w:hAnsi="仿宋" w:eastAsia="仿宋" w:cs="仿宋"/>
          <w:spacing w:val="-7"/>
        </w:rPr>
        <w:t>服务的网络资源、存储资源、计算资源的</w:t>
      </w:r>
      <w:r>
        <w:rPr>
          <w:rFonts w:hint="eastAsia" w:ascii="仿宋" w:hAnsi="仿宋" w:eastAsia="仿宋" w:cs="仿宋"/>
          <w:spacing w:val="-5"/>
        </w:rPr>
        <w:t>分配与管理，提供安全有效的信息化系统平台的服务。</w:t>
      </w:r>
    </w:p>
    <w:p>
      <w:pPr>
        <w:pStyle w:val="3"/>
        <w:spacing w:line="357" w:lineRule="exact"/>
        <w:ind w:left="786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参赛选手需要掌握以下并不仅限于以下技能。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根据需求安装一个主流的</w:t>
      </w:r>
      <w:r>
        <w:rPr>
          <w:rFonts w:hint="eastAsia" w:ascii="仿宋" w:hAnsi="仿宋" w:eastAsia="仿宋" w:cs="仿宋"/>
          <w:sz w:val="28"/>
        </w:rPr>
        <w:t>Linux</w:t>
      </w:r>
      <w:r>
        <w:rPr>
          <w:rFonts w:hint="eastAsia" w:ascii="仿宋" w:hAnsi="仿宋" w:eastAsia="仿宋" w:cs="仿宋"/>
          <w:spacing w:val="-1"/>
          <w:sz w:val="28"/>
        </w:rPr>
        <w:t>发行版。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2"/>
          <w:sz w:val="28"/>
        </w:rPr>
        <w:t>安装和配置</w:t>
      </w:r>
      <w:r>
        <w:rPr>
          <w:rFonts w:hint="eastAsia" w:ascii="仿宋" w:hAnsi="仿宋" w:eastAsia="仿宋" w:cs="仿宋"/>
          <w:sz w:val="28"/>
        </w:rPr>
        <w:t>Linux</w:t>
      </w:r>
      <w:r>
        <w:rPr>
          <w:rFonts w:hint="eastAsia" w:ascii="仿宋" w:hAnsi="仿宋" w:eastAsia="仿宋" w:cs="仿宋"/>
          <w:spacing w:val="-1"/>
          <w:sz w:val="28"/>
        </w:rPr>
        <w:t>服务，如</w:t>
      </w:r>
      <w:r>
        <w:rPr>
          <w:rFonts w:hint="eastAsia" w:ascii="仿宋" w:hAnsi="仿宋" w:eastAsia="仿宋" w:cs="仿宋"/>
          <w:sz w:val="28"/>
        </w:rPr>
        <w:t>Apache、MySQL</w:t>
      </w:r>
      <w:r>
        <w:rPr>
          <w:rFonts w:hint="eastAsia" w:ascii="仿宋" w:hAnsi="仿宋" w:eastAsia="仿宋" w:cs="仿宋"/>
          <w:spacing w:val="-24"/>
          <w:sz w:val="28"/>
        </w:rPr>
        <w:t>等。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根据预装计划分区。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配置文件系统。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安装操作系统后对软件包进行管理。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选择适当的网络配置和协议。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为</w:t>
      </w:r>
      <w:r>
        <w:rPr>
          <w:rFonts w:hint="eastAsia" w:ascii="仿宋" w:hAnsi="仿宋" w:eastAsia="仿宋" w:cs="仿宋"/>
          <w:sz w:val="28"/>
        </w:rPr>
        <w:t>Linux</w:t>
      </w:r>
      <w:r>
        <w:rPr>
          <w:rFonts w:hint="eastAsia" w:ascii="仿宋" w:hAnsi="仿宋" w:eastAsia="仿宋" w:cs="仿宋"/>
          <w:spacing w:val="-3"/>
          <w:sz w:val="28"/>
        </w:rPr>
        <w:t>安装选择适当的参数。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3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2"/>
          <w:sz w:val="28"/>
        </w:rPr>
        <w:t>配置必要的外设。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为合法用户的安全访问管理存储设备。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挂载和卸载不同的文件系统。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创建和修改文件和目录。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执行内容和目录搜索。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创建链接文件。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修改文件和目录的权限和所有者。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识别和修改文件和目录默认权限。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对可记录式媒体进行访问和数据写入。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管理</w:t>
      </w:r>
      <w:r>
        <w:rPr>
          <w:rFonts w:hint="eastAsia" w:ascii="仿宋" w:hAnsi="仿宋" w:eastAsia="仿宋" w:cs="仿宋"/>
          <w:sz w:val="28"/>
        </w:rPr>
        <w:t>Linux</w:t>
      </w:r>
      <w:r>
        <w:rPr>
          <w:rFonts w:hint="eastAsia" w:ascii="仿宋" w:hAnsi="仿宋" w:eastAsia="仿宋" w:cs="仿宋"/>
          <w:spacing w:val="-3"/>
          <w:sz w:val="28"/>
        </w:rPr>
        <w:t>服务或进程以有效利用资源。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59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管理运行级别和系统初始化。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通过标识、执行、撤消和管理等控制进程。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修复（</w:t>
      </w:r>
      <w:r>
        <w:rPr>
          <w:rFonts w:hint="eastAsia" w:ascii="仿宋" w:hAnsi="仿宋" w:eastAsia="仿宋" w:cs="仿宋"/>
          <w:spacing w:val="-2"/>
          <w:sz w:val="28"/>
        </w:rPr>
        <w:t>软件</w:t>
      </w:r>
      <w:r>
        <w:rPr>
          <w:rFonts w:hint="eastAsia" w:ascii="仿宋" w:hAnsi="仿宋" w:eastAsia="仿宋" w:cs="仿宋"/>
          <w:sz w:val="28"/>
        </w:rPr>
        <w:t>）</w:t>
      </w:r>
      <w:r>
        <w:rPr>
          <w:rFonts w:hint="eastAsia" w:ascii="仿宋" w:hAnsi="仿宋" w:eastAsia="仿宋" w:cs="仿宋"/>
          <w:spacing w:val="-2"/>
          <w:sz w:val="28"/>
        </w:rPr>
        <w:t>包和脚本。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监测和诊断网络活动。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管理打印作业和打印队列。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执行远程管理。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通过创建、修改和使用命令来管理基本的</w:t>
      </w:r>
      <w:r>
        <w:rPr>
          <w:rFonts w:hint="eastAsia" w:ascii="仿宋" w:hAnsi="仿宋" w:eastAsia="仿宋" w:cs="仿宋"/>
          <w:sz w:val="28"/>
        </w:rPr>
        <w:t>shell脚本。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通过创建、修改和删除命令来管理用户和组帐户。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管理和访问邮件队列。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使用守护进程来调度将要执行的作业。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配置客户端网络服务和设置。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配置基本的服务器网络服务。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实现基本的路由和子网设置。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line="364" w:lineRule="auto"/>
        <w:ind w:right="816" w:hanging="420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配置系统和执行基本的</w:t>
      </w:r>
      <w:r>
        <w:rPr>
          <w:rFonts w:hint="eastAsia" w:ascii="仿宋" w:hAnsi="仿宋" w:eastAsia="仿宋" w:cs="仿宋"/>
          <w:sz w:val="28"/>
        </w:rPr>
        <w:t>makefile</w:t>
      </w:r>
      <w:r>
        <w:rPr>
          <w:rFonts w:hint="eastAsia" w:ascii="仿宋" w:hAnsi="仿宋" w:eastAsia="仿宋" w:cs="仿宋"/>
          <w:spacing w:val="-3"/>
          <w:sz w:val="28"/>
        </w:rPr>
        <w:t>修改以支持编译应用程序和驱动程序。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0" w:line="358" w:lineRule="exact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配置用于挂载硬盘或者分区的文件。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实现</w:t>
      </w:r>
      <w:r>
        <w:rPr>
          <w:rFonts w:hint="eastAsia" w:ascii="仿宋" w:hAnsi="仿宋" w:eastAsia="仿宋" w:cs="仿宋"/>
          <w:sz w:val="28"/>
        </w:rPr>
        <w:t>DNS。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2"/>
          <w:sz w:val="28"/>
        </w:rPr>
        <w:t>配置网络接口卡。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配置</w:t>
      </w:r>
      <w:r>
        <w:rPr>
          <w:rFonts w:hint="eastAsia" w:ascii="仿宋" w:hAnsi="仿宋" w:eastAsia="仿宋" w:cs="仿宋"/>
          <w:sz w:val="28"/>
        </w:rPr>
        <w:t>Linux</w:t>
      </w:r>
      <w:r>
        <w:rPr>
          <w:rFonts w:hint="eastAsia" w:ascii="仿宋" w:hAnsi="仿宋" w:eastAsia="仿宋" w:cs="仿宋"/>
          <w:spacing w:val="-1"/>
          <w:sz w:val="28"/>
        </w:rPr>
        <w:t>打印服务。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应用基本的打印机权限。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4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配置日志文件。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配置</w:t>
      </w:r>
      <w:r>
        <w:rPr>
          <w:rFonts w:hint="eastAsia" w:ascii="仿宋" w:hAnsi="仿宋" w:eastAsia="仿宋" w:cs="仿宋"/>
          <w:sz w:val="28"/>
        </w:rPr>
        <w:t>X</w:t>
      </w:r>
      <w:r>
        <w:rPr>
          <w:rFonts w:hint="eastAsia" w:ascii="仿宋" w:hAnsi="仿宋" w:eastAsia="仿宋" w:cs="仿宋"/>
          <w:spacing w:val="-1"/>
          <w:sz w:val="28"/>
        </w:rPr>
        <w:t>窗口系统。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建立环境变量。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管理服务器</w:t>
      </w:r>
      <w:r>
        <w:rPr>
          <w:rFonts w:hint="eastAsia" w:ascii="仿宋" w:hAnsi="仿宋" w:eastAsia="仿宋" w:cs="仿宋"/>
          <w:sz w:val="28"/>
        </w:rPr>
        <w:t>/</w:t>
      </w:r>
      <w:r>
        <w:rPr>
          <w:rFonts w:hint="eastAsia" w:ascii="仿宋" w:hAnsi="仿宋" w:eastAsia="仿宋" w:cs="仿宋"/>
          <w:spacing w:val="-3"/>
          <w:sz w:val="28"/>
        </w:rPr>
        <w:t>工作站安全参数以维护操作系统和数据完整性。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配置安全环境文件。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给定安全需求，实施适当的加密配置。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59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使用适当的访问级别登录（</w:t>
      </w:r>
      <w:r>
        <w:rPr>
          <w:rFonts w:hint="eastAsia" w:ascii="仿宋" w:hAnsi="仿宋" w:eastAsia="仿宋" w:cs="仿宋"/>
          <w:sz w:val="28"/>
        </w:rPr>
        <w:t>系统</w:t>
      </w:r>
      <w:r>
        <w:rPr>
          <w:rFonts w:hint="eastAsia" w:ascii="仿宋" w:hAnsi="仿宋" w:eastAsia="仿宋" w:cs="仿宋"/>
          <w:spacing w:val="-3"/>
          <w:sz w:val="28"/>
        </w:rPr>
        <w:t>）</w:t>
      </w:r>
      <w:r>
        <w:rPr>
          <w:rFonts w:hint="eastAsia" w:ascii="仿宋" w:hAnsi="仿宋" w:eastAsia="仿宋" w:cs="仿宋"/>
          <w:sz w:val="28"/>
        </w:rPr>
        <w:t>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设置进程和特殊权限。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给定安全需求，实现基本的</w:t>
      </w:r>
      <w:r>
        <w:rPr>
          <w:rFonts w:hint="eastAsia" w:ascii="仿宋" w:hAnsi="仿宋" w:eastAsia="仿宋" w:cs="仿宋"/>
          <w:sz w:val="28"/>
        </w:rPr>
        <w:t>IP</w:t>
      </w:r>
      <w:r>
        <w:rPr>
          <w:rFonts w:hint="eastAsia" w:ascii="仿宋" w:hAnsi="仿宋" w:eastAsia="仿宋" w:cs="仿宋"/>
          <w:spacing w:val="-1"/>
          <w:sz w:val="28"/>
        </w:rPr>
        <w:t>表</w:t>
      </w:r>
      <w:r>
        <w:rPr>
          <w:rFonts w:hint="eastAsia" w:ascii="仿宋" w:hAnsi="仿宋" w:eastAsia="仿宋" w:cs="仿宋"/>
          <w:sz w:val="28"/>
        </w:rPr>
        <w:t>/链。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为文件和身份验证实现安全审计。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2"/>
          <w:sz w:val="28"/>
        </w:rPr>
        <w:t>建立用户级安全。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配置便携式系统硬件。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配置</w:t>
      </w:r>
      <w:r>
        <w:rPr>
          <w:rFonts w:hint="eastAsia" w:ascii="仿宋" w:hAnsi="仿宋" w:eastAsia="仿宋" w:cs="仿宋"/>
          <w:sz w:val="28"/>
        </w:rPr>
        <w:t>RAID</w:t>
      </w:r>
      <w:r>
        <w:rPr>
          <w:rFonts w:hint="eastAsia" w:ascii="仿宋" w:hAnsi="仿宋" w:eastAsia="仿宋" w:cs="仿宋"/>
          <w:spacing w:val="-1"/>
          <w:sz w:val="28"/>
        </w:rPr>
        <w:t>(冗余磁盘阵列)。</w:t>
      </w:r>
    </w:p>
    <w:p>
      <w:pPr>
        <w:pStyle w:val="10"/>
        <w:tabs>
          <w:tab w:val="left" w:pos="1488"/>
        </w:tabs>
        <w:ind w:left="785" w:firstLine="0"/>
        <w:jc w:val="both"/>
        <w:rPr>
          <w:rFonts w:ascii="仿宋" w:hAnsi="仿宋" w:eastAsia="仿宋" w:cs="仿宋"/>
          <w:b/>
          <w:bCs/>
          <w:sz w:val="28"/>
        </w:rPr>
      </w:pPr>
      <w:r>
        <w:rPr>
          <w:rFonts w:hint="eastAsia" w:ascii="仿宋" w:hAnsi="仿宋" w:eastAsia="仿宋" w:cs="仿宋"/>
          <w:b/>
          <w:bCs/>
          <w:spacing w:val="-1"/>
          <w:sz w:val="28"/>
          <w:lang w:val="en-US"/>
        </w:rPr>
        <w:t>3.</w:t>
      </w:r>
      <w:r>
        <w:rPr>
          <w:rFonts w:hint="eastAsia" w:ascii="仿宋" w:hAnsi="仿宋" w:eastAsia="仿宋" w:cs="仿宋"/>
          <w:b/>
          <w:bCs/>
          <w:spacing w:val="-1"/>
          <w:sz w:val="28"/>
        </w:rPr>
        <w:t>系统服务-</w:t>
      </w:r>
      <w:r>
        <w:rPr>
          <w:rFonts w:hint="eastAsia" w:ascii="仿宋" w:hAnsi="仿宋" w:eastAsia="仿宋" w:cs="仿宋"/>
          <w:b/>
          <w:bCs/>
          <w:sz w:val="28"/>
        </w:rPr>
        <w:t>Windows</w:t>
      </w:r>
      <w:r>
        <w:rPr>
          <w:rFonts w:hint="eastAsia" w:ascii="仿宋" w:hAnsi="仿宋" w:eastAsia="仿宋" w:cs="仿宋"/>
          <w:b/>
          <w:bCs/>
          <w:spacing w:val="-2"/>
          <w:sz w:val="28"/>
        </w:rPr>
        <w:t>服务部署</w:t>
      </w:r>
    </w:p>
    <w:p>
      <w:pPr>
        <w:pStyle w:val="3"/>
        <w:spacing w:before="187" w:line="364" w:lineRule="auto"/>
        <w:ind w:left="226" w:right="765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8"/>
        </w:rPr>
        <w:t>依据设计图纸要求，配置和管理</w:t>
      </w:r>
      <w:r>
        <w:rPr>
          <w:rFonts w:hint="eastAsia" w:ascii="仿宋" w:hAnsi="仿宋" w:eastAsia="仿宋" w:cs="仿宋"/>
        </w:rPr>
        <w:t>Windows</w:t>
      </w:r>
      <w:r>
        <w:rPr>
          <w:rFonts w:hint="eastAsia" w:ascii="仿宋" w:hAnsi="仿宋" w:eastAsia="仿宋" w:cs="仿宋"/>
          <w:spacing w:val="-7"/>
        </w:rPr>
        <w:t>用户及应用服务器；在活</w:t>
      </w:r>
      <w:r>
        <w:rPr>
          <w:rFonts w:hint="eastAsia" w:ascii="仿宋" w:hAnsi="仿宋" w:eastAsia="仿宋" w:cs="仿宋"/>
          <w:spacing w:val="-8"/>
        </w:rPr>
        <w:t>动目录环境中实现用户、组和计算机账户统一管理，配置对共享文件夹</w:t>
      </w:r>
      <w:r>
        <w:rPr>
          <w:rFonts w:hint="eastAsia" w:ascii="仿宋" w:hAnsi="仿宋" w:eastAsia="仿宋" w:cs="仿宋"/>
          <w:spacing w:val="-7"/>
        </w:rPr>
        <w:t>的安全访问；为</w:t>
      </w:r>
      <w:r>
        <w:rPr>
          <w:rFonts w:hint="eastAsia" w:ascii="仿宋" w:hAnsi="仿宋" w:eastAsia="仿宋" w:cs="仿宋"/>
        </w:rPr>
        <w:t>Windows</w:t>
      </w:r>
      <w:r>
        <w:rPr>
          <w:rFonts w:hint="eastAsia" w:ascii="仿宋" w:hAnsi="仿宋" w:eastAsia="仿宋" w:cs="仿宋"/>
          <w:spacing w:val="-6"/>
        </w:rPr>
        <w:t>远程管理安装和配置终端服务；创建控制用户</w:t>
      </w:r>
      <w:r>
        <w:rPr>
          <w:rFonts w:hint="eastAsia" w:ascii="仿宋" w:hAnsi="仿宋" w:eastAsia="仿宋" w:cs="仿宋"/>
          <w:spacing w:val="-5"/>
        </w:rPr>
        <w:t>桌面的设置等安全性的策略。</w:t>
      </w:r>
    </w:p>
    <w:p>
      <w:pPr>
        <w:pStyle w:val="3"/>
        <w:spacing w:line="357" w:lineRule="exact"/>
        <w:ind w:left="786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参赛选手需要掌握以下并不仅限于以下技能。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管理本地、漫游和强制的用户</w:t>
      </w:r>
      <w:r>
        <w:rPr>
          <w:rFonts w:hint="eastAsia" w:ascii="仿宋" w:hAnsi="仿宋" w:eastAsia="仿宋" w:cs="仿宋"/>
          <w:sz w:val="28"/>
        </w:rPr>
        <w:t>（</w:t>
      </w:r>
      <w:r>
        <w:rPr>
          <w:rFonts w:hint="eastAsia" w:ascii="仿宋" w:hAnsi="仿宋" w:eastAsia="仿宋" w:cs="仿宋"/>
          <w:spacing w:val="-3"/>
          <w:sz w:val="28"/>
        </w:rPr>
        <w:t>配置</w:t>
      </w:r>
      <w:r>
        <w:rPr>
          <w:rFonts w:hint="eastAsia" w:ascii="仿宋" w:hAnsi="仿宋" w:eastAsia="仿宋" w:cs="仿宋"/>
          <w:sz w:val="28"/>
        </w:rPr>
        <w:t>）文件。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在活动目录环境中实现用户、组和计算机帐户。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配置对共享文件夹的访问。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为远程管理安装和配置终端服务。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安装和配置终端服务，为瘦客户端提供应用程序。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配置文件系统权限。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创建用户桌面的设置和安全性的策略。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4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2"/>
          <w:sz w:val="28"/>
        </w:rPr>
        <w:t>管理策略的应用。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通过策略来部署软件。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配置和管理网络服务器。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配置网站的身份验证。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为服务器执行系统还原。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管理备份过程。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从服务器硬件故障中还原系统。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配置</w:t>
      </w:r>
      <w:r>
        <w:rPr>
          <w:rFonts w:hint="eastAsia" w:ascii="仿宋" w:hAnsi="仿宋" w:eastAsia="仿宋" w:cs="仿宋"/>
          <w:sz w:val="28"/>
        </w:rPr>
        <w:t>DNS</w:t>
      </w:r>
      <w:r>
        <w:rPr>
          <w:rFonts w:hint="eastAsia" w:ascii="仿宋" w:hAnsi="仿宋" w:eastAsia="仿宋" w:cs="仿宋"/>
          <w:spacing w:val="-2"/>
          <w:sz w:val="28"/>
        </w:rPr>
        <w:t>服务器的服务。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配置</w:t>
      </w:r>
      <w:r>
        <w:rPr>
          <w:rFonts w:hint="eastAsia" w:ascii="仿宋" w:hAnsi="仿宋" w:eastAsia="仿宋" w:cs="仿宋"/>
          <w:sz w:val="28"/>
        </w:rPr>
        <w:t>RAID</w:t>
      </w:r>
      <w:r>
        <w:rPr>
          <w:rFonts w:hint="eastAsia" w:ascii="仿宋" w:hAnsi="仿宋" w:eastAsia="仿宋" w:cs="仿宋"/>
          <w:spacing w:val="-1"/>
          <w:sz w:val="28"/>
        </w:rPr>
        <w:t>(磁盘冗余阵列)。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远程管理网络的附属存储。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2"/>
          <w:sz w:val="28"/>
        </w:rPr>
        <w:t>实现虚拟化软件。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在虚拟计算环境中执行系统还原。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管理审计设置和审计日志。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配置</w:t>
      </w:r>
      <w:r>
        <w:rPr>
          <w:rFonts w:hint="eastAsia" w:ascii="仿宋" w:hAnsi="仿宋" w:eastAsia="仿宋" w:cs="仿宋"/>
          <w:sz w:val="28"/>
        </w:rPr>
        <w:t>DHCP。</w:t>
      </w:r>
    </w:p>
    <w:p>
      <w:pPr>
        <w:pStyle w:val="10"/>
        <w:numPr>
          <w:ilvl w:val="0"/>
          <w:numId w:val="1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验证</w:t>
      </w:r>
      <w:r>
        <w:rPr>
          <w:rFonts w:hint="eastAsia" w:ascii="仿宋" w:hAnsi="仿宋" w:eastAsia="仿宋" w:cs="仿宋"/>
          <w:sz w:val="28"/>
        </w:rPr>
        <w:t>DHCP</w:t>
      </w:r>
      <w:r>
        <w:rPr>
          <w:rFonts w:hint="eastAsia" w:ascii="仿宋" w:hAnsi="仿宋" w:eastAsia="仿宋" w:cs="仿宋"/>
          <w:spacing w:val="-2"/>
          <w:sz w:val="28"/>
        </w:rPr>
        <w:t>的保留配置。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安装操作系统映像。</w:t>
      </w:r>
    </w:p>
    <w:p>
      <w:pPr>
        <w:pStyle w:val="10"/>
        <w:numPr>
          <w:ilvl w:val="0"/>
          <w:numId w:val="1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配置网络策略服务器。</w:t>
      </w: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（三）其他要求</w:t>
      </w:r>
    </w:p>
    <w:p>
      <w:pPr>
        <w:pStyle w:val="3"/>
        <w:spacing w:before="120"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参赛选手在竞赛过程中，还需要能有序组织和安排工作、注意赛场安全、保持环境整洁、个人着装规范、注意安全保护、遵守赛场纪律以及自我管理等职业能力。</w:t>
      </w:r>
    </w:p>
    <w:p>
      <w:pPr>
        <w:autoSpaceDE/>
        <w:autoSpaceDN/>
        <w:adjustRightInd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bidi="ar-SA"/>
        </w:rPr>
        <w:t>四、竞赛方式</w:t>
      </w: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（一）竞赛时间安排</w:t>
      </w:r>
    </w:p>
    <w:p>
      <w:pPr>
        <w:pStyle w:val="3"/>
        <w:spacing w:before="123"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本赛项分A、B</w:t>
      </w:r>
      <w:r>
        <w:rPr>
          <w:rFonts w:hint="eastAsia" w:ascii="仿宋" w:hAnsi="仿宋" w:eastAsia="仿宋" w:cs="仿宋"/>
          <w:lang w:val="en-US"/>
        </w:rPr>
        <w:t>两</w:t>
      </w:r>
      <w:r>
        <w:rPr>
          <w:rFonts w:hint="eastAsia" w:ascii="仿宋" w:hAnsi="仿宋" w:eastAsia="仿宋" w:cs="仿宋"/>
        </w:rPr>
        <w:t>个模块。所有参赛选手在指定时间、按照比赛要求完成比赛任务。</w:t>
      </w:r>
    </w:p>
    <w:p>
      <w:pPr>
        <w:pStyle w:val="3"/>
        <w:spacing w:line="358" w:lineRule="exact"/>
        <w:ind w:left="786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累计竞赛时间为</w:t>
      </w:r>
      <w:r>
        <w:rPr>
          <w:rFonts w:hint="eastAsia" w:ascii="仿宋" w:hAnsi="仿宋" w:eastAsia="仿宋" w:cs="仿宋"/>
          <w:lang w:val="en-US"/>
        </w:rPr>
        <w:t>4</w:t>
      </w:r>
      <w:r>
        <w:rPr>
          <w:rFonts w:hint="eastAsia" w:ascii="仿宋" w:hAnsi="仿宋" w:eastAsia="仿宋" w:cs="仿宋"/>
        </w:rPr>
        <w:t>小时。</w:t>
      </w: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（二）选手构成</w:t>
      </w:r>
    </w:p>
    <w:p>
      <w:pPr>
        <w:pStyle w:val="3"/>
        <w:spacing w:before="122" w:line="364" w:lineRule="auto"/>
        <w:ind w:left="226" w:right="814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3"/>
        </w:rPr>
        <w:t>参赛选手须为高等职业学校全日制在籍学生；本科院校中高职类全日制在籍学生；五年制高职四、五年级学生；性别不限，参赛学生年龄</w:t>
      </w:r>
      <w:r>
        <w:rPr>
          <w:rFonts w:hint="eastAsia" w:ascii="仿宋" w:hAnsi="仿宋" w:eastAsia="仿宋" w:cs="仿宋"/>
          <w:spacing w:val="-20"/>
        </w:rPr>
        <w:t>限制在</w:t>
      </w:r>
      <w:r>
        <w:rPr>
          <w:rFonts w:hint="eastAsia" w:ascii="仿宋" w:hAnsi="仿宋" w:eastAsia="仿宋" w:cs="仿宋"/>
        </w:rPr>
        <w:t>25</w:t>
      </w:r>
      <w:r>
        <w:rPr>
          <w:rFonts w:hint="eastAsia" w:ascii="仿宋" w:hAnsi="仿宋" w:eastAsia="仿宋" w:cs="仿宋"/>
          <w:spacing w:val="-15"/>
        </w:rPr>
        <w:t>周岁以下</w:t>
      </w:r>
      <w:r>
        <w:rPr>
          <w:rFonts w:hint="eastAsia" w:ascii="仿宋" w:hAnsi="仿宋" w:eastAsia="仿宋" w:cs="仿宋"/>
        </w:rPr>
        <w:t>（</w:t>
      </w:r>
      <w:r>
        <w:rPr>
          <w:rFonts w:hint="eastAsia" w:ascii="仿宋" w:hAnsi="仿宋" w:eastAsia="仿宋" w:cs="仿宋"/>
          <w:spacing w:val="-34"/>
        </w:rPr>
        <w:t>即</w:t>
      </w:r>
      <w:r>
        <w:rPr>
          <w:rFonts w:hint="eastAsia" w:ascii="仿宋" w:hAnsi="仿宋" w:eastAsia="仿宋" w:cs="仿宋"/>
        </w:rPr>
        <w:t>199</w:t>
      </w:r>
      <w:r>
        <w:rPr>
          <w:rFonts w:hint="eastAsia" w:ascii="仿宋" w:hAnsi="仿宋" w:eastAsia="仿宋" w:cs="仿宋"/>
          <w:lang w:val="en-US"/>
        </w:rPr>
        <w:t>9</w:t>
      </w:r>
      <w:r>
        <w:rPr>
          <w:rFonts w:hint="eastAsia" w:ascii="仿宋" w:hAnsi="仿宋" w:eastAsia="仿宋" w:cs="仿宋"/>
          <w:spacing w:val="-47"/>
        </w:rPr>
        <w:t>年</w:t>
      </w:r>
      <w:r>
        <w:rPr>
          <w:rFonts w:hint="eastAsia" w:ascii="仿宋" w:hAnsi="仿宋" w:eastAsia="仿宋" w:cs="仿宋"/>
        </w:rPr>
        <w:t>9</w:t>
      </w:r>
      <w:r>
        <w:rPr>
          <w:rFonts w:hint="eastAsia" w:ascii="仿宋" w:hAnsi="仿宋" w:eastAsia="仿宋" w:cs="仿宋"/>
          <w:spacing w:val="-46"/>
        </w:rPr>
        <w:t>月</w:t>
      </w:r>
      <w:r>
        <w:rPr>
          <w:rFonts w:hint="eastAsia" w:ascii="仿宋" w:hAnsi="仿宋" w:eastAsia="仿宋" w:cs="仿宋"/>
        </w:rPr>
        <w:t>1</w:t>
      </w:r>
      <w:r>
        <w:rPr>
          <w:rFonts w:hint="eastAsia" w:ascii="仿宋" w:hAnsi="仿宋" w:eastAsia="仿宋" w:cs="仿宋"/>
          <w:spacing w:val="-12"/>
        </w:rPr>
        <w:t>日及以后出生</w:t>
      </w:r>
      <w:r>
        <w:rPr>
          <w:rFonts w:hint="eastAsia" w:ascii="仿宋" w:hAnsi="仿宋" w:eastAsia="仿宋" w:cs="仿宋"/>
          <w:spacing w:val="-3"/>
        </w:rPr>
        <w:t>）。参赛选手应严格遵守赛场纪律，服从指挥，着装整洁，仪表端庄，讲文明礼貌。各地代表队之间应团结、友好、协作，避免各种矛盾发生。指导教师须为本</w:t>
      </w:r>
      <w:r>
        <w:rPr>
          <w:rFonts w:hint="eastAsia" w:ascii="仿宋" w:hAnsi="仿宋" w:eastAsia="仿宋" w:cs="仿宋"/>
          <w:spacing w:val="-9"/>
        </w:rPr>
        <w:t>校专兼职教师，每队限报</w:t>
      </w:r>
      <w:r>
        <w:rPr>
          <w:rFonts w:hint="eastAsia" w:ascii="仿宋" w:hAnsi="仿宋" w:eastAsia="仿宋" w:cs="仿宋"/>
        </w:rPr>
        <w:t>1</w:t>
      </w:r>
      <w:r>
        <w:rPr>
          <w:rFonts w:hint="eastAsia" w:ascii="仿宋" w:hAnsi="仿宋" w:eastAsia="仿宋" w:cs="仿宋"/>
          <w:spacing w:val="-12"/>
        </w:rPr>
        <w:t>名指导教师。</w:t>
      </w:r>
    </w:p>
    <w:p>
      <w:pPr>
        <w:autoSpaceDE/>
        <w:autoSpaceDN/>
        <w:adjustRightInd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bidi="ar-SA"/>
        </w:rPr>
        <w:t>五、竞赛流程</w:t>
      </w: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（一）竞赛流程图</w:t>
      </w:r>
    </w:p>
    <w:p>
      <w:pPr>
        <w:spacing w:before="30"/>
        <w:ind w:left="788"/>
        <w:rPr>
          <w:rFonts w:ascii="Microsoft JhengHei" w:eastAsia="Microsoft JhengHei"/>
          <w:b/>
          <w:sz w:val="28"/>
        </w:rPr>
      </w:pPr>
    </w:p>
    <w:p>
      <w:pPr>
        <w:spacing w:before="30"/>
        <w:ind w:left="788"/>
        <w:rPr>
          <w:rFonts w:ascii="Microsoft JhengHei" w:eastAsia="Microsoft JhengHei"/>
          <w:b/>
          <w:sz w:val="28"/>
        </w:rPr>
      </w:pPr>
      <w:r>
        <w:rPr>
          <w:rFonts w:ascii="Times New Roman" w:hAnsi="Times New Roman" w:cs="Times New Roman"/>
          <w:lang w:val="en-US" w:bidi="ar-SA"/>
        </w:rPr>
        <w:drawing>
          <wp:inline distT="0" distB="0" distL="114300" distR="114300">
            <wp:extent cx="4174490" cy="5152390"/>
            <wp:effectExtent l="0" t="0" r="16510" b="10160"/>
            <wp:docPr id="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4490" cy="515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30"/>
        <w:ind w:left="788"/>
        <w:rPr>
          <w:rFonts w:ascii="Microsoft JhengHei" w:eastAsia="Microsoft JhengHei"/>
          <w:b/>
          <w:sz w:val="28"/>
        </w:rPr>
      </w:pPr>
    </w:p>
    <w:p>
      <w:pPr>
        <w:spacing w:before="30"/>
        <w:ind w:left="788"/>
        <w:rPr>
          <w:rFonts w:ascii="Microsoft JhengHei" w:eastAsia="Microsoft JhengHei"/>
          <w:b/>
          <w:sz w:val="28"/>
        </w:rPr>
      </w:pPr>
    </w:p>
    <w:p>
      <w:pPr>
        <w:spacing w:before="30"/>
        <w:ind w:left="788"/>
        <w:rPr>
          <w:rFonts w:ascii="Microsoft JhengHei" w:eastAsia="Microsoft JhengHei"/>
          <w:b/>
          <w:sz w:val="28"/>
        </w:rPr>
      </w:pPr>
    </w:p>
    <w:p>
      <w:pPr>
        <w:spacing w:before="30"/>
        <w:ind w:left="788"/>
        <w:rPr>
          <w:rFonts w:ascii="Microsoft JhengHei" w:eastAsia="Microsoft JhengHei"/>
          <w:b/>
          <w:sz w:val="28"/>
        </w:rPr>
      </w:pPr>
    </w:p>
    <w:p>
      <w:pPr>
        <w:spacing w:before="30"/>
        <w:ind w:left="788"/>
        <w:rPr>
          <w:rFonts w:ascii="Microsoft JhengHei" w:eastAsia="Microsoft JhengHei"/>
          <w:b/>
          <w:sz w:val="28"/>
        </w:rPr>
      </w:pPr>
    </w:p>
    <w:p>
      <w:pPr>
        <w:spacing w:before="30"/>
        <w:ind w:left="788"/>
        <w:rPr>
          <w:rFonts w:ascii="Microsoft JhengHei" w:eastAsia="Microsoft JhengHei"/>
          <w:b/>
          <w:sz w:val="28"/>
        </w:rPr>
      </w:pP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（二）竞赛时间表</w:t>
      </w:r>
    </w:p>
    <w:tbl>
      <w:tblPr>
        <w:tblStyle w:val="7"/>
        <w:tblW w:w="0" w:type="auto"/>
        <w:tblInd w:w="2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6"/>
        <w:gridCol w:w="1647"/>
        <w:gridCol w:w="4206"/>
        <w:gridCol w:w="2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26" w:type="dxa"/>
          </w:tcPr>
          <w:p>
            <w:pPr>
              <w:pStyle w:val="11"/>
              <w:spacing w:before="43"/>
              <w:ind w:left="21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日期</w:t>
            </w:r>
          </w:p>
        </w:tc>
        <w:tc>
          <w:tcPr>
            <w:tcW w:w="1647" w:type="dxa"/>
          </w:tcPr>
          <w:p>
            <w:pPr>
              <w:pStyle w:val="11"/>
              <w:spacing w:before="43"/>
              <w:ind w:left="562" w:right="554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时间</w:t>
            </w:r>
          </w:p>
        </w:tc>
        <w:tc>
          <w:tcPr>
            <w:tcW w:w="4206" w:type="dxa"/>
          </w:tcPr>
          <w:p>
            <w:pPr>
              <w:pStyle w:val="11"/>
              <w:spacing w:before="43"/>
              <w:ind w:left="1841" w:right="1834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事项</w:t>
            </w:r>
          </w:p>
        </w:tc>
        <w:tc>
          <w:tcPr>
            <w:tcW w:w="2532" w:type="dxa"/>
          </w:tcPr>
          <w:p>
            <w:pPr>
              <w:pStyle w:val="11"/>
              <w:spacing w:before="43"/>
              <w:ind w:left="701"/>
              <w:jc w:val="both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参加人员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 w:hRule="atLeast"/>
        </w:trPr>
        <w:tc>
          <w:tcPr>
            <w:tcW w:w="526" w:type="dxa"/>
            <w:vMerge w:val="restart"/>
            <w:vAlign w:val="center"/>
          </w:tcPr>
          <w:p>
            <w:pPr>
              <w:pStyle w:val="11"/>
              <w:spacing w:before="57" w:line="242" w:lineRule="auto"/>
              <w:ind w:left="141" w:right="13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报到日</w:t>
            </w:r>
          </w:p>
        </w:tc>
        <w:tc>
          <w:tcPr>
            <w:tcW w:w="1647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14:00-1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</w:t>
            </w:r>
          </w:p>
        </w:tc>
        <w:tc>
          <w:tcPr>
            <w:tcW w:w="4206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参赛队报到、领队抽取竞赛场次和检录号</w:t>
            </w:r>
          </w:p>
        </w:tc>
        <w:tc>
          <w:tcPr>
            <w:tcW w:w="2532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</w:rPr>
              <w:t>领队、指导老师、选手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 w:hRule="atLeast"/>
        </w:trPr>
        <w:tc>
          <w:tcPr>
            <w:tcW w:w="526" w:type="dxa"/>
            <w:vMerge w:val="continue"/>
            <w:vAlign w:val="center"/>
          </w:tcPr>
          <w:p>
            <w:pPr>
              <w:pStyle w:val="11"/>
              <w:spacing w:before="57" w:line="242" w:lineRule="auto"/>
              <w:ind w:left="141" w:right="13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15:30-16:30</w:t>
            </w:r>
          </w:p>
        </w:tc>
        <w:tc>
          <w:tcPr>
            <w:tcW w:w="4206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参赛队参观赛场</w:t>
            </w:r>
          </w:p>
        </w:tc>
        <w:tc>
          <w:tcPr>
            <w:tcW w:w="2532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领队、指导老师、选手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 w:hRule="atLeast"/>
        </w:trPr>
        <w:tc>
          <w:tcPr>
            <w:tcW w:w="526" w:type="dxa"/>
            <w:vMerge w:val="continue"/>
            <w:vAlign w:val="center"/>
          </w:tcPr>
          <w:p>
            <w:pPr>
              <w:pStyle w:val="11"/>
              <w:spacing w:before="57" w:line="242" w:lineRule="auto"/>
              <w:ind w:left="141" w:right="13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16:40-17:20</w:t>
            </w:r>
          </w:p>
        </w:tc>
        <w:tc>
          <w:tcPr>
            <w:tcW w:w="4206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领队会：抽取翌日赛题与赛题封装</w:t>
            </w:r>
          </w:p>
        </w:tc>
        <w:tc>
          <w:tcPr>
            <w:tcW w:w="2532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领队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526" w:type="dxa"/>
            <w:vMerge w:val="restart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竞</w:t>
            </w: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赛</w:t>
            </w: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</w:tc>
        <w:tc>
          <w:tcPr>
            <w:tcW w:w="1647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8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0-8: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</w:t>
            </w:r>
          </w:p>
        </w:tc>
        <w:tc>
          <w:tcPr>
            <w:tcW w:w="4206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第一段：入场检录、赛位抽签</w:t>
            </w: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竞赛环境确认</w:t>
            </w:r>
          </w:p>
        </w:tc>
        <w:tc>
          <w:tcPr>
            <w:tcW w:w="2532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5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0-1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</w:t>
            </w:r>
          </w:p>
        </w:tc>
        <w:tc>
          <w:tcPr>
            <w:tcW w:w="4206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正式比赛（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网络+服务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</w:tc>
        <w:tc>
          <w:tcPr>
            <w:tcW w:w="2532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上午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参赛选手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5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0-1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</w:t>
            </w:r>
          </w:p>
        </w:tc>
        <w:tc>
          <w:tcPr>
            <w:tcW w:w="4206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监考裁判收集资料</w:t>
            </w:r>
          </w:p>
        </w:tc>
        <w:tc>
          <w:tcPr>
            <w:tcW w:w="2532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z w:val="24"/>
                <w:szCs w:val="24"/>
                <w:lang w:val="en-US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</w:t>
            </w:r>
            <w:r>
              <w:rPr>
                <w:rFonts w:ascii="仿宋" w:hAnsi="仿宋" w:eastAsia="仿宋" w:cs="仿宋"/>
                <w:sz w:val="24"/>
                <w:szCs w:val="24"/>
                <w:lang w:val="en-US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14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</w:t>
            </w:r>
          </w:p>
        </w:tc>
        <w:tc>
          <w:tcPr>
            <w:tcW w:w="4206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第二段：入场检录、赛位抽签</w:t>
            </w: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竞赛环境确认</w:t>
            </w:r>
          </w:p>
        </w:tc>
        <w:tc>
          <w:tcPr>
            <w:tcW w:w="2532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6" w:hRule="atLeast"/>
        </w:trPr>
        <w:tc>
          <w:tcPr>
            <w:tcW w:w="5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0-1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8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</w:t>
            </w:r>
          </w:p>
        </w:tc>
        <w:tc>
          <w:tcPr>
            <w:tcW w:w="4206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正式比赛（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网络+服务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</w:tc>
        <w:tc>
          <w:tcPr>
            <w:tcW w:w="2532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下午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组参赛选手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8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0-1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9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</w:t>
            </w:r>
          </w:p>
        </w:tc>
        <w:tc>
          <w:tcPr>
            <w:tcW w:w="4206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监考裁判收集资料</w:t>
            </w:r>
          </w:p>
        </w:tc>
        <w:tc>
          <w:tcPr>
            <w:tcW w:w="2532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19:00-21:00</w:t>
            </w:r>
          </w:p>
        </w:tc>
        <w:tc>
          <w:tcPr>
            <w:tcW w:w="4206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考场视频封存，考试环境拆卸</w:t>
            </w:r>
          </w:p>
        </w:tc>
        <w:tc>
          <w:tcPr>
            <w:tcW w:w="2532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技术支持人员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23:55前</w:t>
            </w:r>
          </w:p>
        </w:tc>
        <w:tc>
          <w:tcPr>
            <w:tcW w:w="4206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成绩公示</w:t>
            </w:r>
          </w:p>
        </w:tc>
        <w:tc>
          <w:tcPr>
            <w:tcW w:w="2532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QQ群内公示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526" w:type="dxa"/>
            <w:vMerge w:val="restart"/>
            <w:vAlign w:val="center"/>
          </w:tcPr>
          <w:p>
            <w:pPr>
              <w:pStyle w:val="11"/>
              <w:spacing w:line="242" w:lineRule="auto"/>
              <w:ind w:left="141" w:right="13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返程</w:t>
            </w:r>
          </w:p>
          <w:p>
            <w:pPr>
              <w:pStyle w:val="11"/>
              <w:spacing w:before="2" w:line="297" w:lineRule="exact"/>
              <w:ind w:left="141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</w:tc>
        <w:tc>
          <w:tcPr>
            <w:tcW w:w="1647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00:00-01:00</w:t>
            </w:r>
          </w:p>
        </w:tc>
        <w:tc>
          <w:tcPr>
            <w:tcW w:w="4206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投诉仲裁阶段</w:t>
            </w:r>
          </w:p>
        </w:tc>
        <w:tc>
          <w:tcPr>
            <w:tcW w:w="2532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领队、指导老师、选手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526" w:type="dxa"/>
            <w:vMerge w:val="continue"/>
            <w:vAlign w:val="center"/>
          </w:tcPr>
          <w:p>
            <w:pPr>
              <w:pStyle w:val="11"/>
              <w:spacing w:before="2" w:line="297" w:lineRule="exact"/>
              <w:ind w:left="14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  <w:vAlign w:val="center"/>
          </w:tcPr>
          <w:p>
            <w:pPr>
              <w:pStyle w:val="11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7:00-17:00</w:t>
            </w:r>
          </w:p>
        </w:tc>
        <w:tc>
          <w:tcPr>
            <w:tcW w:w="4206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返程</w:t>
            </w:r>
          </w:p>
        </w:tc>
        <w:tc>
          <w:tcPr>
            <w:tcW w:w="2532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领队、指导教师、选手</w:t>
            </w:r>
          </w:p>
        </w:tc>
      </w:tr>
    </w:tbl>
    <w:p>
      <w:pPr>
        <w:pStyle w:val="3"/>
        <w:spacing w:before="5"/>
        <w:ind w:left="0" w:firstLine="0"/>
        <w:jc w:val="center"/>
        <w:rPr>
          <w:rFonts w:ascii="仿宋" w:hAnsi="仿宋" w:eastAsia="仿宋" w:cs="仿宋"/>
          <w:sz w:val="24"/>
          <w:szCs w:val="24"/>
        </w:rPr>
      </w:pPr>
    </w:p>
    <w:p>
      <w:pPr>
        <w:autoSpaceDE/>
        <w:autoSpaceDN/>
        <w:adjustRightInd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bidi="ar-SA"/>
        </w:rPr>
        <w:t>六、竞赛命题</w:t>
      </w:r>
    </w:p>
    <w:p>
      <w:pPr>
        <w:pStyle w:val="3"/>
        <w:spacing w:before="122"/>
        <w:ind w:left="786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竞赛试题设计要求如下所示：</w:t>
      </w:r>
    </w:p>
    <w:p>
      <w:pPr>
        <w:pStyle w:val="10"/>
        <w:numPr>
          <w:ilvl w:val="0"/>
          <w:numId w:val="2"/>
        </w:numPr>
        <w:tabs>
          <w:tab w:val="left" w:pos="1069"/>
        </w:tabs>
        <w:spacing w:before="187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每份试题都含有一份详细物理拓扑图及</w:t>
      </w:r>
      <w:r>
        <w:rPr>
          <w:rFonts w:hint="eastAsia" w:ascii="仿宋" w:hAnsi="仿宋" w:eastAsia="仿宋" w:cs="仿宋"/>
          <w:sz w:val="28"/>
        </w:rPr>
        <w:t>/</w:t>
      </w:r>
      <w:r>
        <w:rPr>
          <w:rFonts w:hint="eastAsia" w:ascii="仿宋" w:hAnsi="仿宋" w:eastAsia="仿宋" w:cs="仿宋"/>
          <w:spacing w:val="-2"/>
          <w:sz w:val="28"/>
        </w:rPr>
        <w:t>或一份详细逻辑图。</w:t>
      </w:r>
    </w:p>
    <w:p>
      <w:pPr>
        <w:pStyle w:val="10"/>
        <w:numPr>
          <w:ilvl w:val="0"/>
          <w:numId w:val="2"/>
        </w:numPr>
        <w:tabs>
          <w:tab w:val="left" w:pos="1206"/>
        </w:tabs>
        <w:ind w:left="1205" w:hanging="420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A、B</w:t>
      </w:r>
      <w:r>
        <w:rPr>
          <w:rFonts w:hint="eastAsia" w:ascii="仿宋" w:hAnsi="仿宋" w:eastAsia="仿宋" w:cs="仿宋"/>
          <w:spacing w:val="-10"/>
          <w:sz w:val="28"/>
        </w:rPr>
        <w:t>模块评分点设计，每个模块的评分点在</w:t>
      </w:r>
      <w:r>
        <w:rPr>
          <w:rFonts w:hint="eastAsia" w:ascii="仿宋" w:hAnsi="仿宋" w:eastAsia="仿宋" w:cs="仿宋"/>
          <w:sz w:val="28"/>
        </w:rPr>
        <w:t>20—60</w:t>
      </w:r>
      <w:r>
        <w:rPr>
          <w:rFonts w:hint="eastAsia" w:ascii="仿宋" w:hAnsi="仿宋" w:eastAsia="仿宋" w:cs="仿宋"/>
          <w:spacing w:val="-15"/>
          <w:sz w:val="28"/>
        </w:rPr>
        <w:t>个之间。</w:t>
      </w:r>
    </w:p>
    <w:p>
      <w:pPr>
        <w:pStyle w:val="10"/>
        <w:numPr>
          <w:numId w:val="0"/>
        </w:numPr>
        <w:tabs>
          <w:tab w:val="left" w:pos="1206"/>
        </w:tabs>
        <w:ind w:left="785" w:leftChars="0"/>
        <w:rPr>
          <w:rFonts w:ascii="仿宋" w:hAnsi="仿宋" w:eastAsia="仿宋" w:cs="仿宋"/>
          <w:sz w:val="28"/>
        </w:rPr>
      </w:pPr>
    </w:p>
    <w:p>
      <w:pPr>
        <w:autoSpaceDE/>
        <w:autoSpaceDN/>
        <w:adjustRightInd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bidi="ar-SA"/>
        </w:rPr>
        <w:t>七、竞赛规则</w:t>
      </w:r>
    </w:p>
    <w:p>
      <w:pPr>
        <w:pStyle w:val="10"/>
        <w:numPr>
          <w:ilvl w:val="0"/>
          <w:numId w:val="3"/>
        </w:numPr>
        <w:tabs>
          <w:tab w:val="left" w:pos="1069"/>
        </w:tabs>
        <w:spacing w:before="123" w:line="364" w:lineRule="auto"/>
        <w:ind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参赛选手资格。凡在往届全省职业院校技能大赛中获本赛项高职</w:t>
      </w:r>
      <w:r>
        <w:rPr>
          <w:rFonts w:hint="eastAsia" w:ascii="仿宋" w:hAnsi="仿宋" w:eastAsia="仿宋" w:cs="仿宋"/>
          <w:spacing w:val="-3"/>
          <w:sz w:val="28"/>
        </w:rPr>
        <w:t>组一等奖的选手，不能再报名参赛。</w:t>
      </w:r>
    </w:p>
    <w:p>
      <w:pPr>
        <w:pStyle w:val="10"/>
        <w:numPr>
          <w:ilvl w:val="0"/>
          <w:numId w:val="3"/>
        </w:numPr>
        <w:tabs>
          <w:tab w:val="left" w:pos="1069"/>
        </w:tabs>
        <w:spacing w:before="39" w:line="364" w:lineRule="auto"/>
        <w:ind w:right="624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1"/>
          <w:sz w:val="28"/>
        </w:rPr>
        <w:t>工位通过抽签决定，比赛期间参赛选手原则上不得离开比赛场地。</w:t>
      </w:r>
      <w:r>
        <w:rPr>
          <w:rFonts w:hint="eastAsia" w:ascii="仿宋" w:hAnsi="仿宋" w:eastAsia="仿宋" w:cs="仿宋"/>
          <w:spacing w:val="-3"/>
          <w:sz w:val="28"/>
        </w:rPr>
        <w:t>所需的硬件、软件和辅助工具统一提供，参赛队不得使用自带的</w:t>
      </w:r>
      <w:r>
        <w:rPr>
          <w:rFonts w:hint="eastAsia" w:ascii="仿宋" w:hAnsi="仿宋" w:eastAsia="仿宋" w:cs="仿宋"/>
          <w:spacing w:val="-5"/>
          <w:sz w:val="28"/>
        </w:rPr>
        <w:t>任何具有存储和通讯功能的设备，如硬盘、光盘、</w:t>
      </w:r>
      <w:r>
        <w:rPr>
          <w:rFonts w:hint="eastAsia" w:ascii="仿宋" w:hAnsi="仿宋" w:eastAsia="仿宋" w:cs="仿宋"/>
          <w:sz w:val="28"/>
        </w:rPr>
        <w:t>U</w:t>
      </w:r>
      <w:r>
        <w:rPr>
          <w:rFonts w:hint="eastAsia" w:ascii="仿宋" w:hAnsi="仿宋" w:eastAsia="仿宋" w:cs="仿宋"/>
          <w:spacing w:val="-11"/>
          <w:sz w:val="28"/>
        </w:rPr>
        <w:t>盘、手机、随身听、</w:t>
      </w:r>
      <w:r>
        <w:rPr>
          <w:rFonts w:hint="eastAsia" w:ascii="仿宋" w:hAnsi="仿宋" w:eastAsia="仿宋" w:cs="仿宋"/>
          <w:spacing w:val="-1"/>
          <w:sz w:val="28"/>
        </w:rPr>
        <w:t>智能手表、</w:t>
      </w:r>
      <w:r>
        <w:rPr>
          <w:rFonts w:hint="eastAsia" w:ascii="仿宋" w:hAnsi="仿宋" w:eastAsia="仿宋" w:cs="仿宋"/>
          <w:sz w:val="28"/>
        </w:rPr>
        <w:t>PAD</w:t>
      </w:r>
      <w:r>
        <w:rPr>
          <w:rFonts w:hint="eastAsia" w:ascii="仿宋" w:hAnsi="仿宋" w:eastAsia="仿宋" w:cs="仿宋"/>
          <w:spacing w:val="-24"/>
          <w:sz w:val="28"/>
        </w:rPr>
        <w:t>等。</w:t>
      </w:r>
    </w:p>
    <w:p>
      <w:pPr>
        <w:pStyle w:val="10"/>
        <w:numPr>
          <w:ilvl w:val="0"/>
          <w:numId w:val="3"/>
        </w:numPr>
        <w:tabs>
          <w:tab w:val="left" w:pos="1069"/>
        </w:tabs>
        <w:spacing w:before="0" w:line="357" w:lineRule="exact"/>
        <w:ind w:left="106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选手比赛正式开始后方可进行相关操作。</w:t>
      </w:r>
    </w:p>
    <w:p>
      <w:pPr>
        <w:pStyle w:val="10"/>
        <w:numPr>
          <w:ilvl w:val="0"/>
          <w:numId w:val="3"/>
        </w:numPr>
        <w:tabs>
          <w:tab w:val="left" w:pos="1069"/>
        </w:tabs>
        <w:spacing w:line="364" w:lineRule="auto"/>
        <w:ind w:right="819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在比赛过程中，参赛选手如有疑问，应举手示意，现场裁判应按</w:t>
      </w:r>
      <w:r>
        <w:rPr>
          <w:rFonts w:hint="eastAsia" w:ascii="仿宋" w:hAnsi="仿宋" w:eastAsia="仿宋" w:cs="仿宋"/>
          <w:spacing w:val="-4"/>
          <w:sz w:val="28"/>
        </w:rPr>
        <w:t>要求及时予以答疑。如遇设备或软件等故障，参赛选手应举手示意，现场裁判、技术人员等应及时予以解决。确因软硬件或环境故障，致使操</w:t>
      </w:r>
      <w:r>
        <w:rPr>
          <w:rFonts w:hint="eastAsia" w:ascii="仿宋" w:hAnsi="仿宋" w:eastAsia="仿宋" w:cs="仿宋"/>
          <w:spacing w:val="-3"/>
          <w:sz w:val="28"/>
        </w:rPr>
        <w:t>作无法继续，经裁判长确认，采取对应补救措施。</w:t>
      </w:r>
    </w:p>
    <w:p>
      <w:pPr>
        <w:pStyle w:val="10"/>
        <w:numPr>
          <w:ilvl w:val="0"/>
          <w:numId w:val="3"/>
        </w:numPr>
        <w:tabs>
          <w:tab w:val="left" w:pos="1069"/>
        </w:tabs>
        <w:spacing w:before="0" w:line="364" w:lineRule="auto"/>
        <w:ind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比赛时间结束，选手应全体起立，结束操作。经工作人员查收清</w:t>
      </w:r>
      <w:r>
        <w:rPr>
          <w:rFonts w:hint="eastAsia" w:ascii="仿宋" w:hAnsi="仿宋" w:eastAsia="仿宋" w:cs="仿宋"/>
          <w:spacing w:val="-3"/>
          <w:sz w:val="28"/>
        </w:rPr>
        <w:t>点所有文档后方可离开赛场，离开赛场时不得带走任何资料。</w:t>
      </w:r>
    </w:p>
    <w:p>
      <w:pPr>
        <w:pStyle w:val="10"/>
        <w:numPr>
          <w:ilvl w:val="0"/>
          <w:numId w:val="3"/>
        </w:numPr>
        <w:tabs>
          <w:tab w:val="left" w:pos="1069"/>
        </w:tabs>
        <w:spacing w:before="0" w:line="364" w:lineRule="auto"/>
        <w:ind w:right="761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赛项裁判应严格遵守赛项各项规章制度，确保比赛公平、公正、</w:t>
      </w:r>
      <w:r>
        <w:rPr>
          <w:rFonts w:hint="eastAsia" w:ascii="仿宋" w:hAnsi="仿宋" w:eastAsia="仿宋" w:cs="仿宋"/>
          <w:spacing w:val="-14"/>
          <w:sz w:val="28"/>
        </w:rPr>
        <w:t>公开。比赛当天</w:t>
      </w:r>
      <w:r>
        <w:rPr>
          <w:rFonts w:hint="eastAsia" w:ascii="仿宋" w:hAnsi="仿宋" w:eastAsia="仿宋" w:cs="仿宋"/>
          <w:sz w:val="28"/>
        </w:rPr>
        <w:t>8:00</w:t>
      </w:r>
      <w:r>
        <w:rPr>
          <w:rFonts w:hint="eastAsia" w:ascii="仿宋" w:hAnsi="仿宋" w:eastAsia="仿宋" w:cs="仿宋"/>
          <w:spacing w:val="-13"/>
          <w:sz w:val="28"/>
        </w:rPr>
        <w:t>起，赛项裁判应上交所有通信设备，由赛项执委会</w:t>
      </w:r>
      <w:r>
        <w:rPr>
          <w:rFonts w:hint="eastAsia" w:ascii="仿宋" w:hAnsi="仿宋" w:eastAsia="仿宋" w:cs="仿宋"/>
          <w:spacing w:val="-8"/>
          <w:sz w:val="28"/>
        </w:rPr>
        <w:t>统一保管，并安排赛项裁判在指定区域休息或工作，直至赛项成绩评定结束。</w:t>
      </w:r>
    </w:p>
    <w:p>
      <w:pPr>
        <w:pStyle w:val="10"/>
        <w:numPr>
          <w:ilvl w:val="0"/>
          <w:numId w:val="3"/>
        </w:numPr>
        <w:tabs>
          <w:tab w:val="left" w:pos="1069"/>
        </w:tabs>
        <w:spacing w:before="0" w:line="364" w:lineRule="auto"/>
        <w:ind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比赛结束，经加密裁判对各参赛选手提交的竞赛结果进行第三次</w:t>
      </w:r>
      <w:r>
        <w:rPr>
          <w:rFonts w:hint="eastAsia" w:ascii="仿宋" w:hAnsi="仿宋" w:eastAsia="仿宋" w:cs="仿宋"/>
          <w:spacing w:val="-3"/>
          <w:sz w:val="28"/>
        </w:rPr>
        <w:t>加密后，评分裁判方可入场进行成绩评判。</w:t>
      </w:r>
    </w:p>
    <w:p>
      <w:pPr>
        <w:pStyle w:val="3"/>
        <w:spacing w:line="364" w:lineRule="auto"/>
        <w:ind w:left="226" w:right="820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最终竞赛成绩经复核无误，由裁判、裁判长和督察员签字确认后，在省竞赛系统上报，省教育厅审核通过后发布。</w:t>
      </w:r>
    </w:p>
    <w:p>
      <w:pPr>
        <w:pStyle w:val="10"/>
        <w:numPr>
          <w:ilvl w:val="0"/>
          <w:numId w:val="3"/>
        </w:numPr>
        <w:tabs>
          <w:tab w:val="left" w:pos="1069"/>
        </w:tabs>
        <w:spacing w:before="0" w:line="364" w:lineRule="auto"/>
        <w:ind w:right="628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1"/>
          <w:sz w:val="28"/>
        </w:rPr>
        <w:t>本赛项各参赛队最终成绩，由承办单位信息员录入赛务管理系统。</w:t>
      </w:r>
      <w:r>
        <w:rPr>
          <w:rFonts w:hint="eastAsia" w:ascii="仿宋" w:hAnsi="仿宋" w:eastAsia="仿宋" w:cs="仿宋"/>
          <w:spacing w:val="-10"/>
          <w:sz w:val="28"/>
        </w:rPr>
        <w:t>承办单位信息员对成绩数据审核后，将赛务系统中录入的成绩导出打印，</w:t>
      </w:r>
      <w:r>
        <w:rPr>
          <w:rFonts w:hint="eastAsia" w:ascii="仿宋" w:hAnsi="仿宋" w:eastAsia="仿宋" w:cs="仿宋"/>
          <w:spacing w:val="-3"/>
          <w:sz w:val="28"/>
        </w:rPr>
        <w:t>经赛项裁判长审核无误后，签字。</w:t>
      </w:r>
    </w:p>
    <w:p>
      <w:pPr>
        <w:pStyle w:val="3"/>
        <w:spacing w:line="364" w:lineRule="auto"/>
        <w:ind w:left="226" w:right="1098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承办单位信息员将裁判长确认的电子版赛项成绩上传赛务管理系统；同时，将裁判长签字的纸质打印成绩单报送大赛执委会。</w:t>
      </w:r>
    </w:p>
    <w:p>
      <w:pPr>
        <w:pStyle w:val="10"/>
        <w:numPr>
          <w:ilvl w:val="0"/>
          <w:numId w:val="3"/>
        </w:numPr>
        <w:tabs>
          <w:tab w:val="left" w:pos="1208"/>
        </w:tabs>
        <w:spacing w:before="0" w:line="364" w:lineRule="auto"/>
        <w:ind w:right="767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0"/>
          <w:sz w:val="28"/>
        </w:rPr>
        <w:t>赛项结束后，专家工作组根据裁判判分情况，分析参赛选手在比</w:t>
      </w:r>
      <w:r>
        <w:rPr>
          <w:rFonts w:hint="eastAsia" w:ascii="仿宋" w:hAnsi="仿宋" w:eastAsia="仿宋" w:cs="仿宋"/>
          <w:spacing w:val="-7"/>
          <w:sz w:val="28"/>
        </w:rPr>
        <w:t>赛过程中对各知识点、技术的掌握程度，并将分析报告报备大赛执委会</w:t>
      </w:r>
      <w:r>
        <w:rPr>
          <w:rFonts w:hint="eastAsia" w:ascii="仿宋" w:hAnsi="仿宋" w:eastAsia="仿宋" w:cs="仿宋"/>
          <w:spacing w:val="-5"/>
          <w:sz w:val="28"/>
        </w:rPr>
        <w:t>办公室，执委会办公室根据实际情况适时公布。</w:t>
      </w:r>
    </w:p>
    <w:p>
      <w:pPr>
        <w:pStyle w:val="10"/>
        <w:numPr>
          <w:ilvl w:val="0"/>
          <w:numId w:val="3"/>
        </w:numPr>
        <w:tabs>
          <w:tab w:val="left" w:pos="1208"/>
        </w:tabs>
        <w:spacing w:before="0" w:line="364" w:lineRule="auto"/>
        <w:ind w:right="767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赛项中每个比赛环节裁判判分的原始材料和最终成绩等结果性</w:t>
      </w:r>
      <w:r>
        <w:rPr>
          <w:rFonts w:hint="eastAsia" w:ascii="仿宋" w:hAnsi="仿宋" w:eastAsia="仿宋" w:cs="仿宋"/>
          <w:spacing w:val="-4"/>
          <w:sz w:val="28"/>
        </w:rPr>
        <w:t>材料，经督察员和裁判长签字后，装袋密封留档；并由赛项承办院校封</w:t>
      </w:r>
      <w:r>
        <w:rPr>
          <w:rFonts w:hint="eastAsia" w:ascii="仿宋" w:hAnsi="仿宋" w:eastAsia="仿宋" w:cs="仿宋"/>
          <w:spacing w:val="-3"/>
          <w:sz w:val="28"/>
        </w:rPr>
        <w:t>存，委派专人妥善保管。</w:t>
      </w:r>
    </w:p>
    <w:p>
      <w:pPr>
        <w:autoSpaceDE/>
        <w:autoSpaceDN/>
        <w:adjustRightInd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bidi="ar-SA"/>
        </w:rPr>
        <w:t>八、竞赛环境</w:t>
      </w: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（一）赛场布局要求</w:t>
      </w:r>
    </w:p>
    <w:p>
      <w:pPr>
        <w:pStyle w:val="3"/>
        <w:spacing w:before="123" w:line="364" w:lineRule="auto"/>
        <w:ind w:left="226" w:right="820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4"/>
        </w:rPr>
        <w:t>竞赛场地包括参赛选手竞赛区域、隔离等待区、裁判区域、设备耗</w:t>
      </w:r>
      <w:r>
        <w:rPr>
          <w:rFonts w:hint="eastAsia" w:ascii="仿宋" w:hAnsi="仿宋" w:eastAsia="仿宋" w:cs="仿宋"/>
          <w:spacing w:val="-3"/>
        </w:rPr>
        <w:t>材区、技术支持区、服务区。</w:t>
      </w:r>
    </w:p>
    <w:p>
      <w:pPr>
        <w:pStyle w:val="10"/>
        <w:numPr>
          <w:ilvl w:val="0"/>
          <w:numId w:val="4"/>
        </w:numPr>
        <w:tabs>
          <w:tab w:val="left" w:pos="1069"/>
        </w:tabs>
        <w:spacing w:before="0" w:line="365" w:lineRule="auto"/>
        <w:ind w:left="227" w:right="760" w:firstLine="561"/>
        <w:rPr>
          <w:rFonts w:ascii="仿宋" w:hAnsi="仿宋" w:eastAsia="仿宋" w:cs="仿宋"/>
          <w:spacing w:val="-7"/>
          <w:sz w:val="28"/>
        </w:rPr>
      </w:pPr>
      <w:r>
        <w:rPr>
          <w:rFonts w:hint="eastAsia" w:ascii="仿宋" w:hAnsi="仿宋" w:eastAsia="仿宋" w:cs="仿宋"/>
          <w:spacing w:val="-7"/>
          <w:sz w:val="28"/>
        </w:rPr>
        <w:t>参赛选手竞赛区域。按照</w:t>
      </w:r>
      <w:r>
        <w:rPr>
          <w:rFonts w:hint="eastAsia" w:ascii="仿宋" w:hAnsi="仿宋" w:eastAsia="仿宋" w:cs="仿宋"/>
          <w:spacing w:val="-7"/>
          <w:sz w:val="28"/>
          <w:lang w:val="en-US"/>
        </w:rPr>
        <w:t>一字</w:t>
      </w:r>
      <w:r>
        <w:rPr>
          <w:rFonts w:hint="eastAsia" w:ascii="仿宋" w:hAnsi="仿宋" w:eastAsia="仿宋" w:cs="仿宋"/>
          <w:spacing w:val="-7"/>
          <w:sz w:val="28"/>
        </w:rPr>
        <w:t>形布置竞赛工位。每个竞赛工位标有醒目的工位编号，确保参赛队之间互不干扰。赛场要求竞赛过程全程无死角视频监控，监控录像保存3个月。环境标准要求保证赛场采光、照明和通风良好；提供稳定的水、电，并提供应急的备用电源；提供足够的干粉灭火器材，每个工位提供一个垃圾箱。</w:t>
      </w:r>
    </w:p>
    <w:p>
      <w:pPr>
        <w:pStyle w:val="10"/>
        <w:numPr>
          <w:ilvl w:val="0"/>
          <w:numId w:val="4"/>
        </w:numPr>
        <w:tabs>
          <w:tab w:val="left" w:pos="1069"/>
        </w:tabs>
        <w:spacing w:before="0" w:line="365" w:lineRule="auto"/>
        <w:ind w:left="227" w:right="760" w:firstLine="561"/>
        <w:rPr>
          <w:rFonts w:ascii="仿宋" w:hAnsi="仿宋" w:eastAsia="仿宋" w:cs="仿宋"/>
          <w:spacing w:val="-7"/>
          <w:sz w:val="28"/>
        </w:rPr>
      </w:pPr>
      <w:r>
        <w:rPr>
          <w:rFonts w:hint="eastAsia" w:ascii="仿宋" w:hAnsi="仿宋" w:eastAsia="仿宋" w:cs="仿宋"/>
          <w:spacing w:val="-7"/>
          <w:sz w:val="28"/>
        </w:rPr>
        <w:t>隔离等待区。隔离等待比赛的队伍，提供桌椅临时休息。</w:t>
      </w:r>
    </w:p>
    <w:p>
      <w:pPr>
        <w:pStyle w:val="10"/>
        <w:numPr>
          <w:ilvl w:val="0"/>
          <w:numId w:val="4"/>
        </w:numPr>
        <w:tabs>
          <w:tab w:val="left" w:pos="1069"/>
        </w:tabs>
        <w:spacing w:before="0" w:line="365" w:lineRule="auto"/>
        <w:ind w:left="227" w:right="760" w:firstLine="561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7"/>
          <w:sz w:val="28"/>
        </w:rPr>
        <w:t>裁判区域。供裁判休息及工作场地。共配有电脑</w:t>
      </w:r>
      <w:r>
        <w:rPr>
          <w:rFonts w:hint="eastAsia" w:ascii="仿宋" w:hAnsi="仿宋" w:eastAsia="仿宋" w:cs="仿宋"/>
          <w:sz w:val="28"/>
        </w:rPr>
        <w:t>3</w:t>
      </w:r>
      <w:r>
        <w:rPr>
          <w:rFonts w:hint="eastAsia" w:ascii="仿宋" w:hAnsi="仿宋" w:eastAsia="仿宋" w:cs="仿宋"/>
          <w:spacing w:val="-24"/>
          <w:sz w:val="28"/>
        </w:rPr>
        <w:t>台；</w:t>
      </w:r>
      <w:r>
        <w:rPr>
          <w:rFonts w:hint="eastAsia" w:ascii="仿宋" w:hAnsi="仿宋" w:eastAsia="仿宋" w:cs="仿宋"/>
          <w:spacing w:val="-3"/>
          <w:sz w:val="28"/>
        </w:rPr>
        <w:t>A4</w:t>
      </w:r>
      <w:r>
        <w:rPr>
          <w:rFonts w:hint="eastAsia" w:ascii="仿宋" w:hAnsi="仿宋" w:eastAsia="仿宋" w:cs="仿宋"/>
          <w:spacing w:val="-17"/>
          <w:sz w:val="28"/>
        </w:rPr>
        <w:t>激光打</w:t>
      </w:r>
      <w:r>
        <w:rPr>
          <w:rFonts w:hint="eastAsia" w:ascii="仿宋" w:hAnsi="仿宋" w:eastAsia="仿宋" w:cs="仿宋"/>
          <w:spacing w:val="-35"/>
          <w:sz w:val="28"/>
        </w:rPr>
        <w:t>印机</w:t>
      </w:r>
      <w:r>
        <w:rPr>
          <w:rFonts w:hint="eastAsia" w:ascii="仿宋" w:hAnsi="仿宋" w:eastAsia="仿宋" w:cs="仿宋"/>
          <w:sz w:val="28"/>
        </w:rPr>
        <w:t>1</w:t>
      </w:r>
      <w:r>
        <w:rPr>
          <w:rFonts w:hint="eastAsia" w:ascii="仿宋" w:hAnsi="仿宋" w:eastAsia="仿宋" w:cs="仿宋"/>
          <w:spacing w:val="-25"/>
          <w:sz w:val="28"/>
        </w:rPr>
        <w:t>台；桌椅</w:t>
      </w:r>
      <w:r>
        <w:rPr>
          <w:rFonts w:hint="eastAsia" w:ascii="仿宋" w:hAnsi="仿宋" w:eastAsia="仿宋" w:cs="仿宋"/>
          <w:sz w:val="28"/>
        </w:rPr>
        <w:t>5</w:t>
      </w:r>
      <w:r>
        <w:rPr>
          <w:rFonts w:hint="eastAsia" w:ascii="仿宋" w:hAnsi="仿宋" w:eastAsia="仿宋" w:cs="仿宋"/>
          <w:spacing w:val="-10"/>
          <w:sz w:val="28"/>
        </w:rPr>
        <w:t>套；饮水机、纸杯、文具用品若干。</w:t>
      </w:r>
    </w:p>
    <w:p>
      <w:pPr>
        <w:pStyle w:val="10"/>
        <w:numPr>
          <w:ilvl w:val="0"/>
          <w:numId w:val="4"/>
        </w:numPr>
        <w:tabs>
          <w:tab w:val="left" w:pos="1069"/>
        </w:tabs>
        <w:spacing w:before="0" w:line="364" w:lineRule="auto"/>
        <w:ind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技术支持区。为技术支持人员的工作场地，为参赛选手竞赛提供</w:t>
      </w:r>
      <w:r>
        <w:rPr>
          <w:rFonts w:hint="eastAsia" w:ascii="仿宋" w:hAnsi="仿宋" w:eastAsia="仿宋" w:cs="仿宋"/>
          <w:spacing w:val="-1"/>
          <w:sz w:val="28"/>
        </w:rPr>
        <w:t>技术支持。</w:t>
      </w:r>
    </w:p>
    <w:p>
      <w:pPr>
        <w:pStyle w:val="10"/>
        <w:numPr>
          <w:ilvl w:val="0"/>
          <w:numId w:val="4"/>
        </w:numPr>
        <w:tabs>
          <w:tab w:val="left" w:pos="1206"/>
        </w:tabs>
        <w:spacing w:before="0" w:line="358" w:lineRule="exact"/>
        <w:ind w:left="1206" w:hanging="420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服务区。提供医疗等服务保障，并用隔离带隔离。</w:t>
      </w: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（二）赛场选手安全防护要求</w:t>
      </w:r>
    </w:p>
    <w:p>
      <w:pPr>
        <w:pStyle w:val="10"/>
        <w:numPr>
          <w:ilvl w:val="0"/>
          <w:numId w:val="5"/>
        </w:numPr>
        <w:tabs>
          <w:tab w:val="left" w:pos="1069"/>
        </w:tabs>
        <w:spacing w:before="12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参赛选手应严格遵守设备安全操作规程。</w:t>
      </w:r>
    </w:p>
    <w:p>
      <w:pPr>
        <w:pStyle w:val="10"/>
        <w:numPr>
          <w:ilvl w:val="0"/>
          <w:numId w:val="5"/>
        </w:numPr>
        <w:tabs>
          <w:tab w:val="left" w:pos="1069"/>
        </w:tabs>
        <w:spacing w:before="184" w:line="364" w:lineRule="auto"/>
        <w:ind w:left="226" w:right="819" w:firstLine="55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参赛选手停止操作时，应保证设备的正常运行，比赛结束后，所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有设备保持运行状态，不要拆、动硬件连接，确保设备正常运行，实现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正常评分。</w:t>
      </w:r>
    </w:p>
    <w:p>
      <w:pPr>
        <w:pStyle w:val="10"/>
        <w:numPr>
          <w:ilvl w:val="0"/>
          <w:numId w:val="5"/>
        </w:numPr>
        <w:tabs>
          <w:tab w:val="left" w:pos="1069"/>
        </w:tabs>
        <w:spacing w:before="0" w:line="364" w:lineRule="auto"/>
        <w:ind w:left="226" w:right="765" w:firstLine="55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7"/>
          <w:sz w:val="28"/>
          <w:szCs w:val="28"/>
        </w:rPr>
        <w:t>参赛选手应遵从安全规范操作，例如：</w:t>
      </w:r>
      <w:r>
        <w:rPr>
          <w:rFonts w:hint="eastAsia" w:ascii="仿宋" w:hAnsi="仿宋" w:eastAsia="仿宋" w:cs="仿宋"/>
          <w:spacing w:val="-10"/>
          <w:sz w:val="28"/>
          <w:szCs w:val="28"/>
        </w:rPr>
        <w:t>ESD(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静电放电)设备安全使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用及储存。</w:t>
      </w:r>
    </w:p>
    <w:p>
      <w:pPr>
        <w:pStyle w:val="10"/>
        <w:numPr>
          <w:ilvl w:val="0"/>
          <w:numId w:val="5"/>
        </w:numPr>
        <w:tabs>
          <w:tab w:val="left" w:pos="1069"/>
        </w:tabs>
        <w:spacing w:before="0" w:line="364" w:lineRule="auto"/>
        <w:ind w:left="226" w:right="765" w:firstLine="55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7"/>
          <w:sz w:val="28"/>
          <w:szCs w:val="28"/>
        </w:rPr>
        <w:t>赛选手应保证设备和信息的完整及安全。</w:t>
      </w: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（三）赛事安全要求</w:t>
      </w:r>
    </w:p>
    <w:p>
      <w:pPr>
        <w:pStyle w:val="10"/>
        <w:numPr>
          <w:ilvl w:val="0"/>
          <w:numId w:val="6"/>
        </w:numPr>
        <w:tabs>
          <w:tab w:val="left" w:pos="1069"/>
        </w:tabs>
        <w:spacing w:before="122" w:line="364" w:lineRule="auto"/>
        <w:ind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禁止选手及所有参加赛事的人员，携带任何有毒有害物品进入竞</w:t>
      </w:r>
      <w:r>
        <w:rPr>
          <w:rFonts w:hint="eastAsia" w:ascii="仿宋" w:hAnsi="仿宋" w:eastAsia="仿宋" w:cs="仿宋"/>
          <w:sz w:val="28"/>
        </w:rPr>
        <w:t>赛现场。</w:t>
      </w:r>
    </w:p>
    <w:p>
      <w:pPr>
        <w:pStyle w:val="10"/>
        <w:numPr>
          <w:ilvl w:val="0"/>
          <w:numId w:val="6"/>
        </w:numPr>
        <w:tabs>
          <w:tab w:val="left" w:pos="1069"/>
        </w:tabs>
        <w:spacing w:before="0" w:line="364" w:lineRule="auto"/>
        <w:ind w:right="819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承办单位应设置专门的安全防卫组，负责竞赛期间健康和安全事</w:t>
      </w:r>
      <w:r>
        <w:rPr>
          <w:rFonts w:hint="eastAsia" w:ascii="仿宋" w:hAnsi="仿宋" w:eastAsia="仿宋" w:cs="仿宋"/>
          <w:spacing w:val="-4"/>
          <w:sz w:val="28"/>
        </w:rPr>
        <w:t>务。主要包括检查竞赛场地、与会人员居住地、车辆交通及其周围环境的安全防卫；制定紧急应对方案；监督与会人员食品安全与卫生；分析</w:t>
      </w:r>
      <w:r>
        <w:rPr>
          <w:rFonts w:hint="eastAsia" w:ascii="仿宋" w:hAnsi="仿宋" w:eastAsia="仿宋" w:cs="仿宋"/>
          <w:spacing w:val="-3"/>
          <w:sz w:val="28"/>
        </w:rPr>
        <w:t>和处理安全突发事件等工作。</w:t>
      </w:r>
    </w:p>
    <w:p>
      <w:pPr>
        <w:pStyle w:val="10"/>
        <w:numPr>
          <w:ilvl w:val="0"/>
          <w:numId w:val="6"/>
        </w:numPr>
        <w:tabs>
          <w:tab w:val="left" w:pos="1069"/>
        </w:tabs>
        <w:spacing w:before="0" w:line="357" w:lineRule="exact"/>
        <w:ind w:left="1069"/>
        <w:rPr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赛场须配备相应医疗人员和急救人员，并备有相应急救设施。</w:t>
      </w: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（四）赛事开放要求</w:t>
      </w:r>
    </w:p>
    <w:p>
      <w:pPr>
        <w:pStyle w:val="10"/>
        <w:numPr>
          <w:ilvl w:val="0"/>
          <w:numId w:val="7"/>
        </w:numPr>
        <w:tabs>
          <w:tab w:val="left" w:pos="1069"/>
        </w:tabs>
        <w:spacing w:before="122" w:line="364" w:lineRule="auto"/>
        <w:ind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赛场内除指定的裁判、工作人员外，其他与会人员须经组委会同</w:t>
      </w:r>
      <w:r>
        <w:rPr>
          <w:rFonts w:hint="eastAsia" w:ascii="仿宋" w:hAnsi="仿宋" w:eastAsia="仿宋" w:cs="仿宋"/>
          <w:spacing w:val="-3"/>
          <w:sz w:val="28"/>
        </w:rPr>
        <w:t>意或在组委会负责人陪同下，佩带相应的标志方可进入赛场内。</w:t>
      </w:r>
    </w:p>
    <w:p>
      <w:pPr>
        <w:pStyle w:val="10"/>
        <w:numPr>
          <w:ilvl w:val="0"/>
          <w:numId w:val="7"/>
        </w:numPr>
        <w:tabs>
          <w:tab w:val="left" w:pos="1069"/>
        </w:tabs>
        <w:spacing w:before="0" w:line="364" w:lineRule="auto"/>
        <w:ind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允许进入赛场的人员，只可在安全区内观摩竞赛，不得使用录像</w:t>
      </w:r>
      <w:r>
        <w:rPr>
          <w:rFonts w:hint="eastAsia" w:ascii="仿宋" w:hAnsi="仿宋" w:eastAsia="仿宋" w:cs="仿宋"/>
          <w:spacing w:val="-3"/>
          <w:sz w:val="28"/>
        </w:rPr>
        <w:t>设备长时间拍摄选手工位、屏幕。</w:t>
      </w:r>
    </w:p>
    <w:p>
      <w:pPr>
        <w:pStyle w:val="10"/>
        <w:numPr>
          <w:ilvl w:val="0"/>
          <w:numId w:val="7"/>
        </w:numPr>
        <w:tabs>
          <w:tab w:val="left" w:pos="1069"/>
        </w:tabs>
        <w:spacing w:before="0" w:line="364" w:lineRule="auto"/>
        <w:ind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允许进入赛场的人员，应遵守赛场规则，不得与选手交谈，不得</w:t>
      </w:r>
      <w:r>
        <w:rPr>
          <w:rFonts w:hint="eastAsia" w:ascii="仿宋" w:hAnsi="仿宋" w:eastAsia="仿宋" w:cs="仿宋"/>
          <w:spacing w:val="-3"/>
          <w:sz w:val="28"/>
        </w:rPr>
        <w:t>妨碍、干扰选手竞赛。</w:t>
      </w:r>
    </w:p>
    <w:p>
      <w:pPr>
        <w:pStyle w:val="10"/>
        <w:numPr>
          <w:ilvl w:val="0"/>
          <w:numId w:val="7"/>
        </w:numPr>
        <w:tabs>
          <w:tab w:val="left" w:pos="1069"/>
        </w:tabs>
        <w:spacing w:before="0" w:line="358" w:lineRule="exact"/>
        <w:ind w:left="106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允许进入赛场的人员，不得在场内吸烟、喧哗。</w:t>
      </w:r>
    </w:p>
    <w:p>
      <w:pPr>
        <w:pStyle w:val="3"/>
        <w:spacing w:before="184" w:line="364" w:lineRule="auto"/>
        <w:ind w:left="226" w:right="625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11"/>
        </w:rPr>
        <w:t>上述相关人员不得妨碍、干扰选手竞赛，不得有任何影响竞赛公平、</w:t>
      </w:r>
      <w:r>
        <w:rPr>
          <w:rFonts w:hint="eastAsia" w:ascii="仿宋" w:hAnsi="仿宋" w:eastAsia="仿宋" w:cs="仿宋"/>
          <w:spacing w:val="-1"/>
        </w:rPr>
        <w:t>公正的行为。</w:t>
      </w: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（五）赛事绿色环保要求</w:t>
      </w:r>
    </w:p>
    <w:p>
      <w:pPr>
        <w:pStyle w:val="10"/>
        <w:numPr>
          <w:ilvl w:val="0"/>
          <w:numId w:val="8"/>
        </w:numPr>
        <w:tabs>
          <w:tab w:val="left" w:pos="1069"/>
        </w:tabs>
        <w:spacing w:before="123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赛场严格遵守我国环境保护法。</w:t>
      </w:r>
    </w:p>
    <w:p>
      <w:pPr>
        <w:pStyle w:val="10"/>
        <w:numPr>
          <w:ilvl w:val="0"/>
          <w:numId w:val="8"/>
        </w:numPr>
        <w:tabs>
          <w:tab w:val="left" w:pos="1069"/>
        </w:tabs>
        <w:spacing w:before="183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赛场所有废弃物应有效分类并处理，尽可能地回收利用。</w:t>
      </w:r>
    </w:p>
    <w:p>
      <w:pPr>
        <w:pStyle w:val="10"/>
        <w:numPr>
          <w:ilvl w:val="0"/>
          <w:numId w:val="8"/>
        </w:numPr>
        <w:tabs>
          <w:tab w:val="left" w:pos="1069"/>
        </w:tabs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赛场设置排烟除尘系统，尽可能地减少和控制烟尘。</w:t>
      </w:r>
    </w:p>
    <w:p>
      <w:pPr>
        <w:tabs>
          <w:tab w:val="left" w:pos="1069"/>
        </w:tabs>
        <w:rPr>
          <w:rFonts w:ascii="仿宋" w:hAnsi="仿宋" w:eastAsia="仿宋" w:cs="仿宋"/>
          <w:sz w:val="28"/>
        </w:rPr>
      </w:pPr>
    </w:p>
    <w:p>
      <w:pPr>
        <w:autoSpaceDE/>
        <w:autoSpaceDN/>
        <w:adjustRightInd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bidi="ar-SA"/>
        </w:rPr>
        <w:t>九、技术规范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参赛代表队在实施竞赛项目中要求遵循如下规范。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[1]GB/T18018-2019信息安全技术路由器安全技术要求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[2]GB50174-2017电子信息系统机房设计规范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[3]YD/T1764-2008IP网络管理层功能要求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[4]GB/T21050-2007信息安全技术网络交换机安全技术要求（评估保证级3）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[5]GB21671-2018基于以太网技术的局域网系统验收测评规范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[6]GB50348-2018安全防范工程技术标准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[7]GB/T18729-2011基于网络的企业信息集成规范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[8]GB/T22239-2018息系统安全等级保护基本要求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[9]GB50174-2017数据中心设计规范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[10]GB/T36463.1-2018信息技术服务咨询设计第1部分：通用要求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[11]GB/T36463.2-2019信息技术服务咨询设计第2部分：规划设计指南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[12]GB/T28827.1-2012信息技术服务运行维护第1部分：通用要求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[13]GB/T28827.2-2012信息技术服务运行维护第2部分：交付规范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[14]GB/T28827.3-2012信息技术服务运行维护第3部分：应急相应规范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[15]GB/T28827.4-2019信息技术服务运行维护第4部分：数据中心服务要求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[16]GB/T28827.6-2019信息技术服务运行维护第6部分：应用系统服务要求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[17]GB/T29264-2012信息技术服务分类与代码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[18]GB/T20272-2019信息安全技术操作系统安全技术要求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[19]YD/T1170-2001IP网络技术要求网络总体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  <w:r>
        <w:rPr>
          <w:rFonts w:ascii="仿宋" w:hAnsi="仿宋" w:eastAsia="仿宋" w:cs="仿宋"/>
          <w:spacing w:val="-3"/>
          <w:sz w:val="28"/>
        </w:rPr>
        <w:t>[20]YD/T1381-2005IP网络技术要求网络性能测量方法</w:t>
      </w:r>
    </w:p>
    <w:p>
      <w:pPr>
        <w:pStyle w:val="10"/>
        <w:tabs>
          <w:tab w:val="left" w:pos="1069"/>
        </w:tabs>
        <w:ind w:left="786" w:firstLine="0"/>
        <w:rPr>
          <w:rFonts w:ascii="仿宋" w:hAnsi="仿宋" w:eastAsia="仿宋" w:cs="仿宋"/>
          <w:spacing w:val="-3"/>
          <w:sz w:val="28"/>
        </w:rPr>
      </w:pPr>
    </w:p>
    <w:p>
      <w:pPr>
        <w:pStyle w:val="2"/>
        <w:spacing w:before="46"/>
        <w:ind w:left="0" w:leftChars="0" w:right="7240" w:firstLine="0" w:firstLineChars="0"/>
        <w:jc w:val="both"/>
        <w:rPr>
          <w:rFonts w:ascii="黑体" w:hAnsi="黑体" w:eastAsia="黑体" w:cs="黑体"/>
        </w:rPr>
      </w:pPr>
    </w:p>
    <w:p>
      <w:pPr>
        <w:autoSpaceDE/>
        <w:autoSpaceDN/>
        <w:adjustRightInd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bidi="ar-SA"/>
        </w:rPr>
        <w:t>十、技术平台</w:t>
      </w: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（一）承办方提供的设备清单</w:t>
      </w:r>
    </w:p>
    <w:p>
      <w:pPr>
        <w:pStyle w:val="3"/>
        <w:spacing w:before="187"/>
        <w:ind w:left="589" w:firstLine="0"/>
        <w:rPr>
          <w:rFonts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/>
        </w:rPr>
        <w:t>1.PC</w:t>
      </w:r>
    </w:p>
    <w:tbl>
      <w:tblPr>
        <w:tblStyle w:val="7"/>
        <w:tblpPr w:leftFromText="180" w:rightFromText="180" w:vertAnchor="text" w:horzAnchor="page" w:tblpX="1996" w:tblpY="30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1449"/>
        <w:gridCol w:w="4262"/>
        <w:gridCol w:w="815"/>
        <w:gridCol w:w="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922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1449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设备名称</w:t>
            </w:r>
          </w:p>
        </w:tc>
        <w:tc>
          <w:tcPr>
            <w:tcW w:w="4262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型号</w:t>
            </w:r>
          </w:p>
        </w:tc>
        <w:tc>
          <w:tcPr>
            <w:tcW w:w="815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单位</w:t>
            </w:r>
          </w:p>
        </w:tc>
        <w:tc>
          <w:tcPr>
            <w:tcW w:w="821" w:type="dxa"/>
            <w:vAlign w:val="center"/>
          </w:tcPr>
          <w:p>
            <w:pPr>
              <w:pStyle w:val="11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1" w:hRule="atLeast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PC</w:t>
            </w:r>
          </w:p>
        </w:tc>
        <w:tc>
          <w:tcPr>
            <w:tcW w:w="4262" w:type="dxa"/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ascii="Times New Roman" w:hAnsi="Times New Roman" w:eastAsia="仿宋_GB2312" w:cs="Times New Roman"/>
                <w:sz w:val="24"/>
                <w:lang w:val="en-US"/>
              </w:rPr>
              <w:t>CPU：Inteli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7-10代</w:t>
            </w:r>
            <w:r>
              <w:rPr>
                <w:rFonts w:ascii="Times New Roman" w:hAnsi="Times New Roman" w:eastAsia="仿宋_GB2312" w:cs="Times New Roman"/>
                <w:sz w:val="24"/>
              </w:rPr>
              <w:t>及以上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；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内存：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16</w:t>
            </w:r>
            <w:r>
              <w:rPr>
                <w:rFonts w:ascii="Times New Roman" w:hAnsi="Times New Roman" w:eastAsia="仿宋_GB2312" w:cs="Times New Roman"/>
                <w:sz w:val="24"/>
              </w:rPr>
              <w:t>G及以上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；</w:t>
            </w:r>
          </w:p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硬盘：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512</w:t>
            </w:r>
            <w:r>
              <w:rPr>
                <w:rFonts w:ascii="Times New Roman" w:hAnsi="Times New Roman" w:eastAsia="仿宋_GB2312" w:cs="Times New Roman"/>
                <w:sz w:val="24"/>
              </w:rPr>
              <w:t>G的固态硬盘及以上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；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台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3" w:hRule="atLeast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显示器</w:t>
            </w:r>
          </w:p>
        </w:tc>
        <w:tc>
          <w:tcPr>
            <w:tcW w:w="4262" w:type="dxa"/>
            <w:vAlign w:val="center"/>
          </w:tcPr>
          <w:p>
            <w:pPr>
              <w:ind w:left="147" w:leftChars="6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5</w:t>
            </w:r>
            <w:r>
              <w:rPr>
                <w:rFonts w:ascii="Times New Roman" w:hAnsi="Times New Roman" w:eastAsia="仿宋_GB2312" w:cs="Times New Roman"/>
                <w:sz w:val="24"/>
              </w:rPr>
              <w:t>英寸及以上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台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</w:tr>
    </w:tbl>
    <w:p>
      <w:pPr>
        <w:pStyle w:val="3"/>
        <w:ind w:left="0" w:firstLine="0"/>
        <w:rPr>
          <w:rFonts w:ascii="仿宋" w:hAnsi="仿宋" w:eastAsia="仿宋" w:cs="仿宋"/>
          <w:sz w:val="24"/>
          <w:szCs w:val="24"/>
        </w:rPr>
      </w:pPr>
    </w:p>
    <w:p>
      <w:pPr>
        <w:pStyle w:val="3"/>
        <w:spacing w:before="187"/>
        <w:ind w:left="870" w:firstLine="0"/>
        <w:rPr>
          <w:rFonts w:ascii="仿宋" w:hAnsi="仿宋" w:eastAsia="仿宋" w:cs="仿宋"/>
          <w:lang w:val="en-US"/>
        </w:rPr>
      </w:pPr>
    </w:p>
    <w:p>
      <w:pPr>
        <w:pStyle w:val="3"/>
        <w:spacing w:before="187"/>
        <w:ind w:left="870" w:firstLine="0"/>
        <w:rPr>
          <w:rFonts w:ascii="仿宋" w:hAnsi="仿宋" w:eastAsia="仿宋" w:cs="仿宋"/>
          <w:lang w:val="en-US"/>
        </w:rPr>
      </w:pPr>
    </w:p>
    <w:p>
      <w:pPr>
        <w:pStyle w:val="3"/>
        <w:spacing w:before="187"/>
        <w:ind w:left="0" w:firstLine="0"/>
        <w:rPr>
          <w:rFonts w:ascii="仿宋" w:hAnsi="仿宋" w:eastAsia="仿宋" w:cs="仿宋"/>
          <w:lang w:val="en-US"/>
        </w:rPr>
      </w:pPr>
    </w:p>
    <w:p>
      <w:pPr>
        <w:pStyle w:val="3"/>
        <w:spacing w:before="187"/>
        <w:ind w:left="589" w:firstLine="0"/>
        <w:rPr>
          <w:rFonts w:ascii="仿宋" w:hAnsi="仿宋" w:eastAsia="仿宋" w:cs="仿宋"/>
          <w:lang w:val="en-US"/>
        </w:rPr>
      </w:pPr>
    </w:p>
    <w:p>
      <w:pPr>
        <w:pStyle w:val="3"/>
        <w:spacing w:before="187"/>
        <w:ind w:left="589" w:firstLine="0"/>
        <w:rPr>
          <w:rFonts w:ascii="仿宋" w:hAnsi="仿宋" w:eastAsia="仿宋" w:cs="仿宋"/>
          <w:lang w:val="en-US"/>
        </w:rPr>
      </w:pPr>
    </w:p>
    <w:p>
      <w:pPr>
        <w:pStyle w:val="3"/>
        <w:spacing w:before="187"/>
        <w:ind w:left="589" w:firstLine="0"/>
        <w:rPr>
          <w:rFonts w:ascii="仿宋" w:hAnsi="仿宋" w:eastAsia="仿宋" w:cs="仿宋"/>
          <w:lang w:val="en-US"/>
        </w:rPr>
      </w:pPr>
    </w:p>
    <w:p>
      <w:pPr>
        <w:pStyle w:val="3"/>
        <w:spacing w:before="187"/>
        <w:ind w:left="589" w:firstLine="0"/>
        <w:rPr>
          <w:rFonts w:ascii="仿宋" w:hAnsi="仿宋" w:eastAsia="仿宋" w:cs="仿宋"/>
          <w:lang w:val="en-US"/>
        </w:rPr>
      </w:pPr>
    </w:p>
    <w:p>
      <w:pPr>
        <w:pStyle w:val="3"/>
        <w:spacing w:before="187"/>
        <w:ind w:left="589" w:firstLine="0"/>
        <w:rPr>
          <w:rFonts w:ascii="仿宋" w:hAnsi="仿宋" w:eastAsia="仿宋" w:cs="仿宋"/>
          <w:lang w:val="en-US"/>
        </w:rPr>
      </w:pPr>
    </w:p>
    <w:p>
      <w:pPr>
        <w:pStyle w:val="3"/>
        <w:spacing w:before="187"/>
        <w:ind w:left="589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lang w:val="en-US"/>
        </w:rPr>
        <w:t>2.</w:t>
      </w:r>
      <w:r>
        <w:rPr>
          <w:rFonts w:hint="eastAsia" w:ascii="仿宋" w:hAnsi="仿宋" w:eastAsia="仿宋" w:cs="仿宋"/>
        </w:rPr>
        <w:t>网络设备</w:t>
      </w:r>
    </w:p>
    <w:p>
      <w:pPr>
        <w:pStyle w:val="3"/>
        <w:spacing w:before="187"/>
        <w:ind w:left="589" w:firstLine="0"/>
        <w:rPr>
          <w:rFonts w:ascii="仿宋" w:hAnsi="仿宋" w:eastAsia="仿宋" w:cs="仿宋"/>
        </w:rPr>
      </w:pPr>
    </w:p>
    <w:tbl>
      <w:tblPr>
        <w:tblStyle w:val="7"/>
        <w:tblW w:w="86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1340"/>
        <w:gridCol w:w="2119"/>
        <w:gridCol w:w="709"/>
        <w:gridCol w:w="709"/>
        <w:gridCol w:w="28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设备名称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型号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单位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数量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厂商型号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路由器（1）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多功能路由器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RSR20-X-28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9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13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交换机（1）</w:t>
            </w:r>
          </w:p>
        </w:tc>
        <w:tc>
          <w:tcPr>
            <w:tcW w:w="2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数据中心交换机（带电源）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台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RG-S5760C-48GT4XS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-X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9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RG-PA150IB-F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9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13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交换机（2）</w:t>
            </w:r>
          </w:p>
        </w:tc>
        <w:tc>
          <w:tcPr>
            <w:tcW w:w="2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三层可控交换机（带电源）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台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RG-S5310-24GT4XS/RG-S5310-24GT4XS-E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9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</w:p>
        </w:tc>
        <w:tc>
          <w:tcPr>
            <w:tcW w:w="1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</w:p>
        </w:tc>
        <w:tc>
          <w:tcPr>
            <w:tcW w:w="2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RG-PA70I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交换机（3）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二层可控交换机（带电源）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RG-S2910-24GT4XS/RG-S5300-24GT4XS-E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5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网关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安全设备（含防火墙功能）（带电源）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RG-EG3210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V2/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RG-EG3210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6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无线控制器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无线控制器（带电源）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RG-WS6008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9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7</w:t>
            </w:r>
          </w:p>
        </w:tc>
        <w:tc>
          <w:tcPr>
            <w:tcW w:w="13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无线接入设备</w:t>
            </w:r>
          </w:p>
        </w:tc>
        <w:tc>
          <w:tcPr>
            <w:tcW w:w="2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胖、瘦一体AP（带电源）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台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RG-AP850/RG-AP520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9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RG-E-130/RG-E-120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9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8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配件（1）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万兆模块及配对线缆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块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XG-SFP-AOC1M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9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配件（2）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配置线缆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条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配置线缆</w:t>
            </w:r>
          </w:p>
        </w:tc>
      </w:tr>
    </w:tbl>
    <w:p>
      <w:pPr>
        <w:pStyle w:val="3"/>
        <w:spacing w:before="187"/>
        <w:ind w:left="589" w:firstLine="0"/>
        <w:rPr>
          <w:rFonts w:ascii="仿宋" w:hAnsi="仿宋" w:eastAsia="仿宋" w:cs="仿宋"/>
        </w:rPr>
      </w:pPr>
    </w:p>
    <w:p>
      <w:pPr>
        <w:pStyle w:val="3"/>
        <w:spacing w:before="187"/>
        <w:ind w:left="589" w:firstLine="0"/>
        <w:rPr>
          <w:rFonts w:ascii="仿宋" w:hAnsi="仿宋" w:eastAsia="仿宋" w:cs="仿宋"/>
        </w:rPr>
      </w:pP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（二）承办方提供的材料及软件</w:t>
      </w:r>
    </w:p>
    <w:p>
      <w:pPr>
        <w:pStyle w:val="3"/>
        <w:spacing w:before="9"/>
        <w:rPr>
          <w:b/>
          <w:sz w:val="12"/>
        </w:rPr>
      </w:pPr>
    </w:p>
    <w:tbl>
      <w:tblPr>
        <w:tblStyle w:val="7"/>
        <w:tblW w:w="5057" w:type="pct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6"/>
        <w:gridCol w:w="2161"/>
        <w:gridCol w:w="5116"/>
        <w:gridCol w:w="828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软件名称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说明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单位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WindowsServer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ascii="Times New Roman" w:hAnsi="Times New Roman" w:eastAsia="仿宋_GB2312" w:cs="Times New Roman"/>
                <w:sz w:val="24"/>
                <w:lang w:val="en-US"/>
              </w:rPr>
              <w:t>WindowsServer2022DataCenter</w:t>
            </w:r>
            <w:r>
              <w:rPr>
                <w:rFonts w:ascii="Times New Roman" w:hAnsi="Times New Roman" w:eastAsia="仿宋_GB2312" w:cs="Times New Roman"/>
                <w:sz w:val="24"/>
              </w:rPr>
              <w:t>中文版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Windows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Windows10Enterprise中文版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CentOSLinux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Version7及以上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国产操作系统UOS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Uniontechos-server-20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5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虚拟化云平台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ascii="Times New Roman" w:hAnsi="Times New Roman" w:eastAsia="仿宋_GB2312" w:cs="Times New Roman"/>
                <w:sz w:val="24"/>
                <w:lang w:val="en-US"/>
              </w:rPr>
              <w:t>VMwareWorkstationPro17</w:t>
            </w:r>
            <w:r>
              <w:rPr>
                <w:rFonts w:ascii="Times New Roman" w:hAnsi="Times New Roman" w:eastAsia="仿宋_GB2312" w:cs="Times New Roman"/>
                <w:sz w:val="24"/>
              </w:rPr>
              <w:t>及以上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6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VPNClient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OPENVPN2.4及以上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7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Zabbix-Agent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Zabbix-Agent3.4及以上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8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Office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ascii="Times New Roman" w:hAnsi="Times New Roman" w:eastAsia="仿宋_GB2312" w:cs="Times New Roman"/>
                <w:sz w:val="24"/>
                <w:lang w:val="en-US"/>
              </w:rPr>
              <w:t>WPSOfficeVersion2022</w:t>
            </w:r>
            <w:r>
              <w:rPr>
                <w:rFonts w:ascii="Times New Roman" w:hAnsi="Times New Roman" w:eastAsia="仿宋_GB2312" w:cs="Times New Roman"/>
                <w:sz w:val="24"/>
              </w:rPr>
              <w:t>及以上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9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Putty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Version0.7及以上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10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Folder2iso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Version3.1及以上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11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Tftpd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Version4.6及以上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12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无线地勘系统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无线地勘系统（支持输出无线热图）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13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解压缩软件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RAR4.0及以上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14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PDF阅读器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ascii="Times New Roman" w:hAnsi="Times New Roman" w:eastAsia="仿宋_GB2312" w:cs="Times New Roman"/>
                <w:sz w:val="24"/>
                <w:lang w:val="en-US"/>
              </w:rPr>
              <w:t>AdobeReaderX11</w:t>
            </w:r>
            <w:r>
              <w:rPr>
                <w:rFonts w:ascii="Times New Roman" w:hAnsi="Times New Roman" w:eastAsia="仿宋_GB2312" w:cs="Times New Roman"/>
                <w:sz w:val="24"/>
              </w:rPr>
              <w:t>及以上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15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网络调试工具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SercureCRT8.1及以上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16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截图工具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FScapture6.5以上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17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FTP客户端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FlashFXP5.4以上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6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18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浏览器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Firefox85以上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19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RemoteViewer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RemoteViewer0.2以上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20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virt-viewer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virt-viewer9.0以上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/>
              </w:rPr>
              <w:t>21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绘图工具</w:t>
            </w:r>
          </w:p>
        </w:tc>
        <w:tc>
          <w:tcPr>
            <w:tcW w:w="51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Visio2013以上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套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</w:tr>
    </w:tbl>
    <w:p>
      <w:pPr>
        <w:rPr>
          <w:rFonts w:ascii="Microsoft JhengHei" w:eastAsiaTheme="minorEastAsia"/>
          <w:b/>
          <w:sz w:val="28"/>
        </w:rPr>
      </w:pPr>
      <w:bookmarkStart w:id="0" w:name="_GoBack"/>
      <w:bookmarkEnd w:id="0"/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（三）场地禁止自带设备和材料</w:t>
      </w:r>
    </w:p>
    <w:tbl>
      <w:tblPr>
        <w:tblStyle w:val="7"/>
        <w:tblpPr w:leftFromText="180" w:rightFromText="180" w:vertAnchor="text" w:horzAnchor="page" w:tblpX="1991" w:tblpY="112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72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80" w:type="dxa"/>
          </w:tcPr>
          <w:p>
            <w:pPr>
              <w:pStyle w:val="11"/>
              <w:spacing w:line="292" w:lineRule="exact"/>
              <w:ind w:left="279" w:right="270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7281" w:type="dxa"/>
          </w:tcPr>
          <w:p>
            <w:pPr>
              <w:pStyle w:val="11"/>
              <w:spacing w:line="292" w:lineRule="exact"/>
              <w:ind w:left="2779" w:right="2771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设备和材料名称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080" w:type="dxa"/>
          </w:tcPr>
          <w:p>
            <w:pPr>
              <w:pStyle w:val="11"/>
              <w:spacing w:before="158"/>
              <w:ind w:left="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7281" w:type="dxa"/>
          </w:tcPr>
          <w:p>
            <w:pPr>
              <w:pStyle w:val="11"/>
              <w:spacing w:before="2"/>
              <w:ind w:left="107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电子设备，如平板、手机、多媒体播放器、录音器，照相机，摄影</w:t>
            </w:r>
          </w:p>
          <w:p>
            <w:pPr>
              <w:pStyle w:val="11"/>
              <w:spacing w:before="4" w:line="289" w:lineRule="exact"/>
              <w:ind w:left="107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机等。</w:t>
            </w:r>
          </w:p>
        </w:tc>
      </w:tr>
    </w:tbl>
    <w:p>
      <w:pPr>
        <w:pStyle w:val="3"/>
        <w:ind w:left="0" w:firstLine="0"/>
        <w:rPr>
          <w:rFonts w:ascii="Microsoft JhengHei"/>
          <w:b/>
        </w:rPr>
      </w:pPr>
    </w:p>
    <w:p>
      <w:pPr>
        <w:pStyle w:val="3"/>
        <w:spacing w:before="2"/>
        <w:ind w:left="0" w:firstLine="0"/>
        <w:rPr>
          <w:rFonts w:ascii="Microsoft JhengHei"/>
          <w:b/>
          <w:sz w:val="26"/>
        </w:rPr>
      </w:pPr>
    </w:p>
    <w:p>
      <w:pPr>
        <w:ind w:left="783"/>
        <w:rPr>
          <w:rFonts w:ascii="Microsoft JhengHei" w:eastAsia="Microsoft JhengHei"/>
          <w:b/>
          <w:sz w:val="28"/>
        </w:rPr>
      </w:pPr>
    </w:p>
    <w:p>
      <w:pPr>
        <w:autoSpaceDE/>
        <w:autoSpaceDN/>
        <w:adjustRightInd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bidi="ar-SA"/>
        </w:rPr>
        <w:t>十一、成绩评定</w:t>
      </w: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（一）评分原则</w:t>
      </w:r>
    </w:p>
    <w:p>
      <w:pPr>
        <w:pStyle w:val="10"/>
        <w:numPr>
          <w:ilvl w:val="0"/>
          <w:numId w:val="9"/>
        </w:numPr>
        <w:tabs>
          <w:tab w:val="left" w:pos="1206"/>
        </w:tabs>
        <w:spacing w:before="122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2"/>
          <w:sz w:val="28"/>
        </w:rPr>
        <w:t>客观性结果评分原则</w:t>
      </w:r>
    </w:p>
    <w:p>
      <w:pPr>
        <w:pStyle w:val="3"/>
        <w:spacing w:before="186" w:line="364" w:lineRule="auto"/>
        <w:ind w:left="226" w:right="623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3"/>
        </w:rPr>
        <w:t>采用与行业真实项目相对接，不仅检查命令和过程配置，还需要检测功能点是否实现。客观性结果评分依据目标功能实现的</w:t>
      </w:r>
      <w:r>
        <w:rPr>
          <w:rFonts w:hint="eastAsia" w:ascii="仿宋" w:hAnsi="仿宋" w:eastAsia="仿宋" w:cs="仿宋"/>
          <w:spacing w:val="1"/>
        </w:rPr>
        <w:t>状态信</w:t>
      </w:r>
      <w:r>
        <w:rPr>
          <w:rFonts w:hint="eastAsia" w:ascii="仿宋" w:hAnsi="仿宋" w:eastAsia="仿宋" w:cs="仿宋"/>
          <w:spacing w:val="-14"/>
        </w:rPr>
        <w:t>息、</w:t>
      </w:r>
      <w:r>
        <w:rPr>
          <w:rFonts w:hint="eastAsia" w:ascii="仿宋" w:hAnsi="仿宋" w:eastAsia="仿宋" w:cs="仿宋"/>
        </w:rPr>
        <w:t>Web</w:t>
      </w:r>
      <w:r>
        <w:rPr>
          <w:rFonts w:hint="eastAsia" w:ascii="仿宋" w:hAnsi="仿宋" w:eastAsia="仿宋" w:cs="仿宋"/>
          <w:spacing w:val="-5"/>
        </w:rPr>
        <w:t>截图状态以及功能性的状态测试进行，示例分别如图</w:t>
      </w:r>
      <w:r>
        <w:rPr>
          <w:rFonts w:hint="eastAsia" w:ascii="仿宋" w:hAnsi="仿宋" w:eastAsia="仿宋" w:cs="仿宋"/>
        </w:rPr>
        <w:t>2</w:t>
      </w:r>
      <w:r>
        <w:rPr>
          <w:rFonts w:hint="eastAsia" w:ascii="仿宋" w:hAnsi="仿宋" w:eastAsia="仿宋" w:cs="仿宋"/>
          <w:spacing w:val="-9"/>
        </w:rPr>
        <w:t>、图</w:t>
      </w:r>
      <w:r>
        <w:rPr>
          <w:rFonts w:hint="eastAsia" w:ascii="仿宋" w:hAnsi="仿宋" w:eastAsia="仿宋" w:cs="仿宋"/>
        </w:rPr>
        <w:t>3、</w:t>
      </w:r>
      <w:r>
        <w:rPr>
          <w:rFonts w:hint="eastAsia" w:ascii="仿宋" w:hAnsi="仿宋" w:eastAsia="仿宋" w:cs="仿宋"/>
          <w:spacing w:val="3"/>
        </w:rPr>
        <w:t>图</w:t>
      </w:r>
      <w:r>
        <w:rPr>
          <w:rFonts w:hint="eastAsia" w:ascii="仿宋" w:hAnsi="仿宋" w:eastAsia="仿宋" w:cs="仿宋"/>
        </w:rPr>
        <w:t>4</w:t>
      </w:r>
      <w:r>
        <w:rPr>
          <w:rFonts w:hint="eastAsia" w:ascii="仿宋" w:hAnsi="仿宋" w:eastAsia="仿宋" w:cs="仿宋"/>
          <w:spacing w:val="-10"/>
        </w:rPr>
        <w:t>所示。通过对结果进行客观性评分，深入考察学生对重要功能的理</w:t>
      </w:r>
      <w:r>
        <w:rPr>
          <w:rFonts w:hint="eastAsia" w:ascii="仿宋" w:hAnsi="仿宋" w:eastAsia="仿宋" w:cs="仿宋"/>
          <w:spacing w:val="-7"/>
        </w:rPr>
        <w:t>解是否深入规避死记硬背，以此更能突显赛项过程与真实工作接轨的目的。</w:t>
      </w:r>
    </w:p>
    <w:p>
      <w:pPr>
        <w:pStyle w:val="3"/>
        <w:ind w:left="227" w:firstLine="0"/>
        <w:rPr>
          <w:sz w:val="20"/>
        </w:rPr>
      </w:pPr>
      <w:r>
        <w:rPr>
          <w:sz w:val="20"/>
          <w:lang w:val="en-US" w:bidi="ar-SA"/>
        </w:rPr>
        <w:drawing>
          <wp:inline distT="0" distB="0" distL="0" distR="0">
            <wp:extent cx="5267960" cy="1852930"/>
            <wp:effectExtent l="0" t="0" r="8890" b="4445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8263" cy="1853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3" w:after="4"/>
        <w:ind w:left="770" w:right="1311"/>
        <w:jc w:val="center"/>
        <w:rPr>
          <w:sz w:val="27"/>
        </w:rPr>
      </w:pPr>
      <w:r>
        <w:rPr>
          <w:sz w:val="27"/>
        </w:rPr>
        <w:t>图2：依据设备功能实现的状态信息</w:t>
      </w:r>
    </w:p>
    <w:p>
      <w:pPr>
        <w:pStyle w:val="3"/>
        <w:ind w:left="596" w:firstLine="0"/>
        <w:rPr>
          <w:sz w:val="20"/>
        </w:rPr>
      </w:pPr>
      <w:r>
        <w:rPr>
          <w:sz w:val="20"/>
          <w:lang w:val="en-US" w:bidi="ar-SA"/>
        </w:rPr>
        <w:drawing>
          <wp:inline distT="0" distB="0" distL="0" distR="0">
            <wp:extent cx="5041265" cy="241935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1434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3" w:after="2"/>
        <w:ind w:left="770" w:right="1308" w:firstLine="1080" w:firstLineChars="400"/>
        <w:rPr>
          <w:sz w:val="27"/>
        </w:rPr>
      </w:pPr>
      <w:r>
        <w:rPr>
          <w:sz w:val="27"/>
        </w:rPr>
        <w:t>图3：依据设备功能实现的Web截图状态</w:t>
      </w:r>
      <w:r>
        <w:rPr>
          <w:sz w:val="20"/>
          <w:lang w:val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670560</wp:posOffset>
            </wp:positionH>
            <wp:positionV relativeFrom="paragraph">
              <wp:posOffset>155575</wp:posOffset>
            </wp:positionV>
            <wp:extent cx="4311650" cy="2371725"/>
            <wp:effectExtent l="0" t="0" r="1270" b="5715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1881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7"/>
        </w:rPr>
        <w:t xml:space="preserve"> </w:t>
      </w:r>
      <w:r>
        <w:rPr>
          <w:sz w:val="27"/>
        </w:rPr>
        <w:t xml:space="preserve">      </w:t>
      </w:r>
    </w:p>
    <w:p>
      <w:pPr>
        <w:pStyle w:val="10"/>
        <w:numPr>
          <w:ilvl w:val="0"/>
          <w:numId w:val="9"/>
        </w:numPr>
        <w:tabs>
          <w:tab w:val="left" w:pos="1206"/>
        </w:tabs>
        <w:spacing w:before="122"/>
        <w:rPr>
          <w:rFonts w:ascii="仿宋" w:hAnsi="仿宋" w:eastAsia="仿宋" w:cs="仿宋"/>
          <w:spacing w:val="-2"/>
          <w:sz w:val="28"/>
        </w:rPr>
      </w:pPr>
      <w:r>
        <w:rPr>
          <w:rFonts w:hint="eastAsia" w:ascii="仿宋" w:hAnsi="仿宋" w:eastAsia="仿宋" w:cs="仿宋"/>
          <w:spacing w:val="-2"/>
          <w:sz w:val="28"/>
        </w:rPr>
        <w:t>答题卡样例</w:t>
      </w:r>
    </w:p>
    <w:p>
      <w:pPr>
        <w:pStyle w:val="3"/>
        <w:spacing w:before="8"/>
        <w:ind w:left="0" w:firstLine="0"/>
        <w:rPr>
          <w:sz w:val="11"/>
        </w:rPr>
      </w:pPr>
    </w:p>
    <w:p>
      <w:pPr>
        <w:pStyle w:val="3"/>
        <w:spacing w:before="62" w:line="364" w:lineRule="auto"/>
        <w:ind w:left="226" w:right="1098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答题卡样例按照选手对应题目功能配置的实现过程的截图进行评分，具体评分样表如下。</w:t>
      </w:r>
    </w:p>
    <w:p>
      <w:pPr>
        <w:spacing w:after="3" w:line="346" w:lineRule="exact"/>
        <w:ind w:left="766"/>
        <w:rPr>
          <w:rFonts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/>
        </w:rPr>
        <w:t>ServerA</w:t>
      </w:r>
      <w:r>
        <w:rPr>
          <w:rFonts w:hint="eastAsia" w:ascii="仿宋" w:hAnsi="仿宋" w:eastAsia="仿宋" w:cs="仿宋"/>
          <w:sz w:val="28"/>
          <w:szCs w:val="28"/>
        </w:rPr>
        <w:t>的配置要求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（26</w:t>
      </w:r>
      <w:r>
        <w:rPr>
          <w:rFonts w:hint="eastAsia" w:ascii="仿宋" w:hAnsi="仿宋" w:eastAsia="仿宋" w:cs="仿宋"/>
          <w:sz w:val="28"/>
          <w:szCs w:val="28"/>
        </w:rPr>
        <w:t>分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）</w:t>
      </w:r>
    </w:p>
    <w:tbl>
      <w:tblPr>
        <w:tblStyle w:val="7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7091"/>
        <w:gridCol w:w="8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03" w:type="dxa"/>
          </w:tcPr>
          <w:p>
            <w:pPr>
              <w:pStyle w:val="11"/>
              <w:spacing w:line="292" w:lineRule="exact"/>
              <w:ind w:left="11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7091" w:type="dxa"/>
          </w:tcPr>
          <w:p>
            <w:pPr>
              <w:pStyle w:val="11"/>
              <w:spacing w:line="292" w:lineRule="exact"/>
              <w:ind w:left="2686" w:right="2675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评分内容及要求</w:t>
            </w:r>
          </w:p>
        </w:tc>
        <w:tc>
          <w:tcPr>
            <w:tcW w:w="849" w:type="dxa"/>
          </w:tcPr>
          <w:p>
            <w:pPr>
              <w:pStyle w:val="11"/>
              <w:spacing w:line="292" w:lineRule="exact"/>
              <w:ind w:left="182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3" w:type="dxa"/>
            <w:tcBorders>
              <w:top w:val="nil"/>
            </w:tcBorders>
          </w:tcPr>
          <w:p>
            <w:pPr>
              <w:pStyle w:val="11"/>
              <w:spacing w:before="151"/>
              <w:ind w:left="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091" w:type="dxa"/>
            <w:tcBorders>
              <w:top w:val="nil"/>
            </w:tcBorders>
          </w:tcPr>
          <w:p>
            <w:pPr>
              <w:pStyle w:val="11"/>
              <w:spacing w:line="303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ServerA使用mount|grepmnt命令查看iso文件挂载状况，</w:t>
            </w:r>
          </w:p>
          <w:p>
            <w:pPr>
              <w:pStyle w:val="11"/>
              <w:spacing w:before="4" w:line="297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截图。</w:t>
            </w:r>
          </w:p>
        </w:tc>
        <w:tc>
          <w:tcPr>
            <w:tcW w:w="849" w:type="dxa"/>
            <w:tcBorders>
              <w:top w:val="nil"/>
            </w:tcBorders>
          </w:tcPr>
          <w:p>
            <w:pPr>
              <w:pStyle w:val="11"/>
              <w:spacing w:before="151"/>
              <w:ind w:left="104" w:right="94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03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91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9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703" w:type="dxa"/>
          </w:tcPr>
          <w:p>
            <w:pPr>
              <w:pStyle w:val="11"/>
              <w:spacing w:before="148"/>
              <w:ind w:left="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7091" w:type="dxa"/>
          </w:tcPr>
          <w:p>
            <w:pPr>
              <w:pStyle w:val="11"/>
              <w:spacing w:line="302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ServerA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使用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cat/etc/yum.repos.d/local.repo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查看本地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yum</w:t>
            </w:r>
          </w:p>
          <w:p>
            <w:pPr>
              <w:pStyle w:val="11"/>
              <w:spacing w:before="2" w:line="297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源配置，截图。</w:t>
            </w:r>
          </w:p>
        </w:tc>
        <w:tc>
          <w:tcPr>
            <w:tcW w:w="849" w:type="dxa"/>
          </w:tcPr>
          <w:p>
            <w:pPr>
              <w:pStyle w:val="11"/>
              <w:spacing w:before="148"/>
              <w:ind w:left="104" w:right="94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03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91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9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703" w:type="dxa"/>
          </w:tcPr>
          <w:p>
            <w:pPr>
              <w:pStyle w:val="11"/>
              <w:spacing w:before="151"/>
              <w:ind w:left="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7091" w:type="dxa"/>
          </w:tcPr>
          <w:p>
            <w:pPr>
              <w:pStyle w:val="11"/>
              <w:tabs>
                <w:tab w:val="left" w:pos="1255"/>
                <w:tab w:val="left" w:pos="2410"/>
                <w:tab w:val="left" w:pos="3792"/>
                <w:tab w:val="left" w:pos="5177"/>
                <w:tab w:val="left" w:pos="5907"/>
              </w:tabs>
              <w:spacing w:line="302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ServerA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使用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vgdisplay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datastore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lvdisplay</w:t>
            </w:r>
          </w:p>
          <w:p>
            <w:pPr>
              <w:pStyle w:val="11"/>
              <w:spacing w:before="4" w:line="297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/dev/mapper/datastore-database查看lvm信息，截图。</w:t>
            </w:r>
          </w:p>
        </w:tc>
        <w:tc>
          <w:tcPr>
            <w:tcW w:w="849" w:type="dxa"/>
          </w:tcPr>
          <w:p>
            <w:pPr>
              <w:pStyle w:val="11"/>
              <w:spacing w:before="151"/>
              <w:ind w:left="104" w:right="94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03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91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9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703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ind w:left="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7091" w:type="dxa"/>
          </w:tcPr>
          <w:p>
            <w:pPr>
              <w:pStyle w:val="11"/>
              <w:spacing w:line="302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ServerA使用blkid/dev/mapper/datastore-database命令获</w:t>
            </w:r>
          </w:p>
          <w:p>
            <w:pPr>
              <w:pStyle w:val="11"/>
              <w:spacing w:before="2" w:line="310" w:lineRule="atLeast"/>
              <w:ind w:left="110" w:right="9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取UUID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值，截图；使用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cat</w:t>
            </w: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  <w:t>命令查看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/etc/fstab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文件内容，截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图。</w:t>
            </w:r>
          </w:p>
        </w:tc>
        <w:tc>
          <w:tcPr>
            <w:tcW w:w="849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ind w:left="104" w:right="94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703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91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9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703" w:type="dxa"/>
          </w:tcPr>
          <w:p>
            <w:pPr>
              <w:pStyle w:val="11"/>
              <w:spacing w:before="148"/>
              <w:ind w:left="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7091" w:type="dxa"/>
          </w:tcPr>
          <w:p>
            <w:pPr>
              <w:pStyle w:val="11"/>
              <w:spacing w:line="300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ServerA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使用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opensslx509-inhttp.crt-noout-text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命令查</w:t>
            </w:r>
          </w:p>
          <w:p>
            <w:pPr>
              <w:pStyle w:val="11"/>
              <w:spacing w:before="4" w:line="297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看WEB证书的发布者和主题，截图</w:t>
            </w:r>
          </w:p>
        </w:tc>
        <w:tc>
          <w:tcPr>
            <w:tcW w:w="849" w:type="dxa"/>
          </w:tcPr>
          <w:p>
            <w:pPr>
              <w:pStyle w:val="11"/>
              <w:spacing w:before="148"/>
              <w:ind w:left="104" w:right="94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703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91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9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pStyle w:val="10"/>
        <w:numPr>
          <w:ilvl w:val="0"/>
          <w:numId w:val="9"/>
        </w:numPr>
        <w:tabs>
          <w:tab w:val="left" w:pos="1084"/>
        </w:tabs>
        <w:spacing w:before="0" w:line="404" w:lineRule="exact"/>
        <w:ind w:left="1083" w:hanging="301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三次加密原则</w:t>
      </w:r>
    </w:p>
    <w:p>
      <w:pPr>
        <w:pStyle w:val="3"/>
        <w:spacing w:before="213" w:line="364" w:lineRule="auto"/>
        <w:ind w:left="226" w:right="625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10"/>
        </w:rPr>
        <w:t>比赛过程采取三次加密，通过抽取参赛编号、工位号和竞赛成果号，</w:t>
      </w:r>
      <w:r>
        <w:rPr>
          <w:rFonts w:hint="eastAsia" w:ascii="仿宋" w:hAnsi="仿宋" w:eastAsia="仿宋" w:cs="仿宋"/>
          <w:spacing w:val="-3"/>
        </w:rPr>
        <w:t>屏蔽参赛队信息，每个环节设置一名独立裁判，每个环节结束后，数据立即封存于裁判长处，加密裁判直接隔离，确保成绩评定公平、公正。</w:t>
      </w:r>
    </w:p>
    <w:p>
      <w:pPr>
        <w:pStyle w:val="10"/>
        <w:numPr>
          <w:ilvl w:val="0"/>
          <w:numId w:val="9"/>
        </w:numPr>
        <w:tabs>
          <w:tab w:val="left" w:pos="1206"/>
        </w:tabs>
        <w:spacing w:before="0" w:line="355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独立评分原则</w:t>
      </w:r>
    </w:p>
    <w:p>
      <w:pPr>
        <w:pStyle w:val="3"/>
        <w:spacing w:before="186"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根据裁判分工，负责相同模块评分工作的不同裁判，采取随机抽签独立评分，确保成绩评定严谨、客观、准确。裁判进行随机抽签分组，杜绝主观意愿组队，各自完全独立评分，裁判员间互不干涉，比赛督察员可随机监督。</w:t>
      </w:r>
    </w:p>
    <w:p>
      <w:pPr>
        <w:pStyle w:val="10"/>
        <w:numPr>
          <w:ilvl w:val="0"/>
          <w:numId w:val="9"/>
        </w:numPr>
        <w:tabs>
          <w:tab w:val="left" w:pos="1069"/>
        </w:tabs>
        <w:spacing w:before="0" w:line="364" w:lineRule="auto"/>
        <w:ind w:left="226" w:right="820" w:firstLine="55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错误不传递原则各环节分别计算得分，错误不传递，按规定比例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计入选手总分。</w:t>
      </w:r>
    </w:p>
    <w:p>
      <w:pPr>
        <w:pStyle w:val="10"/>
        <w:numPr>
          <w:ilvl w:val="0"/>
          <w:numId w:val="9"/>
        </w:numPr>
        <w:tabs>
          <w:tab w:val="left" w:pos="1069"/>
        </w:tabs>
        <w:spacing w:before="0" w:line="358" w:lineRule="exact"/>
        <w:ind w:left="1069" w:hanging="283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抽查复核原则</w:t>
      </w:r>
    </w:p>
    <w:p>
      <w:pPr>
        <w:pStyle w:val="10"/>
        <w:numPr>
          <w:ilvl w:val="0"/>
          <w:numId w:val="10"/>
        </w:numPr>
        <w:tabs>
          <w:tab w:val="left" w:pos="1488"/>
        </w:tabs>
        <w:spacing w:before="185" w:line="364" w:lineRule="auto"/>
        <w:ind w:right="762" w:firstLine="55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6"/>
          <w:sz w:val="28"/>
          <w:szCs w:val="28"/>
        </w:rPr>
        <w:t>为保障成绩评判的准确性，督察组对赛项总成绩排名前</w:t>
      </w:r>
      <w:r>
        <w:rPr>
          <w:rFonts w:hint="eastAsia" w:ascii="仿宋" w:hAnsi="仿宋" w:eastAsia="仿宋" w:cs="仿宋"/>
          <w:sz w:val="28"/>
          <w:szCs w:val="28"/>
        </w:rPr>
        <w:t>30%的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所有参赛队伍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选手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的成绩进行复核；对其余成绩进行抽检复核，抽</w:t>
      </w:r>
      <w:r>
        <w:rPr>
          <w:rFonts w:hint="eastAsia" w:ascii="仿宋" w:hAnsi="仿宋" w:eastAsia="仿宋" w:cs="仿宋"/>
          <w:spacing w:val="-11"/>
          <w:sz w:val="28"/>
          <w:szCs w:val="28"/>
        </w:rPr>
        <w:t>检覆盖率不得低于</w:t>
      </w:r>
      <w:r>
        <w:rPr>
          <w:rFonts w:hint="eastAsia" w:ascii="仿宋" w:hAnsi="仿宋" w:eastAsia="仿宋" w:cs="仿宋"/>
          <w:sz w:val="28"/>
          <w:szCs w:val="28"/>
        </w:rPr>
        <w:t>15%。</w:t>
      </w:r>
    </w:p>
    <w:p>
      <w:pPr>
        <w:pStyle w:val="10"/>
        <w:numPr>
          <w:ilvl w:val="0"/>
          <w:numId w:val="10"/>
        </w:numPr>
        <w:tabs>
          <w:tab w:val="left" w:pos="1488"/>
        </w:tabs>
        <w:spacing w:before="39" w:line="364" w:lineRule="auto"/>
        <w:ind w:right="767" w:firstLine="55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5"/>
          <w:sz w:val="28"/>
          <w:szCs w:val="28"/>
        </w:rPr>
        <w:t>督察组需将复检中发现的错误以书面方式及时告知裁判长，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由裁判长更正成绩并签字确认。</w:t>
      </w:r>
    </w:p>
    <w:p>
      <w:pPr>
        <w:pStyle w:val="10"/>
        <w:numPr>
          <w:ilvl w:val="0"/>
          <w:numId w:val="10"/>
        </w:numPr>
        <w:tabs>
          <w:tab w:val="left" w:pos="1488"/>
        </w:tabs>
        <w:spacing w:before="0" w:line="364" w:lineRule="auto"/>
        <w:ind w:right="883" w:firstLine="55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7"/>
          <w:sz w:val="28"/>
          <w:szCs w:val="28"/>
        </w:rPr>
        <w:t>复核、抽检错误率超过</w:t>
      </w:r>
      <w:r>
        <w:rPr>
          <w:rFonts w:hint="eastAsia" w:ascii="仿宋" w:hAnsi="仿宋" w:eastAsia="仿宋" w:cs="仿宋"/>
          <w:sz w:val="28"/>
          <w:szCs w:val="28"/>
        </w:rPr>
        <w:t>5%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的，则认定为非小概率事件，裁判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组需对所有成绩进行复核。</w:t>
      </w: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（二）评分方法</w:t>
      </w:r>
    </w:p>
    <w:p>
      <w:pPr>
        <w:pStyle w:val="10"/>
        <w:numPr>
          <w:ilvl w:val="0"/>
          <w:numId w:val="11"/>
        </w:numPr>
        <w:tabs>
          <w:tab w:val="left" w:pos="1069"/>
        </w:tabs>
        <w:spacing w:before="121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3"/>
          <w:sz w:val="28"/>
        </w:rPr>
        <w:t>竞赛满分为</w:t>
      </w:r>
      <w:r>
        <w:rPr>
          <w:rFonts w:hint="eastAsia" w:ascii="仿宋" w:hAnsi="仿宋" w:eastAsia="仿宋" w:cs="仿宋"/>
          <w:sz w:val="28"/>
        </w:rPr>
        <w:t>1000</w:t>
      </w:r>
      <w:r>
        <w:rPr>
          <w:rFonts w:hint="eastAsia" w:ascii="仿宋" w:hAnsi="仿宋" w:eastAsia="仿宋" w:cs="仿宋"/>
          <w:spacing w:val="-16"/>
          <w:sz w:val="28"/>
        </w:rPr>
        <w:t>分。最终成绩换算为</w:t>
      </w:r>
      <w:r>
        <w:rPr>
          <w:rFonts w:hint="eastAsia" w:ascii="仿宋" w:hAnsi="仿宋" w:eastAsia="仿宋" w:cs="仿宋"/>
          <w:sz w:val="28"/>
        </w:rPr>
        <w:t>100</w:t>
      </w:r>
      <w:r>
        <w:rPr>
          <w:rFonts w:hint="eastAsia" w:ascii="仿宋" w:hAnsi="仿宋" w:eastAsia="仿宋" w:cs="仿宋"/>
          <w:spacing w:val="-11"/>
          <w:sz w:val="28"/>
        </w:rPr>
        <w:t>分制进行排名。</w:t>
      </w:r>
    </w:p>
    <w:p>
      <w:pPr>
        <w:pStyle w:val="10"/>
        <w:numPr>
          <w:ilvl w:val="0"/>
          <w:numId w:val="11"/>
        </w:numPr>
        <w:tabs>
          <w:tab w:val="left" w:pos="1069"/>
        </w:tabs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0"/>
          <w:sz w:val="28"/>
        </w:rPr>
        <w:t>评分成绩=模块</w:t>
      </w:r>
      <w:r>
        <w:rPr>
          <w:rFonts w:hint="eastAsia" w:ascii="仿宋" w:hAnsi="仿宋" w:eastAsia="仿宋" w:cs="仿宋"/>
          <w:sz w:val="28"/>
        </w:rPr>
        <w:t>A+</w:t>
      </w:r>
      <w:r>
        <w:rPr>
          <w:rFonts w:hint="eastAsia" w:ascii="仿宋" w:hAnsi="仿宋" w:eastAsia="仿宋" w:cs="仿宋"/>
          <w:spacing w:val="-24"/>
          <w:sz w:val="28"/>
        </w:rPr>
        <w:t>模块</w:t>
      </w:r>
      <w:r>
        <w:rPr>
          <w:rFonts w:hint="eastAsia" w:ascii="仿宋" w:hAnsi="仿宋" w:eastAsia="仿宋" w:cs="仿宋"/>
          <w:sz w:val="28"/>
        </w:rPr>
        <w:t>B</w:t>
      </w:r>
      <w:r>
        <w:rPr>
          <w:rFonts w:hint="eastAsia" w:ascii="仿宋" w:hAnsi="仿宋" w:eastAsia="仿宋" w:cs="仿宋"/>
          <w:spacing w:val="-2"/>
          <w:sz w:val="28"/>
        </w:rPr>
        <w:t>。</w:t>
      </w:r>
    </w:p>
    <w:p>
      <w:pPr>
        <w:pStyle w:val="10"/>
        <w:numPr>
          <w:ilvl w:val="0"/>
          <w:numId w:val="11"/>
        </w:numPr>
        <w:tabs>
          <w:tab w:val="left" w:pos="1069"/>
        </w:tabs>
        <w:spacing w:before="187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0"/>
          <w:sz w:val="28"/>
        </w:rPr>
        <w:t>竞赛设置裁判长</w:t>
      </w:r>
      <w:r>
        <w:rPr>
          <w:rFonts w:hint="eastAsia" w:ascii="仿宋" w:hAnsi="仿宋" w:eastAsia="仿宋" w:cs="仿宋"/>
          <w:sz w:val="28"/>
        </w:rPr>
        <w:t>1</w:t>
      </w:r>
      <w:r>
        <w:rPr>
          <w:rFonts w:hint="eastAsia" w:ascii="仿宋" w:hAnsi="仿宋" w:eastAsia="仿宋" w:cs="仿宋"/>
          <w:spacing w:val="-10"/>
          <w:sz w:val="28"/>
        </w:rPr>
        <w:t>名，裁判若干名。</w:t>
      </w:r>
    </w:p>
    <w:p>
      <w:pPr>
        <w:pStyle w:val="10"/>
        <w:numPr>
          <w:ilvl w:val="0"/>
          <w:numId w:val="11"/>
        </w:numPr>
        <w:tabs>
          <w:tab w:val="left" w:pos="1069"/>
        </w:tabs>
        <w:spacing w:line="364" w:lineRule="auto"/>
        <w:ind w:left="226" w:right="819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竞赛采取三次加密。第一次加密裁判组织参赛选手第一次抽签，</w:t>
      </w:r>
      <w:r>
        <w:rPr>
          <w:rFonts w:hint="eastAsia" w:ascii="仿宋" w:hAnsi="仿宋" w:eastAsia="仿宋" w:cs="仿宋"/>
          <w:spacing w:val="-4"/>
          <w:sz w:val="28"/>
        </w:rPr>
        <w:t>抽取参赛编号，替代选手参赛证等个人信息；第二次加密裁判组织参赛选手进行第二次抽签，确定赛位号，替换选手参赛编号；第三次加密裁判对各参赛选手竞赛结果进行加密，替换赛位号。三次加密信息由不同</w:t>
      </w:r>
      <w:r>
        <w:rPr>
          <w:rFonts w:hint="eastAsia" w:ascii="仿宋" w:hAnsi="仿宋" w:eastAsia="仿宋" w:cs="仿宋"/>
          <w:spacing w:val="-3"/>
          <w:sz w:val="28"/>
        </w:rPr>
        <w:t>加密裁判密封后保管，在评分结束后进行解密并统计成绩。</w:t>
      </w:r>
    </w:p>
    <w:p>
      <w:pPr>
        <w:pStyle w:val="10"/>
        <w:numPr>
          <w:ilvl w:val="0"/>
          <w:numId w:val="11"/>
        </w:numPr>
        <w:tabs>
          <w:tab w:val="left" w:pos="1069"/>
        </w:tabs>
        <w:spacing w:before="0" w:line="364" w:lineRule="auto"/>
        <w:ind w:left="226" w:right="628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8"/>
          <w:sz w:val="28"/>
        </w:rPr>
        <w:t>竞赛对参赛选手提交的结果采取客观性结果评分。采取分步得分、</w:t>
      </w:r>
      <w:r>
        <w:rPr>
          <w:rFonts w:hint="eastAsia" w:ascii="仿宋" w:hAnsi="仿宋" w:eastAsia="仿宋" w:cs="仿宋"/>
          <w:spacing w:val="-3"/>
          <w:sz w:val="28"/>
        </w:rPr>
        <w:t>累计总分的计分方式。各环节分别计算得分，错误不传递，按规定得分计入总分。根据赛题情况划分模块，每三名裁判负责一个模块进行独立</w:t>
      </w:r>
      <w:r>
        <w:rPr>
          <w:rFonts w:hint="eastAsia" w:ascii="仿宋" w:hAnsi="仿宋" w:eastAsia="仿宋" w:cs="仿宋"/>
          <w:spacing w:val="-6"/>
          <w:sz w:val="28"/>
        </w:rPr>
        <w:t>评分。裁判长在竞赛结束</w:t>
      </w:r>
      <w:r>
        <w:rPr>
          <w:rFonts w:hint="eastAsia" w:ascii="仿宋" w:hAnsi="仿宋" w:eastAsia="仿宋" w:cs="仿宋"/>
          <w:sz w:val="28"/>
        </w:rPr>
        <w:t>8</w:t>
      </w:r>
      <w:r>
        <w:rPr>
          <w:rFonts w:hint="eastAsia" w:ascii="仿宋" w:hAnsi="仿宋" w:eastAsia="仿宋" w:cs="仿宋"/>
          <w:spacing w:val="-6"/>
          <w:sz w:val="28"/>
        </w:rPr>
        <w:t>小时内提交评分结果，经复核无误，由裁判</w:t>
      </w:r>
      <w:r>
        <w:rPr>
          <w:rFonts w:hint="eastAsia" w:ascii="仿宋" w:hAnsi="仿宋" w:eastAsia="仿宋" w:cs="仿宋"/>
          <w:spacing w:val="-5"/>
          <w:sz w:val="28"/>
        </w:rPr>
        <w:t>长、督察员签字确认。</w:t>
      </w:r>
    </w:p>
    <w:p>
      <w:pPr>
        <w:pStyle w:val="10"/>
        <w:numPr>
          <w:ilvl w:val="0"/>
          <w:numId w:val="11"/>
        </w:numPr>
        <w:tabs>
          <w:tab w:val="left" w:pos="1069"/>
        </w:tabs>
        <w:spacing w:before="0" w:line="364" w:lineRule="auto"/>
        <w:ind w:left="226" w:right="625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裁判长正式提交评分结果并复核无误后，加密裁判在督察员监督</w:t>
      </w:r>
      <w:r>
        <w:rPr>
          <w:rFonts w:hint="eastAsia" w:ascii="仿宋" w:hAnsi="仿宋" w:eastAsia="仿宋" w:cs="仿宋"/>
          <w:spacing w:val="-11"/>
          <w:sz w:val="28"/>
        </w:rPr>
        <w:t>下进行三层解密：竞赛结果编号到工位号解密；工位号到参赛编号解密；</w:t>
      </w:r>
      <w:r>
        <w:rPr>
          <w:rFonts w:hint="eastAsia" w:ascii="仿宋" w:hAnsi="仿宋" w:eastAsia="仿宋" w:cs="仿宋"/>
          <w:spacing w:val="-3"/>
          <w:sz w:val="28"/>
        </w:rPr>
        <w:t>参赛编号到参赛选手名解密。</w:t>
      </w:r>
    </w:p>
    <w:p>
      <w:pPr>
        <w:pStyle w:val="10"/>
        <w:numPr>
          <w:ilvl w:val="0"/>
          <w:numId w:val="11"/>
        </w:numPr>
        <w:tabs>
          <w:tab w:val="left" w:pos="1069"/>
        </w:tabs>
        <w:spacing w:before="0" w:line="364" w:lineRule="auto"/>
        <w:ind w:left="226" w:right="819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6"/>
          <w:sz w:val="28"/>
        </w:rPr>
        <w:t>为保障成绩评判的准确性，督察员对赛项总成绩排名前</w:t>
      </w:r>
      <w:r>
        <w:rPr>
          <w:rFonts w:hint="eastAsia" w:ascii="仿宋" w:hAnsi="仿宋" w:eastAsia="仿宋" w:cs="仿宋"/>
          <w:sz w:val="28"/>
        </w:rPr>
        <w:t>30%的所</w:t>
      </w:r>
      <w:r>
        <w:rPr>
          <w:rFonts w:hint="eastAsia" w:ascii="仿宋" w:hAnsi="仿宋" w:eastAsia="仿宋" w:cs="仿宋"/>
          <w:spacing w:val="-4"/>
          <w:sz w:val="28"/>
        </w:rPr>
        <w:t>有参赛队伍的成绩进行复核；其余成绩进行抽检复核，抽检覆盖率不低</w:t>
      </w:r>
      <w:r>
        <w:rPr>
          <w:rFonts w:hint="eastAsia" w:ascii="仿宋" w:hAnsi="仿宋" w:eastAsia="仿宋" w:cs="仿宋"/>
          <w:spacing w:val="-36"/>
          <w:sz w:val="28"/>
        </w:rPr>
        <w:t>于</w:t>
      </w:r>
      <w:r>
        <w:rPr>
          <w:rFonts w:hint="eastAsia" w:ascii="仿宋" w:hAnsi="仿宋" w:eastAsia="仿宋" w:cs="仿宋"/>
          <w:sz w:val="28"/>
        </w:rPr>
        <w:t>15%。</w:t>
      </w:r>
    </w:p>
    <w:p>
      <w:pPr>
        <w:pStyle w:val="10"/>
        <w:numPr>
          <w:ilvl w:val="0"/>
          <w:numId w:val="11"/>
        </w:numPr>
        <w:tabs>
          <w:tab w:val="left" w:pos="1069"/>
        </w:tabs>
        <w:spacing w:before="39" w:line="364" w:lineRule="auto"/>
        <w:ind w:left="226" w:right="763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督察员在复检中发现错误，需以书面形式及时告知裁判长，由裁</w:t>
      </w:r>
      <w:r>
        <w:rPr>
          <w:rFonts w:hint="eastAsia" w:ascii="仿宋" w:hAnsi="仿宋" w:eastAsia="仿宋" w:cs="仿宋"/>
          <w:spacing w:val="-7"/>
          <w:sz w:val="28"/>
        </w:rPr>
        <w:t>判长更正成绩并签字确认。如复核、抽检错误率超过</w:t>
      </w:r>
      <w:r>
        <w:rPr>
          <w:rFonts w:hint="eastAsia" w:ascii="仿宋" w:hAnsi="仿宋" w:eastAsia="仿宋" w:cs="仿宋"/>
          <w:spacing w:val="-3"/>
          <w:sz w:val="28"/>
        </w:rPr>
        <w:t>5%</w:t>
      </w:r>
      <w:r>
        <w:rPr>
          <w:rFonts w:hint="eastAsia" w:ascii="仿宋" w:hAnsi="仿宋" w:eastAsia="仿宋" w:cs="仿宋"/>
          <w:spacing w:val="-5"/>
          <w:sz w:val="28"/>
        </w:rPr>
        <w:t>，裁判组需对所</w:t>
      </w:r>
      <w:r>
        <w:rPr>
          <w:rFonts w:hint="eastAsia" w:ascii="仿宋" w:hAnsi="仿宋" w:eastAsia="仿宋" w:cs="仿宋"/>
          <w:spacing w:val="-2"/>
          <w:sz w:val="28"/>
        </w:rPr>
        <w:t>有成绩进行复核。</w:t>
      </w:r>
    </w:p>
    <w:p>
      <w:pPr>
        <w:pStyle w:val="10"/>
        <w:numPr>
          <w:ilvl w:val="0"/>
          <w:numId w:val="11"/>
        </w:numPr>
        <w:tabs>
          <w:tab w:val="left" w:pos="1069"/>
        </w:tabs>
        <w:spacing w:before="0" w:line="364" w:lineRule="auto"/>
        <w:ind w:left="226" w:right="819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在竞赛过程中，参赛选手如有不服从裁判裁决、扰乱赛场秩序、</w:t>
      </w:r>
      <w:r>
        <w:rPr>
          <w:rFonts w:hint="eastAsia" w:ascii="仿宋" w:hAnsi="仿宋" w:eastAsia="仿宋" w:cs="仿宋"/>
          <w:spacing w:val="-4"/>
          <w:sz w:val="28"/>
        </w:rPr>
        <w:t>舞弊等行为的，由裁判长按照规定扣减相应分数，情节严重的将取消比</w:t>
      </w:r>
      <w:r>
        <w:rPr>
          <w:rFonts w:hint="eastAsia" w:ascii="仿宋" w:hAnsi="仿宋" w:eastAsia="仿宋" w:cs="仿宋"/>
          <w:spacing w:val="-10"/>
          <w:sz w:val="28"/>
        </w:rPr>
        <w:t>赛资格，比赛成绩计</w:t>
      </w:r>
      <w:r>
        <w:rPr>
          <w:rFonts w:hint="eastAsia" w:ascii="仿宋" w:hAnsi="仿宋" w:eastAsia="仿宋" w:cs="仿宋"/>
          <w:sz w:val="28"/>
        </w:rPr>
        <w:t>0</w:t>
      </w:r>
      <w:r>
        <w:rPr>
          <w:rFonts w:hint="eastAsia" w:ascii="仿宋" w:hAnsi="仿宋" w:eastAsia="仿宋" w:cs="仿宋"/>
          <w:spacing w:val="-24"/>
          <w:sz w:val="28"/>
        </w:rPr>
        <w:t>分。</w:t>
      </w:r>
    </w:p>
    <w:p>
      <w:pPr>
        <w:autoSpaceDE/>
        <w:autoSpaceDN/>
        <w:adjustRightInd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bidi="ar-SA"/>
        </w:rPr>
        <w:t>十二、奖项设定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根据参赛队竞赛成绩排名分别设立一、二、三等奖。以各赛项实际参赛队数量为基数，一、二、三等奖获奖比例分别为10%、20%、30%</w:t>
      </w:r>
    </w:p>
    <w:p>
      <w:pPr>
        <w:pStyle w:val="3"/>
        <w:spacing w:line="358" w:lineRule="exact"/>
        <w:ind w:left="226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（小数点后四舍五入）。</w:t>
      </w:r>
    </w:p>
    <w:p>
      <w:pPr>
        <w:pStyle w:val="3"/>
        <w:spacing w:before="186" w:line="364" w:lineRule="auto"/>
        <w:ind w:left="226" w:right="813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3"/>
        </w:rPr>
        <w:t>如出现参赛选手总分相同情况，按照</w:t>
      </w:r>
      <w:r>
        <w:rPr>
          <w:rFonts w:hint="eastAsia" w:ascii="仿宋" w:hAnsi="仿宋" w:eastAsia="仿宋" w:cs="仿宋"/>
        </w:rPr>
        <w:t>A</w:t>
      </w:r>
      <w:r>
        <w:rPr>
          <w:rFonts w:hint="eastAsia" w:ascii="仿宋" w:hAnsi="仿宋" w:eastAsia="仿宋" w:cs="仿宋"/>
          <w:spacing w:val="-9"/>
        </w:rPr>
        <w:t>、</w:t>
      </w:r>
      <w:r>
        <w:rPr>
          <w:rFonts w:hint="eastAsia" w:ascii="仿宋" w:hAnsi="仿宋" w:eastAsia="仿宋" w:cs="仿宋"/>
          <w:spacing w:val="-9"/>
          <w:lang w:val="en-US"/>
        </w:rPr>
        <w:t>B</w:t>
      </w:r>
      <w:r>
        <w:rPr>
          <w:rFonts w:hint="eastAsia" w:ascii="仿宋" w:hAnsi="仿宋" w:eastAsia="仿宋" w:cs="仿宋"/>
          <w:spacing w:val="-9"/>
        </w:rPr>
        <w:t>模块顺序的得分高低排</w:t>
      </w:r>
      <w:r>
        <w:rPr>
          <w:rFonts w:hint="eastAsia" w:ascii="仿宋" w:hAnsi="仿宋" w:eastAsia="仿宋" w:cs="仿宋"/>
          <w:spacing w:val="-10"/>
        </w:rPr>
        <w:t>序，即总成绩相同的情况下比较</w:t>
      </w:r>
      <w:r>
        <w:rPr>
          <w:rFonts w:hint="eastAsia" w:ascii="仿宋" w:hAnsi="仿宋" w:eastAsia="仿宋" w:cs="仿宋"/>
          <w:lang w:val="en-US"/>
        </w:rPr>
        <w:t>A</w:t>
      </w:r>
      <w:r>
        <w:rPr>
          <w:rFonts w:hint="eastAsia" w:ascii="仿宋" w:hAnsi="仿宋" w:eastAsia="仿宋" w:cs="仿宋"/>
          <w:spacing w:val="-1"/>
        </w:rPr>
        <w:t>模块的成绩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lang w:val="en-US"/>
        </w:rPr>
        <w:t>A</w:t>
      </w:r>
      <w:r>
        <w:rPr>
          <w:rFonts w:hint="eastAsia" w:ascii="仿宋" w:hAnsi="仿宋" w:eastAsia="仿宋" w:cs="仿宋"/>
          <w:spacing w:val="-11"/>
        </w:rPr>
        <w:t>模块成绩高的排名优</w:t>
      </w:r>
      <w:r>
        <w:rPr>
          <w:rFonts w:hint="eastAsia" w:ascii="仿宋" w:hAnsi="仿宋" w:eastAsia="仿宋" w:cs="仿宋"/>
          <w:spacing w:val="1"/>
        </w:rPr>
        <w:t>先。如果</w:t>
      </w:r>
      <w:r>
        <w:rPr>
          <w:rFonts w:hint="eastAsia" w:ascii="仿宋" w:hAnsi="仿宋" w:eastAsia="仿宋" w:cs="仿宋"/>
        </w:rPr>
        <w:t>A、B</w:t>
      </w:r>
      <w:r>
        <w:rPr>
          <w:rFonts w:hint="eastAsia" w:ascii="仿宋" w:hAnsi="仿宋" w:eastAsia="仿宋" w:cs="仿宋"/>
          <w:spacing w:val="-10"/>
        </w:rPr>
        <w:t>各模块分值相同，则查看文档撰写规范、职业素养</w:t>
      </w:r>
      <w:r>
        <w:rPr>
          <w:rFonts w:hint="eastAsia" w:ascii="仿宋" w:hAnsi="仿宋" w:eastAsia="仿宋" w:cs="仿宋"/>
          <w:spacing w:val="-7"/>
        </w:rPr>
        <w:t>进行排序。</w:t>
      </w:r>
    </w:p>
    <w:p>
      <w:pPr>
        <w:autoSpaceDE/>
        <w:autoSpaceDN/>
        <w:adjustRightInd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bidi="ar-SA"/>
        </w:rPr>
        <w:t>十三、赛场安全预案</w:t>
      </w:r>
    </w:p>
    <w:p>
      <w:pPr>
        <w:pStyle w:val="3"/>
        <w:spacing w:before="122"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比赛期间发生意外事故，发现者应第一时间报告赛项执委会，同时采取措施避免事态扩大。赛项执委会应立即启动预案予以解决并报告赛区执委会。赛项出现重大安全问题可以停赛，是否停赛由赛区执委会决定。事后，赛区执委会应向大赛执委会报告详细情况。</w:t>
      </w:r>
    </w:p>
    <w:p>
      <w:pPr>
        <w:pStyle w:val="3"/>
        <w:spacing w:line="357" w:lineRule="exact"/>
        <w:ind w:left="786" w:firstLine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相关应急预案如下表所示。</w:t>
      </w:r>
    </w:p>
    <w:p>
      <w:pPr>
        <w:pStyle w:val="3"/>
        <w:ind w:left="0" w:firstLine="0"/>
      </w:pPr>
    </w:p>
    <w:tbl>
      <w:tblPr>
        <w:tblStyle w:val="7"/>
        <w:tblpPr w:leftFromText="180" w:rightFromText="180" w:vertAnchor="text" w:horzAnchor="page" w:tblpX="1455" w:tblpY="188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3118"/>
        <w:gridCol w:w="45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23" w:type="dxa"/>
          </w:tcPr>
          <w:p>
            <w:pPr>
              <w:pStyle w:val="11"/>
              <w:spacing w:line="292" w:lineRule="exact"/>
              <w:ind w:left="379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突发事件</w:t>
            </w:r>
          </w:p>
        </w:tc>
        <w:tc>
          <w:tcPr>
            <w:tcW w:w="3118" w:type="dxa"/>
          </w:tcPr>
          <w:p>
            <w:pPr>
              <w:pStyle w:val="11"/>
              <w:spacing w:line="292" w:lineRule="exact"/>
              <w:ind w:left="1060" w:right="1048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预防措施</w:t>
            </w:r>
          </w:p>
        </w:tc>
        <w:tc>
          <w:tcPr>
            <w:tcW w:w="4536" w:type="dxa"/>
          </w:tcPr>
          <w:p>
            <w:pPr>
              <w:pStyle w:val="11"/>
              <w:spacing w:line="292" w:lineRule="exact"/>
              <w:ind w:left="1183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事件发生后应对措施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1723" w:type="dxa"/>
          </w:tcPr>
          <w:p>
            <w:pPr>
              <w:pStyle w:val="11"/>
              <w:spacing w:before="158" w:line="242" w:lineRule="auto"/>
              <w:ind w:left="107" w:right="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参赛选手发病或受伤</w:t>
            </w:r>
          </w:p>
        </w:tc>
        <w:tc>
          <w:tcPr>
            <w:tcW w:w="3118" w:type="dxa"/>
          </w:tcPr>
          <w:p>
            <w:pPr>
              <w:pStyle w:val="11"/>
              <w:spacing w:before="158" w:line="242" w:lineRule="auto"/>
              <w:ind w:left="107" w:right="6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在各工位张贴安全操作说明。</w:t>
            </w:r>
          </w:p>
        </w:tc>
        <w:tc>
          <w:tcPr>
            <w:tcW w:w="4536" w:type="dxa"/>
          </w:tcPr>
          <w:p>
            <w:pPr>
              <w:pStyle w:val="11"/>
              <w:spacing w:before="2" w:line="242" w:lineRule="auto"/>
              <w:ind w:left="108" w:right="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医务人员应采取紧急救护措施，及时进行救治，如病情或伤势严重，应及时送往最</w:t>
            </w:r>
          </w:p>
          <w:p>
            <w:pPr>
              <w:pStyle w:val="11"/>
              <w:spacing w:line="289" w:lineRule="exact"/>
              <w:ind w:left="10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近医院进行救治。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7" w:hRule="atLeast"/>
        </w:trPr>
        <w:tc>
          <w:tcPr>
            <w:tcW w:w="1723" w:type="dxa"/>
          </w:tcPr>
          <w:p>
            <w:pPr>
              <w:pStyle w:val="11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before="8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line="244" w:lineRule="auto"/>
              <w:ind w:left="107" w:right="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人员发生食物中毒</w:t>
            </w:r>
          </w:p>
        </w:tc>
        <w:tc>
          <w:tcPr>
            <w:tcW w:w="3118" w:type="dxa"/>
          </w:tcPr>
          <w:p>
            <w:pPr>
              <w:pStyle w:val="11"/>
              <w:spacing w:before="6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line="242" w:lineRule="auto"/>
              <w:ind w:left="107" w:right="67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比赛期间指定的住宿/餐饮场地符合国家相关资质要求。并协调地方卫生部门做好检查工作。</w:t>
            </w:r>
          </w:p>
        </w:tc>
        <w:tc>
          <w:tcPr>
            <w:tcW w:w="4536" w:type="dxa"/>
          </w:tcPr>
          <w:p>
            <w:pPr>
              <w:pStyle w:val="11"/>
              <w:spacing w:before="2" w:line="242" w:lineRule="auto"/>
              <w:ind w:left="108" w:right="-29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立即组织对中毒人员进行救治，必要时送往最近医院进行检查治疗。同时对可疑的食品、饮水及其有关原料、工具设备和场所以及可能受污染的区域采取保留、控制</w:t>
            </w:r>
          </w:p>
          <w:p>
            <w:pPr>
              <w:pStyle w:val="11"/>
              <w:spacing w:before="1" w:line="310" w:lineRule="atLeast"/>
              <w:ind w:left="108" w:right="-2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3"/>
                <w:sz w:val="24"/>
                <w:szCs w:val="24"/>
              </w:rPr>
              <w:t>措施，组织开展现场调查，迅速查明原因，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并及时向大赛执委会报告。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723" w:type="dxa"/>
          </w:tcPr>
          <w:p>
            <w:pPr>
              <w:pStyle w:val="11"/>
              <w:spacing w:before="2" w:line="242" w:lineRule="auto"/>
              <w:ind w:left="107" w:right="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设备损坏（如不能启动、反</w:t>
            </w:r>
          </w:p>
          <w:p>
            <w:pPr>
              <w:pStyle w:val="11"/>
              <w:spacing w:before="3" w:line="289" w:lineRule="exact"/>
              <w:ind w:left="10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复重启等）</w:t>
            </w:r>
          </w:p>
        </w:tc>
        <w:tc>
          <w:tcPr>
            <w:tcW w:w="3118" w:type="dxa"/>
          </w:tcPr>
          <w:p>
            <w:pPr>
              <w:pStyle w:val="11"/>
              <w:spacing w:before="158" w:line="242" w:lineRule="auto"/>
              <w:ind w:left="107" w:right="9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提前一天烤机，所有设备开机运行；现场放置备机。</w:t>
            </w:r>
          </w:p>
        </w:tc>
        <w:tc>
          <w:tcPr>
            <w:tcW w:w="4536" w:type="dxa"/>
          </w:tcPr>
          <w:p>
            <w:pPr>
              <w:pStyle w:val="11"/>
              <w:spacing w:before="2" w:line="242" w:lineRule="auto"/>
              <w:ind w:left="108" w:right="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参赛选手举手示意后，监考人员计时，裁判确认后更换备机，并由主裁判确定应计</w:t>
            </w:r>
          </w:p>
          <w:p>
            <w:pPr>
              <w:pStyle w:val="11"/>
              <w:spacing w:before="3" w:line="289" w:lineRule="exact"/>
              <w:ind w:left="10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入延时时间。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9" w:hRule="atLeast"/>
        </w:trPr>
        <w:tc>
          <w:tcPr>
            <w:tcW w:w="1723" w:type="dxa"/>
          </w:tcPr>
          <w:p>
            <w:pPr>
              <w:pStyle w:val="11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before="167"/>
              <w:ind w:left="10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设备掉电</w:t>
            </w:r>
          </w:p>
        </w:tc>
        <w:tc>
          <w:tcPr>
            <w:tcW w:w="3118" w:type="dxa"/>
          </w:tcPr>
          <w:p>
            <w:pPr>
              <w:pStyle w:val="11"/>
              <w:spacing w:before="2" w:line="242" w:lineRule="auto"/>
              <w:ind w:left="107" w:right="91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竞赛前技术人员及监考人员检查所有电源插头，确保牢固；电源线尽量绑扎在参赛选手碰不到的地方，如桌子后面等。</w:t>
            </w:r>
          </w:p>
          <w:p>
            <w:pPr>
              <w:pStyle w:val="11"/>
              <w:spacing w:before="3"/>
              <w:ind w:left="10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竞赛前提醒参赛选手注意尽</w:t>
            </w:r>
          </w:p>
          <w:p>
            <w:pPr>
              <w:pStyle w:val="11"/>
              <w:spacing w:before="2" w:line="310" w:lineRule="atLeast"/>
              <w:ind w:left="107" w:right="9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量不要碰到电源，配置文件要随时保存。</w:t>
            </w:r>
          </w:p>
        </w:tc>
        <w:tc>
          <w:tcPr>
            <w:tcW w:w="4536" w:type="dxa"/>
          </w:tcPr>
          <w:p>
            <w:pPr>
              <w:pStyle w:val="11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before="164" w:line="242" w:lineRule="auto"/>
              <w:ind w:left="108" w:right="95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参赛选手举手示意后，监考人员计时，裁判确认后重启机器，并由主裁判确定应计入延时的时间。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1723" w:type="dxa"/>
          </w:tcPr>
          <w:p>
            <w:pPr>
              <w:pStyle w:val="11"/>
              <w:spacing w:before="6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line="242" w:lineRule="auto"/>
              <w:ind w:left="107" w:right="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现场网络线缆故障</w:t>
            </w:r>
          </w:p>
        </w:tc>
        <w:tc>
          <w:tcPr>
            <w:tcW w:w="3118" w:type="dxa"/>
          </w:tcPr>
          <w:p>
            <w:pPr>
              <w:pStyle w:val="11"/>
              <w:spacing w:before="2" w:line="242" w:lineRule="auto"/>
              <w:ind w:left="107" w:right="9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现场走线要规范，尽量走暗槽或现场人员接触不到的地</w:t>
            </w:r>
          </w:p>
          <w:p>
            <w:pPr>
              <w:pStyle w:val="11"/>
              <w:spacing w:line="310" w:lineRule="atLeast"/>
              <w:ind w:left="107" w:right="9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方；对主要线路要在走线槽内留有备线。</w:t>
            </w:r>
          </w:p>
        </w:tc>
        <w:tc>
          <w:tcPr>
            <w:tcW w:w="4536" w:type="dxa"/>
          </w:tcPr>
          <w:p>
            <w:pPr>
              <w:pStyle w:val="11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before="162"/>
              <w:ind w:left="10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启用备线。</w:t>
            </w:r>
          </w:p>
        </w:tc>
      </w:tr>
    </w:tbl>
    <w:p>
      <w:pPr>
        <w:pStyle w:val="3"/>
        <w:ind w:left="0" w:firstLine="0"/>
        <w:rPr>
          <w:rFonts w:ascii="仿宋" w:hAnsi="仿宋" w:eastAsia="仿宋" w:cs="仿宋"/>
          <w:sz w:val="24"/>
          <w:szCs w:val="24"/>
        </w:rPr>
      </w:pPr>
    </w:p>
    <w:p>
      <w:pPr>
        <w:pStyle w:val="2"/>
        <w:ind w:left="0" w:firstLine="822" w:firstLineChars="3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spacing w:val="-3"/>
          <w:szCs w:val="22"/>
        </w:rPr>
        <w:t>处罚措施</w:t>
      </w:r>
    </w:p>
    <w:p>
      <w:pPr>
        <w:pStyle w:val="10"/>
        <w:numPr>
          <w:ilvl w:val="0"/>
          <w:numId w:val="12"/>
        </w:numPr>
        <w:tabs>
          <w:tab w:val="left" w:pos="1069"/>
        </w:tabs>
        <w:spacing w:before="115" w:line="364" w:lineRule="auto"/>
        <w:ind w:right="819" w:firstLine="559"/>
        <w:jc w:val="both"/>
        <w:rPr>
          <w:rFonts w:ascii="仿宋" w:hAnsi="仿宋" w:eastAsia="仿宋" w:cs="仿宋"/>
          <w:spacing w:val="-3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因参赛队伍原因造成重大安全事故的，取消其获奖资格。</w:t>
      </w:r>
    </w:p>
    <w:p>
      <w:pPr>
        <w:pStyle w:val="10"/>
        <w:numPr>
          <w:ilvl w:val="0"/>
          <w:numId w:val="12"/>
        </w:numPr>
        <w:tabs>
          <w:tab w:val="left" w:pos="1069"/>
        </w:tabs>
        <w:spacing w:before="115" w:line="364" w:lineRule="auto"/>
        <w:ind w:right="819" w:firstLine="559"/>
        <w:jc w:val="both"/>
        <w:rPr>
          <w:rFonts w:ascii="仿宋" w:hAnsi="仿宋" w:eastAsia="仿宋" w:cs="仿宋"/>
          <w:spacing w:val="-3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参赛队伍有发生重大安全事故隐患，经赛场工作人员提示、警告无效的，可取消其继续比赛的资格。</w:t>
      </w:r>
    </w:p>
    <w:p>
      <w:pPr>
        <w:pStyle w:val="10"/>
        <w:numPr>
          <w:ilvl w:val="0"/>
          <w:numId w:val="12"/>
        </w:numPr>
        <w:tabs>
          <w:tab w:val="left" w:pos="1069"/>
        </w:tabs>
        <w:spacing w:before="115" w:line="364" w:lineRule="auto"/>
        <w:ind w:right="819" w:firstLine="559"/>
        <w:jc w:val="both"/>
        <w:rPr>
          <w:rFonts w:ascii="仿宋" w:hAnsi="仿宋" w:eastAsia="仿宋" w:cs="仿宋"/>
          <w:spacing w:val="-3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赛事工作人员违规的，按照相应的制度追究责任。情节恶劣并造成重大安全事故的，由司法机关追究相应法律责任。</w:t>
      </w:r>
    </w:p>
    <w:p>
      <w:pPr>
        <w:pStyle w:val="10"/>
        <w:tabs>
          <w:tab w:val="left" w:pos="1069"/>
        </w:tabs>
        <w:spacing w:before="115" w:line="364" w:lineRule="auto"/>
        <w:ind w:left="785" w:right="819" w:firstLine="0"/>
        <w:jc w:val="both"/>
        <w:rPr>
          <w:rFonts w:hint="eastAsia" w:ascii="仿宋" w:hAnsi="仿宋" w:eastAsia="仿宋" w:cs="仿宋"/>
          <w:spacing w:val="-3"/>
          <w:sz w:val="28"/>
        </w:rPr>
      </w:pPr>
    </w:p>
    <w:p>
      <w:pPr>
        <w:autoSpaceDE/>
        <w:autoSpaceDN/>
        <w:adjustRightInd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bidi="ar-SA"/>
        </w:rPr>
        <w:t>十四、竞赛须知</w:t>
      </w: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（一）参赛队须知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</w:rPr>
      </w:pPr>
      <w:r>
        <w:rPr>
          <w:rFonts w:hint="eastAsia"/>
          <w:spacing w:val="-3"/>
          <w:lang w:val="en-US"/>
        </w:rPr>
        <w:t>1</w:t>
      </w:r>
      <w:r>
        <w:rPr>
          <w:rFonts w:hint="eastAsia" w:ascii="仿宋" w:hAnsi="仿宋" w:eastAsia="仿宋" w:cs="仿宋"/>
          <w:spacing w:val="-3"/>
          <w:lang w:val="en-US"/>
        </w:rPr>
        <w:t>.</w:t>
      </w:r>
      <w:r>
        <w:rPr>
          <w:rFonts w:hint="eastAsia" w:ascii="仿宋" w:hAnsi="仿宋" w:eastAsia="仿宋" w:cs="仿宋"/>
          <w:spacing w:val="-3"/>
        </w:rPr>
        <w:t>参赛队名称。统一使用学校名称，同一学校报名参赛队</w:t>
      </w:r>
      <w:r>
        <w:rPr>
          <w:rFonts w:hint="eastAsia" w:ascii="仿宋" w:hAnsi="仿宋" w:eastAsia="仿宋" w:cs="仿宋"/>
          <w:color w:val="000000" w:themeColor="text1"/>
          <w:spacing w:val="-3"/>
          <w14:textFill>
            <w14:solidFill>
              <w14:schemeClr w14:val="tx1"/>
            </w14:solidFill>
          </w14:textFill>
        </w:rPr>
        <w:t>不多于</w:t>
      </w:r>
      <w:r>
        <w:rPr>
          <w:rFonts w:hint="eastAsia" w:ascii="仿宋" w:hAnsi="仿宋" w:eastAsia="仿宋" w:cs="仿宋"/>
          <w:b/>
          <w:bCs/>
          <w:color w:val="000000" w:themeColor="text1"/>
          <w:spacing w:val="-3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spacing w:val="-3"/>
        </w:rPr>
        <w:t>支。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2.参赛队组成。每支参赛队由</w:t>
      </w:r>
      <w:r>
        <w:rPr>
          <w:rFonts w:hint="eastAsia" w:ascii="仿宋" w:hAnsi="仿宋" w:eastAsia="仿宋" w:cs="仿宋"/>
          <w:b/>
          <w:bCs/>
          <w:spacing w:val="-3"/>
          <w:lang w:val="en-US"/>
        </w:rPr>
        <w:t>2</w:t>
      </w:r>
      <w:r>
        <w:rPr>
          <w:rFonts w:hint="eastAsia" w:ascii="仿宋" w:hAnsi="仿宋" w:eastAsia="仿宋" w:cs="仿宋"/>
          <w:spacing w:val="-3"/>
          <w:lang w:val="en-US"/>
        </w:rPr>
        <w:t>名符合参赛资格学生组成，性别不限。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3.指导教师。每支参赛队可配指导教师2名，指导教师经报名并通过资格审查后确定。</w:t>
      </w:r>
    </w:p>
    <w:p>
      <w:pPr>
        <w:pStyle w:val="10"/>
        <w:numPr>
          <w:ilvl w:val="0"/>
          <w:numId w:val="12"/>
        </w:numPr>
        <w:tabs>
          <w:tab w:val="left" w:pos="1069"/>
        </w:tabs>
        <w:spacing w:before="115" w:line="364" w:lineRule="auto"/>
        <w:ind w:right="819" w:firstLine="559"/>
        <w:jc w:val="both"/>
        <w:rPr>
          <w:rFonts w:ascii="仿宋" w:hAnsi="仿宋" w:eastAsia="仿宋" w:cs="仿宋"/>
          <w:spacing w:val="-3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参赛选手及指导教师在报名获得确认后，原则上不再更换。如在筹备过程中，参赛选手因故不能参赛，须由所在省级教育主管部门于赛项开赛5个工作日之前出具书面说明，经大赛执委会办公室核实后予以更换。竞赛开始后，参赛队不得更换参赛选手，允许参赛选手缺席比赛。不允许更换新的指导教师，允许指导教师缺席。</w:t>
      </w:r>
    </w:p>
    <w:p>
      <w:pPr>
        <w:pStyle w:val="10"/>
        <w:numPr>
          <w:ilvl w:val="0"/>
          <w:numId w:val="12"/>
        </w:numPr>
        <w:tabs>
          <w:tab w:val="left" w:pos="1069"/>
        </w:tabs>
        <w:spacing w:before="115" w:line="364" w:lineRule="auto"/>
        <w:ind w:right="819" w:firstLine="559"/>
        <w:jc w:val="both"/>
        <w:rPr>
          <w:rFonts w:ascii="仿宋" w:hAnsi="仿宋" w:eastAsia="仿宋" w:cs="仿宋"/>
          <w:spacing w:val="-3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各学校组织代表队时，须安排为参赛选手购买大赛期间的人身意外伤害保险。</w:t>
      </w: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（二）指导教师须知</w:t>
      </w:r>
    </w:p>
    <w:p>
      <w:pPr>
        <w:pStyle w:val="10"/>
        <w:numPr>
          <w:ilvl w:val="0"/>
          <w:numId w:val="13"/>
        </w:numPr>
        <w:tabs>
          <w:tab w:val="left" w:pos="1069"/>
        </w:tabs>
        <w:spacing w:before="121" w:line="364" w:lineRule="auto"/>
        <w:ind w:right="819" w:firstLine="559"/>
        <w:rPr>
          <w:rFonts w:ascii="仿宋" w:hAnsi="仿宋" w:eastAsia="仿宋" w:cs="仿宋"/>
          <w:spacing w:val="-4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指导教师应该根据专业教学计划和赛项规程合理制定训练方案，认真指导选手训练，培养选手的综合职业能力和良好的职业素养，克服功利化思想，避免为赛而学、以赛代学。</w:t>
      </w:r>
    </w:p>
    <w:p>
      <w:pPr>
        <w:pStyle w:val="10"/>
        <w:numPr>
          <w:ilvl w:val="0"/>
          <w:numId w:val="13"/>
        </w:numPr>
        <w:tabs>
          <w:tab w:val="left" w:pos="1069"/>
        </w:tabs>
        <w:spacing w:before="121" w:line="364" w:lineRule="auto"/>
        <w:ind w:right="819" w:firstLine="559"/>
        <w:rPr>
          <w:rFonts w:ascii="仿宋" w:hAnsi="仿宋" w:eastAsia="仿宋" w:cs="仿宋"/>
          <w:spacing w:val="-3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指导老师应及时查看大赛专用网页有关赛项的通知和内容，认真研究和掌握本赛项竞赛的规程、技术规范和赛场要求，指导选手做好赛前的一切技术准备和竞赛准备。</w:t>
      </w:r>
    </w:p>
    <w:p>
      <w:pPr>
        <w:pStyle w:val="10"/>
        <w:numPr>
          <w:ilvl w:val="0"/>
          <w:numId w:val="13"/>
        </w:numPr>
        <w:tabs>
          <w:tab w:val="left" w:pos="1069"/>
        </w:tabs>
        <w:spacing w:before="121" w:line="364" w:lineRule="auto"/>
        <w:ind w:right="819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指导教师应该根据赛项规程要求做好参赛选手保险办理工作，并积极做好选手的安全教育。</w:t>
      </w:r>
    </w:p>
    <w:p>
      <w:pPr>
        <w:pStyle w:val="10"/>
        <w:numPr>
          <w:ilvl w:val="0"/>
          <w:numId w:val="13"/>
        </w:numPr>
        <w:tabs>
          <w:tab w:val="left" w:pos="1069"/>
        </w:tabs>
        <w:spacing w:before="121" w:line="364" w:lineRule="auto"/>
        <w:ind w:right="819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指导教师参加</w:t>
      </w:r>
      <w:r>
        <w:rPr>
          <w:rFonts w:hint="eastAsia" w:ascii="仿宋" w:hAnsi="仿宋" w:eastAsia="仿宋" w:cs="仿宋"/>
          <w:spacing w:val="-4"/>
          <w:sz w:val="28"/>
        </w:rPr>
        <w:t>赛项观摩等活动，不得违反赛项规定进入赛场，干</w:t>
      </w:r>
      <w:r>
        <w:rPr>
          <w:rFonts w:hint="eastAsia" w:ascii="仿宋" w:hAnsi="仿宋" w:eastAsia="仿宋" w:cs="仿宋"/>
          <w:spacing w:val="-2"/>
          <w:sz w:val="28"/>
        </w:rPr>
        <w:t>扰比赛正常进行。</w:t>
      </w:r>
    </w:p>
    <w:p>
      <w:pPr>
        <w:pStyle w:val="2"/>
        <w:spacing w:before="94"/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（三）参赛选手须知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/>
          <w:spacing w:val="-3"/>
          <w:lang w:val="en-US"/>
        </w:rPr>
        <w:t>1.</w:t>
      </w:r>
      <w:r>
        <w:rPr>
          <w:rFonts w:hint="eastAsia" w:ascii="仿宋" w:hAnsi="仿宋" w:eastAsia="仿宋" w:cs="仿宋"/>
          <w:spacing w:val="-3"/>
          <w:lang w:val="en-US"/>
        </w:rPr>
        <w:t>竞赛选手严格遵守赛场规章、操作规程和工艺准则，保证人身及设备安全，接受裁判员的监督和警示，文明竞赛。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2.参赛选手在检录时需将身份证、学生证、参赛证等身份证件交由检录人员统一保管，不得带入场内。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3.参赛选手进入赛场，不允许携带任何书籍和其他纸质资料（相关技术资料的电子文档由组委会提供），不允许携带通信工具和存储设备</w:t>
      </w:r>
    </w:p>
    <w:p>
      <w:pPr>
        <w:pStyle w:val="3"/>
        <w:spacing w:before="120" w:line="364" w:lineRule="auto"/>
        <w:ind w:left="0" w:right="820" w:firstLine="0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（如U盘）。竞赛统一提供计算机以及应用软件。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4.各参赛队应在竞赛开始前一天规定的时间段，进入赛场熟悉环境，但不得触碰任何比赛设备及材料。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5.竞赛时，在收到开赛信号前不得启动操作，各参赛队自行决定分工、工作程序和时间安排，在指定赛位上完成竞赛项目，严禁作弊行为。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6.竞赛过程中，因严重操作失误或安全事故不能进行比赛的（例如因综合布线发生短路导致赛场断电的、造成设备不能正常工作的），现场裁判员有权中止该队比赛。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7.在一天的比赛期间，选手连续工作，食品、饮水等由赛场统一提供。选手休息、饮食或如厕时间均计算在比赛时间内。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8.凡在竞赛期间提前离开的选手，当天不得返回赛场。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9.为培养技能型人才的工作风格，在参赛期间，选手应当注意保持工作环境及设备摆放符合企业生产“6S”（即整理、整顿、清扫、清洁、素养和安全）的原则，如果过于脏乱，裁判员有权酌情扣分。在比赛中如遇非人为因素造成的设备故障，经裁判确认后，可向裁判长申请补足排除故障的时间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10.参赛队欲提前结束比赛，应向现场裁判员举手示意，记录比赛终止时间。比赛终止后，不得再进行任何与比赛有关的操作。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11.各竞赛队按照大赛要求和赛题要求提交竞赛成果，禁止在竞赛成果上做任何与竞赛无关的记号。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12.竞赛操作结束后，参赛队要确认成功提交竞赛要求的文件，裁判员在比赛结果的规定位置做标记，并与参赛队一起签字确认。</w:t>
      </w:r>
    </w:p>
    <w:p>
      <w:pPr>
        <w:pStyle w:val="2"/>
        <w:spacing w:before="94"/>
        <w:rPr>
          <w:rFonts w:hint="eastAsia" w:ascii="仿宋_GB2312" w:hAnsi="ˎ̥" w:eastAsia="仿宋_GB2312" w:cs="宋体"/>
          <w:b w:val="0"/>
          <w:bCs w:val="0"/>
          <w:color w:val="000000"/>
          <w:spacing w:val="-21"/>
          <w:sz w:val="32"/>
          <w:szCs w:val="32"/>
          <w:shd w:val="clear" w:color="auto" w:fill="FFFFFF"/>
          <w:lang w:val="en-US" w:bidi="ar-SA"/>
        </w:rPr>
      </w:pPr>
      <w:r>
        <w:rPr>
          <w:rFonts w:hint="eastAsia" w:ascii="仿宋_GB2312" w:hAnsi="ˎ̥" w:eastAsia="仿宋_GB2312" w:cs="宋体"/>
          <w:color w:val="000000"/>
          <w:spacing w:val="-21"/>
          <w:sz w:val="32"/>
          <w:szCs w:val="32"/>
          <w:shd w:val="clear" w:color="auto" w:fill="FFFFFF"/>
          <w:lang w:val="en-US" w:bidi="ar-SA"/>
        </w:rPr>
        <w:t>（四）工作人员须知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1.熟悉竞赛规则，服从管理，严格按照工作程序和有关规定办事。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2.树立服务观念，本着一切为参赛选手着想的原则，以高度负责的精神、严肃认真态度和严谨细致的作风，积极完成大赛工作任务。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3.按规定统一着装、佩戴胸卡，文明礼貌，保持良好形象。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4.坚守工作岗位，不迟到，不早退，不无故离岗，特殊情况向组长请假。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5.遇安全突发事件，按照工作预案及时组织疏散，确保人员安全。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6.未经同意不得擅自发布关于比赛的言论，不得私自接受采访。</w:t>
      </w:r>
    </w:p>
    <w:p>
      <w:pPr>
        <w:autoSpaceDE/>
        <w:autoSpaceDN/>
        <w:adjustRightInd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bidi="ar-SA"/>
        </w:rPr>
        <w:t>十五、竞赛观摩</w:t>
      </w:r>
    </w:p>
    <w:p>
      <w:pPr>
        <w:pStyle w:val="3"/>
        <w:spacing w:before="123" w:line="364" w:lineRule="auto"/>
        <w:ind w:left="226" w:right="820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媒体观众可以在不打扰选手竞赛的要求下，沿现场指定观摩通道有组织地参观竞赛现场。在竞赛现场进行竞赛全过程监控录像，记录赛场过程。</w:t>
      </w:r>
    </w:p>
    <w:p>
      <w:pPr>
        <w:autoSpaceDE/>
        <w:autoSpaceDN/>
        <w:adjustRightInd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kern w:val="2"/>
          <w:sz w:val="32"/>
          <w:szCs w:val="32"/>
          <w:lang w:val="en-US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bidi="ar-SA"/>
        </w:rPr>
        <w:t>十六、申诉与仲裁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1.参赛队仅限对不符合竞赛规定的设备、工具、软件，有失公正的评判、奖励，以及对工作人员的违规行为等可提出申诉。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2.申诉应在竞赛结束后60分钟内提出，超过时效将不予受理。申诉时，应按照规定的程序由参赛队领队向相应赛项仲裁工作组递交书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面申诉报告。报告应对申诉事件的现象、发生的时间、涉及到的人员、申诉依据与理由等进行充分、实事求是的叙述。事实依据不充分、仅凭主观臆断的申诉不予受理。申诉报告须由申诉的参赛选手、领队签名。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3.赛项仲裁工作组收到申诉报告后，应根据申诉事由进行审查，2小时内通知申诉方，告知申诉处理结果。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4.申诉人不得无故拒不接受处理结果，不允许采取过激行为刁难、攻击工作人员，否则视为放弃申诉。申诉人不满意赛项仲裁工作组的处理结果的，可向大赛仲裁委员会提出复议申请。大赛仲裁委员会在接到复议申请后的1天内组织复议，并及时反馈复议结果。大赛仲裁委员会的仲裁结果为最终结果。</w:t>
      </w:r>
    </w:p>
    <w:sectPr>
      <w:footerReference r:id="rId3" w:type="default"/>
      <w:pgSz w:w="11910" w:h="16840"/>
      <w:pgMar w:top="1360" w:right="820" w:bottom="1200" w:left="1360" w:header="0" w:footer="100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 w:firstLine="0"/>
      <w:rPr>
        <w:sz w:val="20"/>
        <w:lang w:val="en-US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2621280</wp:posOffset>
              </wp:positionH>
              <wp:positionV relativeFrom="paragraph">
                <wp:posOffset>-121920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>第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24</w:t>
                          </w:r>
                          <w:r>
                            <w:fldChar w:fldCharType="end"/>
                          </w:r>
                          <w:r>
                            <w:t>页共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25</w:t>
                          </w:r>
                          <w:r>
                            <w:fldChar w:fldCharType="end"/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6.4pt;margin-top:-9.6pt;height:144pt;width:144pt;mso-position-horizontal-relative:margin;mso-wrap-style:none;z-index:251660288;mso-width-relative:page;mso-height-relative:page;" filled="f" stroked="f" coordsize="21600,21600" o:gfxdata="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iITs3YAAAACwEAAA8AAAAAAAAAAQAgAAAAIgAAAGRycy9kb3ducmV2LnhtbFBLAQIU&#10;ABQAAAAIAIdO4kCxNXjQLAIAAFcEAAAOAAAAAAAAAAEAIAAAACc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>第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24</w:t>
                    </w:r>
                    <w:r>
                      <w:fldChar w:fldCharType="end"/>
                    </w:r>
                    <w:r>
                      <w:t>页共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25</w:t>
                    </w:r>
                    <w:r>
                      <w:fldChar w:fldCharType="end"/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/>
      </w:rPr>
      <w:t>5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1"/>
      <w:numFmt w:val="decimal"/>
      <w:lvlText w:val="%1."/>
      <w:lvlJc w:val="left"/>
      <w:pPr>
        <w:ind w:left="1069" w:hanging="283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926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93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59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26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9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59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26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993" w:hanging="283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226" w:hanging="283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70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21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1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22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23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74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825" w:hanging="283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1069" w:hanging="283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926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93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59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26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9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59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26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993" w:hanging="283"/>
      </w:pPr>
      <w:rPr>
        <w:rFonts w:hint="default"/>
        <w:lang w:val="zh-CN" w:eastAsia="zh-CN" w:bidi="zh-CN"/>
      </w:rPr>
    </w:lvl>
  </w:abstractNum>
  <w:abstractNum w:abstractNumId="3">
    <w:nsid w:val="C8879AEF"/>
    <w:multiLevelType w:val="multilevel"/>
    <w:tmpl w:val="C8879AEF"/>
    <w:lvl w:ilvl="0" w:tentative="0">
      <w:start w:val="1"/>
      <w:numFmt w:val="decimal"/>
      <w:lvlText w:val="%1."/>
      <w:lvlJc w:val="left"/>
      <w:pPr>
        <w:ind w:left="1069" w:hanging="283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926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93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59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26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9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59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26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993" w:hanging="283"/>
      </w:pPr>
      <w:rPr>
        <w:rFonts w:hint="default"/>
        <w:lang w:val="zh-CN" w:eastAsia="zh-CN" w:bidi="zh-CN"/>
      </w:rPr>
    </w:lvl>
  </w:abstractNum>
  <w:abstractNum w:abstractNumId="4">
    <w:nsid w:val="CF092B84"/>
    <w:multiLevelType w:val="multilevel"/>
    <w:tmpl w:val="CF092B84"/>
    <w:lvl w:ilvl="0" w:tentative="0">
      <w:start w:val="0"/>
      <w:numFmt w:val="bullet"/>
      <w:lvlText w:val=""/>
      <w:lvlJc w:val="left"/>
      <w:pPr>
        <w:ind w:left="1206" w:hanging="281"/>
      </w:pPr>
      <w:rPr>
        <w:rFonts w:hint="default" w:ascii="Wingdings" w:hAnsi="Wingdings" w:eastAsia="Wingdings" w:cs="Wingdings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52" w:hanging="2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905" w:hanging="2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57" w:hanging="2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10" w:hanging="2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63" w:hanging="2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15" w:hanging="2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68" w:hanging="2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21" w:hanging="281"/>
      </w:pPr>
      <w:rPr>
        <w:rFonts w:hint="default"/>
        <w:lang w:val="zh-CN" w:eastAsia="zh-CN" w:bidi="zh-CN"/>
      </w:rPr>
    </w:lvl>
  </w:abstractNum>
  <w:abstractNum w:abstractNumId="5">
    <w:nsid w:val="DCBA6B53"/>
    <w:multiLevelType w:val="multilevel"/>
    <w:tmpl w:val="DCBA6B53"/>
    <w:lvl w:ilvl="0" w:tentative="0">
      <w:start w:val="1"/>
      <w:numFmt w:val="decimal"/>
      <w:lvlText w:val="%1."/>
      <w:lvlJc w:val="left"/>
      <w:pPr>
        <w:ind w:left="226" w:hanging="283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70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21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1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22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23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74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825" w:hanging="283"/>
      </w:pPr>
      <w:rPr>
        <w:rFonts w:hint="default"/>
        <w:lang w:val="zh-CN" w:eastAsia="zh-CN" w:bidi="zh-CN"/>
      </w:rPr>
    </w:lvl>
  </w:abstractNum>
  <w:abstractNum w:abstractNumId="6">
    <w:nsid w:val="0248C179"/>
    <w:multiLevelType w:val="multilevel"/>
    <w:tmpl w:val="0248C179"/>
    <w:lvl w:ilvl="0" w:tentative="0">
      <w:start w:val="1"/>
      <w:numFmt w:val="decimal"/>
      <w:lvlText w:val="%1."/>
      <w:lvlJc w:val="left"/>
      <w:pPr>
        <w:ind w:left="226" w:hanging="283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70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21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1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22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23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74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825" w:hanging="283"/>
      </w:pPr>
      <w:rPr>
        <w:rFonts w:hint="default"/>
        <w:lang w:val="zh-CN" w:eastAsia="zh-CN" w:bidi="zh-CN"/>
      </w:rPr>
    </w:lvl>
  </w:abstractNum>
  <w:abstractNum w:abstractNumId="7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226" w:hanging="701"/>
      </w:pPr>
      <w:rPr>
        <w:rFonts w:hint="default" w:ascii="宋体" w:hAnsi="宋体" w:eastAsia="宋体" w:cs="宋体"/>
        <w:spacing w:val="0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70" w:hanging="7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21" w:hanging="7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1" w:hanging="7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22" w:hanging="7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7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23" w:hanging="7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74" w:hanging="7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825" w:hanging="701"/>
      </w:pPr>
      <w:rPr>
        <w:rFonts w:hint="default"/>
        <w:lang w:val="zh-CN" w:eastAsia="zh-CN" w:bidi="zh-CN"/>
      </w:rPr>
    </w:lvl>
  </w:abstractNum>
  <w:abstractNum w:abstractNumId="8">
    <w:nsid w:val="2470EC97"/>
    <w:multiLevelType w:val="multilevel"/>
    <w:tmpl w:val="2470EC97"/>
    <w:lvl w:ilvl="0" w:tentative="0">
      <w:start w:val="1"/>
      <w:numFmt w:val="decimal"/>
      <w:lvlText w:val="%1."/>
      <w:lvlJc w:val="left"/>
      <w:pPr>
        <w:ind w:left="226" w:hanging="283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70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21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1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22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23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74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825" w:hanging="283"/>
      </w:pPr>
      <w:rPr>
        <w:rFonts w:hint="default"/>
        <w:lang w:val="zh-CN" w:eastAsia="zh-CN" w:bidi="zh-CN"/>
      </w:rPr>
    </w:lvl>
  </w:abstractNum>
  <w:abstractNum w:abstractNumId="9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1069" w:hanging="283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926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93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59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26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9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59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26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993" w:hanging="283"/>
      </w:pPr>
      <w:rPr>
        <w:rFonts w:hint="default"/>
        <w:lang w:val="zh-CN" w:eastAsia="zh-CN" w:bidi="zh-CN"/>
      </w:rPr>
    </w:lvl>
  </w:abstractNum>
  <w:abstractNum w:abstractNumId="10">
    <w:nsid w:val="2A8F537B"/>
    <w:multiLevelType w:val="multilevel"/>
    <w:tmpl w:val="2A8F537B"/>
    <w:lvl w:ilvl="0" w:tentative="0">
      <w:start w:val="1"/>
      <w:numFmt w:val="decimal"/>
      <w:lvlText w:val="%1."/>
      <w:lvlJc w:val="left"/>
      <w:pPr>
        <w:ind w:left="1206" w:hanging="420"/>
      </w:pPr>
      <w:rPr>
        <w:rFonts w:hint="default"/>
        <w:w w:val="10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52" w:hanging="42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905" w:hanging="4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57" w:hanging="4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10" w:hanging="4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63" w:hanging="4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15" w:hanging="4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68" w:hanging="4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21" w:hanging="420"/>
      </w:pPr>
      <w:rPr>
        <w:rFonts w:hint="default"/>
        <w:lang w:val="zh-CN" w:eastAsia="zh-CN" w:bidi="zh-CN"/>
      </w:rPr>
    </w:lvl>
  </w:abstractNum>
  <w:abstractNum w:abstractNumId="11">
    <w:nsid w:val="5A241D34"/>
    <w:multiLevelType w:val="multilevel"/>
    <w:tmpl w:val="5A241D34"/>
    <w:lvl w:ilvl="0" w:tentative="0">
      <w:start w:val="1"/>
      <w:numFmt w:val="decimal"/>
      <w:lvlText w:val="（%1）"/>
      <w:lvlJc w:val="left"/>
      <w:pPr>
        <w:ind w:left="226" w:hanging="702"/>
      </w:pPr>
      <w:rPr>
        <w:rFonts w:hint="default" w:ascii="宋体" w:hAnsi="宋体" w:eastAsia="宋体" w:cs="宋体"/>
        <w:spacing w:val="-10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70" w:hanging="70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21" w:hanging="70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1" w:hanging="70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22" w:hanging="70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70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23" w:hanging="70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74" w:hanging="70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825" w:hanging="702"/>
      </w:pPr>
      <w:rPr>
        <w:rFonts w:hint="default"/>
        <w:lang w:val="zh-CN" w:eastAsia="zh-CN" w:bidi="zh-CN"/>
      </w:rPr>
    </w:lvl>
  </w:abstractNum>
  <w:abstractNum w:abstractNumId="12">
    <w:nsid w:val="72183CF9"/>
    <w:multiLevelType w:val="multilevel"/>
    <w:tmpl w:val="72183CF9"/>
    <w:lvl w:ilvl="0" w:tentative="0">
      <w:start w:val="1"/>
      <w:numFmt w:val="decimal"/>
      <w:lvlText w:val="%1."/>
      <w:lvlJc w:val="left"/>
      <w:pPr>
        <w:ind w:left="226" w:hanging="283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70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21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1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22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23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74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825" w:hanging="283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9"/>
  </w:num>
  <w:num w:numId="6">
    <w:abstractNumId w:val="12"/>
  </w:num>
  <w:num w:numId="7">
    <w:abstractNumId w:val="6"/>
  </w:num>
  <w:num w:numId="8">
    <w:abstractNumId w:val="0"/>
  </w:num>
  <w:num w:numId="9">
    <w:abstractNumId w:val="10"/>
  </w:num>
  <w:num w:numId="10">
    <w:abstractNumId w:val="11"/>
  </w:num>
  <w:num w:numId="11">
    <w:abstractNumId w:val="3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zZGI0NWJmNTZkNTU2NGVjMmZkMGQ4MjUwNGFmNjMifQ=="/>
    <w:docVar w:name="KSO_WPS_MARK_KEY" w:val="f99864f8-b8b3-4eb6-b3c3-b461001cafb2"/>
  </w:docVars>
  <w:rsids>
    <w:rsidRoot w:val="00CB49DF"/>
    <w:rsid w:val="0007339F"/>
    <w:rsid w:val="000B5DD0"/>
    <w:rsid w:val="000C1EFB"/>
    <w:rsid w:val="001F6C43"/>
    <w:rsid w:val="002D2573"/>
    <w:rsid w:val="004E25F8"/>
    <w:rsid w:val="00537A3D"/>
    <w:rsid w:val="00832E34"/>
    <w:rsid w:val="009602F7"/>
    <w:rsid w:val="00B30BC0"/>
    <w:rsid w:val="00B53A2B"/>
    <w:rsid w:val="00CB49DF"/>
    <w:rsid w:val="00D60656"/>
    <w:rsid w:val="00F21BAF"/>
    <w:rsid w:val="00FF1F4D"/>
    <w:rsid w:val="02E95C29"/>
    <w:rsid w:val="030D2310"/>
    <w:rsid w:val="046441B2"/>
    <w:rsid w:val="04D97241"/>
    <w:rsid w:val="0A860E63"/>
    <w:rsid w:val="0A921402"/>
    <w:rsid w:val="0B2D278F"/>
    <w:rsid w:val="0D9A66F9"/>
    <w:rsid w:val="12BA7692"/>
    <w:rsid w:val="12F751B1"/>
    <w:rsid w:val="17571A44"/>
    <w:rsid w:val="1A9F17BD"/>
    <w:rsid w:val="1BD46D7F"/>
    <w:rsid w:val="1BF629FD"/>
    <w:rsid w:val="1CB5632E"/>
    <w:rsid w:val="21DC13D3"/>
    <w:rsid w:val="23127CE9"/>
    <w:rsid w:val="261A589E"/>
    <w:rsid w:val="28E15521"/>
    <w:rsid w:val="2C302A48"/>
    <w:rsid w:val="2D7B23E8"/>
    <w:rsid w:val="307849BD"/>
    <w:rsid w:val="309B0909"/>
    <w:rsid w:val="31F7522F"/>
    <w:rsid w:val="327A06C8"/>
    <w:rsid w:val="3775714D"/>
    <w:rsid w:val="39175282"/>
    <w:rsid w:val="3987788A"/>
    <w:rsid w:val="399603AA"/>
    <w:rsid w:val="39C72511"/>
    <w:rsid w:val="3BA93C8E"/>
    <w:rsid w:val="3BD92649"/>
    <w:rsid w:val="3C12049C"/>
    <w:rsid w:val="3C326368"/>
    <w:rsid w:val="3CC65767"/>
    <w:rsid w:val="3ECB1EF3"/>
    <w:rsid w:val="40CD665F"/>
    <w:rsid w:val="412E5F0D"/>
    <w:rsid w:val="46D156FE"/>
    <w:rsid w:val="47867568"/>
    <w:rsid w:val="487C66FD"/>
    <w:rsid w:val="48BF55A2"/>
    <w:rsid w:val="4C670088"/>
    <w:rsid w:val="51E51D5A"/>
    <w:rsid w:val="52923265"/>
    <w:rsid w:val="536D782E"/>
    <w:rsid w:val="53AD6E1C"/>
    <w:rsid w:val="56FE711B"/>
    <w:rsid w:val="57091C31"/>
    <w:rsid w:val="585F1E3B"/>
    <w:rsid w:val="592B120E"/>
    <w:rsid w:val="5A455061"/>
    <w:rsid w:val="5AA56B64"/>
    <w:rsid w:val="5ADF7AD1"/>
    <w:rsid w:val="5FA10F8B"/>
    <w:rsid w:val="672D4719"/>
    <w:rsid w:val="6753415E"/>
    <w:rsid w:val="67921ED0"/>
    <w:rsid w:val="69E943C2"/>
    <w:rsid w:val="6D633281"/>
    <w:rsid w:val="6D6D3354"/>
    <w:rsid w:val="6DDD3EEA"/>
    <w:rsid w:val="6E143AB9"/>
    <w:rsid w:val="71E35433"/>
    <w:rsid w:val="72AB3532"/>
    <w:rsid w:val="73303965"/>
    <w:rsid w:val="733F4A6E"/>
    <w:rsid w:val="785A3DC3"/>
    <w:rsid w:val="78F817C4"/>
    <w:rsid w:val="7A744635"/>
    <w:rsid w:val="7D5F100E"/>
    <w:rsid w:val="7ED3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788"/>
      <w:outlineLvl w:val="0"/>
    </w:pPr>
    <w:rPr>
      <w:rFonts w:ascii="Microsoft JhengHei" w:hAnsi="Microsoft JhengHei" w:eastAsia="Microsoft JhengHei" w:cs="Microsoft JhengHe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066" w:hanging="281"/>
    </w:pPr>
    <w:rPr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6">
    <w:name w:val="Body Text First Indent"/>
    <w:basedOn w:val="3"/>
    <w:unhideWhenUsed/>
    <w:qFormat/>
    <w:uiPriority w:val="99"/>
    <w:pPr>
      <w:spacing w:after="120" w:line="360" w:lineRule="auto"/>
      <w:ind w:firstLine="420" w:firstLineChars="100"/>
    </w:pPr>
    <w:rPr>
      <w:rFonts w:ascii="微软雅黑" w:hAnsi="微软雅黑" w:eastAsia="微软雅黑" w:cs="微软雅黑"/>
      <w:sz w:val="21"/>
      <w:szCs w:val="21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before="186"/>
      <w:ind w:left="1066" w:hanging="281"/>
    </w:pPr>
  </w:style>
  <w:style w:type="paragraph" w:customStyle="1" w:styleId="11">
    <w:name w:val="Table Paragraph"/>
    <w:basedOn w:val="1"/>
    <w:qFormat/>
    <w:uiPriority w:val="1"/>
  </w:style>
  <w:style w:type="paragraph" w:customStyle="1" w:styleId="12">
    <w:name w:val="无列表1"/>
    <w:semiHidden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3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10968</Words>
  <Characters>12523</Characters>
  <Lines>94</Lines>
  <Paragraphs>26</Paragraphs>
  <TotalTime>81</TotalTime>
  <ScaleCrop>false</ScaleCrop>
  <LinksUpToDate>false</LinksUpToDate>
  <CharactersWithSpaces>12535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2022-08-06T09:48:00Z</dcterms:created>
  <dc:creator>zeng shao</dc:creator>
  <cp:lastModifiedBy>穆晓龙</cp:lastModifiedBy>
  <dcterms:modified xsi:type="dcterms:W3CDTF">2024-11-19T07:39:05Z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2022-08-06T00:00:00Z</vt:filetime>
  </property>
  <property fmtid="{D5CDD505-2E9C-101B-9397-08002B2CF9AE}" pid="5" name="KSOProductBuildVer">
    <vt:lpwstr>2052-11.1.0.13703</vt:lpwstr>
  </property>
  <property fmtid="{D5CDD505-2E9C-101B-9397-08002B2CF9AE}" pid="6" name="ICV">
    <vt:lpwstr>708306BBEC0240F8A01CB8CAFB1BA0AA</vt:lpwstr>
  </property>
</Properties>
</file>