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F766C43">
      <w:pPr>
        <w:spacing w:line="500" w:lineRule="exact"/>
        <w:jc w:val="center"/>
        <w:rPr>
          <w:rFonts w:cs="黑体" w:eastAsiaTheme="minorHAnsi"/>
          <w:b/>
          <w:bCs/>
          <w:sz w:val="36"/>
          <w:szCs w:val="36"/>
        </w:rPr>
      </w:pPr>
      <w:r>
        <w:rPr>
          <w:rFonts w:cs="黑体" w:eastAsiaTheme="minorHAnsi"/>
          <w:b/>
          <w:bCs/>
          <w:sz w:val="36"/>
          <w:szCs w:val="36"/>
        </w:rPr>
        <w:t>202</w:t>
      </w:r>
      <w:r>
        <w:rPr>
          <w:rFonts w:hint="eastAsia" w:cs="黑体" w:eastAsiaTheme="minorHAnsi"/>
          <w:b/>
          <w:bCs/>
          <w:sz w:val="36"/>
          <w:szCs w:val="36"/>
          <w:lang w:val="en-US" w:eastAsia="zh-CN"/>
        </w:rPr>
        <w:t>5</w:t>
      </w:r>
      <w:bookmarkStart w:id="2" w:name="_GoBack"/>
      <w:bookmarkEnd w:id="2"/>
      <w:r>
        <w:rPr>
          <w:rFonts w:cs="黑体" w:eastAsiaTheme="minorHAnsi"/>
          <w:b/>
          <w:bCs/>
          <w:sz w:val="36"/>
          <w:szCs w:val="36"/>
        </w:rPr>
        <w:t>年河北省职业院校技能大赛“</w:t>
      </w:r>
      <w:r>
        <w:rPr>
          <w:rFonts w:hint="eastAsia" w:cs="黑体" w:eastAsiaTheme="minorHAnsi"/>
          <w:b/>
          <w:bCs/>
          <w:sz w:val="36"/>
          <w:szCs w:val="36"/>
        </w:rPr>
        <w:t>生产单元数字化改造</w:t>
      </w:r>
      <w:r>
        <w:rPr>
          <w:rFonts w:cs="黑体" w:eastAsiaTheme="minorHAnsi"/>
          <w:b/>
          <w:bCs/>
          <w:sz w:val="36"/>
          <w:szCs w:val="36"/>
        </w:rPr>
        <w:t>”（高职组）赛项比赛规程</w:t>
      </w:r>
    </w:p>
    <w:p w14:paraId="5D24403F">
      <w:pPr>
        <w:spacing w:line="500" w:lineRule="exact"/>
        <w:rPr>
          <w:rFonts w:ascii="黑体" w:eastAsia="黑体" w:cs="黑体"/>
          <w:b/>
          <w:bCs/>
          <w:sz w:val="36"/>
          <w:szCs w:val="36"/>
        </w:rPr>
      </w:pPr>
    </w:p>
    <w:p w14:paraId="52C19F08">
      <w:pPr>
        <w:spacing w:line="500" w:lineRule="exact"/>
        <w:rPr>
          <w:rFonts w:ascii="宋体" w:hAnsi="Times New Roman" w:eastAsia="宋体" w:cs="宋体"/>
          <w:b/>
          <w:bCs/>
          <w:spacing w:val="-2"/>
          <w:kern w:val="0"/>
          <w:sz w:val="28"/>
          <w:szCs w:val="28"/>
        </w:rPr>
      </w:pPr>
      <w:r>
        <w:rPr>
          <w:rFonts w:hint="eastAsia" w:ascii="宋体" w:hAnsi="Times New Roman" w:eastAsia="宋体" w:cs="宋体"/>
          <w:b/>
          <w:bCs/>
          <w:spacing w:val="-2"/>
          <w:kern w:val="0"/>
          <w:sz w:val="28"/>
          <w:szCs w:val="28"/>
        </w:rPr>
        <w:t>一、赛项名称</w:t>
      </w:r>
    </w:p>
    <w:p w14:paraId="68FED031">
      <w:pPr>
        <w:pStyle w:val="5"/>
        <w:kinsoku w:val="0"/>
        <w:overflowPunct w:val="0"/>
        <w:spacing w:before="0" w:line="500" w:lineRule="exact"/>
        <w:ind w:left="0" w:firstLine="0"/>
        <w:jc w:val="both"/>
        <w:rPr>
          <w:spacing w:val="-2"/>
        </w:rPr>
      </w:pPr>
      <w:r>
        <w:rPr>
          <w:rFonts w:hint="eastAsia"/>
          <w:spacing w:val="-2"/>
        </w:rPr>
        <w:t>赛项名称：生产单元数字化改造</w:t>
      </w:r>
    </w:p>
    <w:p w14:paraId="1285E349">
      <w:pPr>
        <w:pStyle w:val="5"/>
        <w:kinsoku w:val="0"/>
        <w:overflowPunct w:val="0"/>
        <w:spacing w:before="0" w:line="500" w:lineRule="exact"/>
        <w:ind w:left="0" w:firstLine="0"/>
      </w:pPr>
      <w:r>
        <w:rPr>
          <w:rFonts w:hint="eastAsia"/>
        </w:rPr>
        <w:t>英文名称：</w:t>
      </w:r>
      <w:r>
        <w:t>Digital transformation of production units</w:t>
      </w:r>
    </w:p>
    <w:p w14:paraId="356D282F">
      <w:pPr>
        <w:pStyle w:val="5"/>
        <w:kinsoku w:val="0"/>
        <w:overflowPunct w:val="0"/>
        <w:spacing w:before="0" w:line="500" w:lineRule="exact"/>
        <w:ind w:left="0" w:firstLine="0"/>
      </w:pPr>
      <w:r>
        <w:rPr>
          <w:rFonts w:hint="eastAsia"/>
        </w:rPr>
        <w:t>赛项组别：高职组</w:t>
      </w:r>
    </w:p>
    <w:p w14:paraId="37AB638C">
      <w:pPr>
        <w:spacing w:line="500" w:lineRule="exact"/>
        <w:rPr>
          <w:rFonts w:ascii="宋体" w:hAnsi="Times New Roman" w:eastAsia="宋体" w:cs="宋体"/>
          <w:kern w:val="0"/>
          <w:sz w:val="28"/>
          <w:szCs w:val="28"/>
        </w:rPr>
      </w:pPr>
      <w:r>
        <w:rPr>
          <w:rFonts w:hint="eastAsia" w:ascii="宋体" w:hAnsi="Times New Roman" w:eastAsia="宋体" w:cs="宋体"/>
          <w:kern w:val="0"/>
          <w:sz w:val="28"/>
          <w:szCs w:val="28"/>
        </w:rPr>
        <w:t>赛项归属产业：装备制造类</w:t>
      </w:r>
    </w:p>
    <w:p w14:paraId="4516CED8">
      <w:pPr>
        <w:spacing w:line="500" w:lineRule="exact"/>
        <w:rPr>
          <w:rFonts w:ascii="宋体" w:hAnsi="Times New Roman" w:eastAsia="宋体" w:cs="宋体"/>
          <w:b/>
          <w:bCs/>
          <w:spacing w:val="-2"/>
          <w:kern w:val="0"/>
          <w:sz w:val="28"/>
          <w:szCs w:val="28"/>
        </w:rPr>
      </w:pPr>
      <w:r>
        <w:rPr>
          <w:rFonts w:hint="eastAsia" w:ascii="宋体" w:hAnsi="Times New Roman" w:eastAsia="宋体" w:cs="宋体"/>
          <w:b/>
          <w:bCs/>
          <w:spacing w:val="-2"/>
          <w:kern w:val="0"/>
          <w:sz w:val="28"/>
          <w:szCs w:val="28"/>
        </w:rPr>
        <w:t>二、竞赛目的</w:t>
      </w:r>
    </w:p>
    <w:p w14:paraId="6241A7B5">
      <w:pPr>
        <w:spacing w:line="500" w:lineRule="exact"/>
        <w:ind w:firstLine="560" w:firstLineChars="200"/>
        <w:rPr>
          <w:rFonts w:ascii="宋体" w:hAnsi="宋体" w:eastAsia="宋体"/>
          <w:sz w:val="28"/>
          <w:szCs w:val="28"/>
        </w:rPr>
      </w:pPr>
      <w:r>
        <w:rPr>
          <w:rFonts w:hint="eastAsia" w:ascii="宋体" w:hAnsi="宋体" w:eastAsia="宋体"/>
          <w:sz w:val="28"/>
          <w:szCs w:val="28"/>
        </w:rPr>
        <w:t>本赛项贯彻落实党的二十大“推进新型工业化，加快建设制造强国、网络强国”精神</w:t>
      </w:r>
      <w:r>
        <w:rPr>
          <w:rFonts w:ascii="宋体" w:hAnsi="宋体" w:eastAsia="宋体"/>
          <w:sz w:val="28"/>
          <w:szCs w:val="28"/>
        </w:rPr>
        <w:t>,对标“加快数字化发展，建设数字中国”的“十</w:t>
      </w:r>
      <w:r>
        <w:rPr>
          <w:rFonts w:hint="eastAsia" w:ascii="宋体" w:hAnsi="宋体" w:eastAsia="宋体"/>
          <w:sz w:val="28"/>
          <w:szCs w:val="28"/>
        </w:rPr>
        <w:t>四五”发展规划，面向装备制造业数字化转型升级需求，培养具备劳模精神、劳动精神、工匠精神、团队协作、安全意识等职业素养的“生产单元数字化改造”的懂工艺、精操作、会管理、善协调、能创新的工程技术技能人才。实现中小微企业离散制造生产单元智能化、数字化生产，助力装备制造业的高质量发展。重点考核师生利用智能设备</w:t>
      </w:r>
      <w:r>
        <w:rPr>
          <w:rFonts w:ascii="宋体" w:hAnsi="宋体" w:eastAsia="宋体"/>
          <w:sz w:val="28"/>
          <w:szCs w:val="28"/>
        </w:rPr>
        <w:t>(如高端装备、智能机器人、智能视觉)和数字化技术(如MES、SCADA、RFID、数字孪生、工业智能网关、工业互联网)进行生产单元数字化</w:t>
      </w:r>
      <w:r>
        <w:rPr>
          <w:rFonts w:hint="eastAsia" w:ascii="宋体" w:hAnsi="宋体" w:eastAsia="宋体"/>
          <w:sz w:val="28"/>
          <w:szCs w:val="28"/>
        </w:rPr>
        <w:t>改造的共性技术技能和系统化思维解决现场复杂工程技术的实践能力。有效促进产教协同育人，引领机械制造及自动化、数控技术、机电设备技术、智能制造装备技术、机电一体化技术、智能机电技术、智能控制技术、智能机器人技术、工业机器人技术、电气自动化技术、工业互联网应用等专业建设与教学改革，推动专业的跨界融合。</w:t>
      </w:r>
    </w:p>
    <w:p w14:paraId="6228F67B">
      <w:pPr>
        <w:spacing w:line="500" w:lineRule="exact"/>
        <w:rPr>
          <w:rFonts w:ascii="宋体" w:hAnsi="宋体" w:eastAsia="宋体"/>
          <w:b/>
          <w:bCs/>
          <w:spacing w:val="-5"/>
          <w:sz w:val="28"/>
          <w:szCs w:val="28"/>
        </w:rPr>
      </w:pPr>
      <w:r>
        <w:rPr>
          <w:rFonts w:hint="eastAsia" w:ascii="宋体" w:hAnsi="宋体" w:eastAsia="宋体"/>
          <w:b/>
          <w:bCs/>
          <w:spacing w:val="-5"/>
          <w:sz w:val="28"/>
          <w:szCs w:val="28"/>
        </w:rPr>
        <w:t>三、竞赛内容</w:t>
      </w:r>
    </w:p>
    <w:p w14:paraId="43A9C61E">
      <w:pPr>
        <w:spacing w:line="500" w:lineRule="exact"/>
        <w:ind w:firstLine="540" w:firstLineChars="200"/>
        <w:rPr>
          <w:rFonts w:ascii="宋体" w:hAnsi="宋体" w:eastAsia="宋体"/>
          <w:spacing w:val="-5"/>
          <w:sz w:val="28"/>
          <w:szCs w:val="28"/>
        </w:rPr>
      </w:pPr>
      <w:r>
        <w:rPr>
          <w:rFonts w:ascii="宋体" w:hAnsi="宋体" w:eastAsia="宋体"/>
          <w:spacing w:val="-5"/>
          <w:sz w:val="28"/>
          <w:szCs w:val="28"/>
        </w:rPr>
        <w:t>(一)赛项职业典型工作任务</w:t>
      </w:r>
    </w:p>
    <w:p w14:paraId="5C0BAF58">
      <w:pPr>
        <w:spacing w:line="500" w:lineRule="exact"/>
        <w:ind w:firstLine="540" w:firstLineChars="200"/>
        <w:rPr>
          <w:rFonts w:ascii="宋体" w:hAnsi="宋体" w:eastAsia="宋体"/>
          <w:spacing w:val="-5"/>
          <w:sz w:val="28"/>
          <w:szCs w:val="28"/>
        </w:rPr>
      </w:pPr>
      <w:r>
        <w:rPr>
          <w:rFonts w:hint="eastAsia" w:ascii="宋体" w:hAnsi="宋体" w:eastAsia="宋体"/>
          <w:spacing w:val="-5"/>
          <w:sz w:val="28"/>
          <w:szCs w:val="28"/>
        </w:rPr>
        <w:t>面向智能化工厂系统集成、信息管理、应用研究和生产管理、智能控制系统集成应用、车间智能控制系统管理、生产设备安装、调试、维护和维修、自动化系统、工业网络、工业制造的安装调试、生产制造、维修维护、技术支持等岗位的典型工作任务，包括：</w:t>
      </w:r>
    </w:p>
    <w:p w14:paraId="41C7E890">
      <w:pPr>
        <w:spacing w:line="500" w:lineRule="exact"/>
        <w:ind w:firstLine="540" w:firstLineChars="200"/>
        <w:rPr>
          <w:rFonts w:ascii="宋体" w:hAnsi="宋体" w:eastAsia="宋体"/>
          <w:spacing w:val="-5"/>
          <w:sz w:val="28"/>
          <w:szCs w:val="28"/>
        </w:rPr>
      </w:pPr>
      <w:r>
        <w:rPr>
          <w:rFonts w:ascii="宋体" w:hAnsi="宋体" w:eastAsia="宋体"/>
          <w:spacing w:val="-5"/>
          <w:sz w:val="28"/>
          <w:szCs w:val="28"/>
        </w:rPr>
        <w:t>1.工业数字化设计与制造。</w:t>
      </w:r>
    </w:p>
    <w:p w14:paraId="2D31A54B">
      <w:pPr>
        <w:spacing w:line="500" w:lineRule="exact"/>
        <w:ind w:firstLine="540" w:firstLineChars="200"/>
        <w:rPr>
          <w:rFonts w:ascii="宋体" w:hAnsi="宋体" w:eastAsia="宋体"/>
          <w:spacing w:val="-5"/>
          <w:sz w:val="28"/>
          <w:szCs w:val="28"/>
        </w:rPr>
      </w:pPr>
      <w:r>
        <w:rPr>
          <w:rFonts w:ascii="宋体" w:hAnsi="宋体" w:eastAsia="宋体"/>
          <w:spacing w:val="-5"/>
          <w:sz w:val="28"/>
          <w:szCs w:val="28"/>
        </w:rPr>
        <w:t>2.工业网络集成、数据采集、系统监控。</w:t>
      </w:r>
    </w:p>
    <w:p w14:paraId="649F04F0">
      <w:pPr>
        <w:spacing w:line="500" w:lineRule="exact"/>
        <w:ind w:firstLine="540" w:firstLineChars="200"/>
        <w:rPr>
          <w:rFonts w:ascii="宋体" w:hAnsi="宋体" w:eastAsia="宋体"/>
          <w:spacing w:val="-5"/>
          <w:sz w:val="28"/>
          <w:szCs w:val="28"/>
        </w:rPr>
      </w:pPr>
      <w:r>
        <w:rPr>
          <w:rFonts w:ascii="宋体" w:hAnsi="宋体" w:eastAsia="宋体"/>
          <w:spacing w:val="-5"/>
          <w:sz w:val="28"/>
          <w:szCs w:val="28"/>
        </w:rPr>
        <w:t>3.生产单元数字化改造方案的制定及安装、调试、维护。</w:t>
      </w:r>
    </w:p>
    <w:p w14:paraId="47AF9EDD">
      <w:pPr>
        <w:spacing w:line="500" w:lineRule="exact"/>
        <w:ind w:firstLine="540" w:firstLineChars="200"/>
        <w:rPr>
          <w:rFonts w:ascii="宋体" w:hAnsi="宋体" w:eastAsia="宋体"/>
          <w:spacing w:val="-5"/>
          <w:sz w:val="28"/>
          <w:szCs w:val="28"/>
        </w:rPr>
      </w:pPr>
      <w:r>
        <w:rPr>
          <w:rFonts w:ascii="宋体" w:hAnsi="宋体" w:eastAsia="宋体"/>
          <w:spacing w:val="-5"/>
          <w:sz w:val="28"/>
          <w:szCs w:val="28"/>
        </w:rPr>
        <w:t>4.智能制造控制系统的开发及集成应用，工艺文件和流程的编</w:t>
      </w:r>
      <w:r>
        <w:rPr>
          <w:rFonts w:hint="eastAsia" w:ascii="宋体" w:hAnsi="宋体" w:eastAsia="宋体"/>
          <w:spacing w:val="-5"/>
          <w:sz w:val="28"/>
          <w:szCs w:val="28"/>
        </w:rPr>
        <w:t>制、实施等。</w:t>
      </w:r>
    </w:p>
    <w:p w14:paraId="04966A94">
      <w:pPr>
        <w:spacing w:line="500" w:lineRule="exact"/>
        <w:ind w:firstLine="540" w:firstLineChars="200"/>
        <w:rPr>
          <w:rFonts w:ascii="宋体" w:hAnsi="宋体" w:eastAsia="宋体"/>
          <w:spacing w:val="-5"/>
          <w:sz w:val="28"/>
          <w:szCs w:val="28"/>
        </w:rPr>
      </w:pPr>
      <w:r>
        <w:rPr>
          <w:rFonts w:ascii="宋体" w:hAnsi="宋体" w:eastAsia="宋体"/>
          <w:spacing w:val="-5"/>
          <w:sz w:val="28"/>
          <w:szCs w:val="28"/>
        </w:rPr>
        <w:t>(二)赛项检验选手专业核心能力与职业综合能力</w:t>
      </w:r>
    </w:p>
    <w:p w14:paraId="198375D4">
      <w:pPr>
        <w:spacing w:line="500" w:lineRule="exact"/>
        <w:ind w:firstLine="540" w:firstLineChars="200"/>
        <w:rPr>
          <w:rFonts w:ascii="宋体" w:hAnsi="宋体" w:eastAsia="宋体"/>
          <w:spacing w:val="-5"/>
          <w:sz w:val="28"/>
          <w:szCs w:val="28"/>
        </w:rPr>
      </w:pPr>
      <w:r>
        <w:rPr>
          <w:rFonts w:ascii="宋体" w:hAnsi="宋体" w:eastAsia="宋体"/>
          <w:spacing w:val="-5"/>
          <w:sz w:val="28"/>
          <w:szCs w:val="28"/>
        </w:rPr>
        <w:t>1.设计生产单元数字化改造方案。</w:t>
      </w:r>
    </w:p>
    <w:p w14:paraId="73BAD36F">
      <w:pPr>
        <w:spacing w:line="500" w:lineRule="exact"/>
        <w:ind w:firstLine="540" w:firstLineChars="200"/>
        <w:rPr>
          <w:rFonts w:ascii="宋体" w:hAnsi="宋体" w:eastAsia="宋体"/>
          <w:spacing w:val="-5"/>
          <w:sz w:val="28"/>
          <w:szCs w:val="28"/>
        </w:rPr>
      </w:pPr>
      <w:r>
        <w:rPr>
          <w:rFonts w:ascii="宋体" w:hAnsi="宋体" w:eastAsia="宋体"/>
          <w:spacing w:val="-5"/>
          <w:sz w:val="28"/>
          <w:szCs w:val="28"/>
        </w:rPr>
        <w:t>2.生产单元的智能化集成，工业网关配置，智能传感数据采集和</w:t>
      </w:r>
      <w:r>
        <w:rPr>
          <w:rFonts w:hint="eastAsia" w:ascii="宋体" w:hAnsi="宋体" w:eastAsia="宋体"/>
          <w:spacing w:val="-5"/>
          <w:sz w:val="28"/>
          <w:szCs w:val="28"/>
        </w:rPr>
        <w:t>分析、智能机器人等设备的应用。</w:t>
      </w:r>
    </w:p>
    <w:p w14:paraId="614E4E18">
      <w:pPr>
        <w:spacing w:line="500" w:lineRule="exact"/>
        <w:ind w:firstLine="540" w:firstLineChars="200"/>
        <w:rPr>
          <w:rFonts w:ascii="宋体" w:hAnsi="宋体" w:eastAsia="宋体"/>
          <w:spacing w:val="-5"/>
          <w:sz w:val="28"/>
          <w:szCs w:val="28"/>
        </w:rPr>
      </w:pPr>
      <w:r>
        <w:rPr>
          <w:rFonts w:ascii="宋体" w:hAnsi="宋体" w:eastAsia="宋体"/>
          <w:spacing w:val="-5"/>
          <w:sz w:val="28"/>
          <w:szCs w:val="28"/>
        </w:rPr>
        <w:t>3. SCADA系统监控。</w:t>
      </w:r>
    </w:p>
    <w:p w14:paraId="1416E9D4">
      <w:pPr>
        <w:spacing w:line="500" w:lineRule="exact"/>
        <w:ind w:firstLine="540" w:firstLineChars="200"/>
        <w:rPr>
          <w:rFonts w:ascii="宋体" w:hAnsi="宋体" w:eastAsia="宋体"/>
          <w:spacing w:val="-5"/>
          <w:sz w:val="28"/>
          <w:szCs w:val="28"/>
        </w:rPr>
      </w:pPr>
      <w:r>
        <w:rPr>
          <w:rFonts w:ascii="宋体" w:hAnsi="宋体" w:eastAsia="宋体"/>
          <w:spacing w:val="-5"/>
          <w:sz w:val="28"/>
          <w:szCs w:val="28"/>
        </w:rPr>
        <w:t>4.MES系统集成。</w:t>
      </w:r>
    </w:p>
    <w:p w14:paraId="4E152E33">
      <w:pPr>
        <w:spacing w:line="500" w:lineRule="exact"/>
        <w:ind w:firstLine="540" w:firstLineChars="200"/>
        <w:rPr>
          <w:rFonts w:ascii="宋体" w:hAnsi="宋体" w:eastAsia="宋体"/>
          <w:spacing w:val="-5"/>
          <w:sz w:val="28"/>
          <w:szCs w:val="28"/>
        </w:rPr>
      </w:pPr>
      <w:r>
        <w:rPr>
          <w:rFonts w:ascii="宋体" w:hAnsi="宋体" w:eastAsia="宋体"/>
          <w:spacing w:val="-5"/>
          <w:sz w:val="28"/>
          <w:szCs w:val="28"/>
        </w:rPr>
        <w:t>5.WMS系统的部署和集成。</w:t>
      </w:r>
    </w:p>
    <w:p w14:paraId="1D9A3F9C">
      <w:pPr>
        <w:spacing w:line="500" w:lineRule="exact"/>
        <w:ind w:firstLine="540" w:firstLineChars="200"/>
        <w:rPr>
          <w:rFonts w:ascii="宋体" w:hAnsi="宋体" w:eastAsia="宋体"/>
          <w:spacing w:val="-5"/>
          <w:sz w:val="28"/>
          <w:szCs w:val="28"/>
        </w:rPr>
      </w:pPr>
      <w:r>
        <w:rPr>
          <w:rFonts w:ascii="宋体" w:hAnsi="宋体" w:eastAsia="宋体"/>
          <w:spacing w:val="-5"/>
          <w:sz w:val="28"/>
          <w:szCs w:val="28"/>
        </w:rPr>
        <w:t>6. AGV点位部署、线路规划。</w:t>
      </w:r>
    </w:p>
    <w:p w14:paraId="1E26B9EE">
      <w:pPr>
        <w:spacing w:line="500" w:lineRule="exact"/>
        <w:ind w:firstLine="540" w:firstLineChars="200"/>
        <w:rPr>
          <w:rFonts w:ascii="宋体" w:hAnsi="宋体" w:eastAsia="宋体"/>
          <w:spacing w:val="-5"/>
          <w:sz w:val="28"/>
          <w:szCs w:val="28"/>
        </w:rPr>
      </w:pPr>
      <w:r>
        <w:rPr>
          <w:rFonts w:ascii="宋体" w:hAnsi="宋体" w:eastAsia="宋体"/>
          <w:spacing w:val="-5"/>
          <w:sz w:val="28"/>
          <w:szCs w:val="28"/>
        </w:rPr>
        <w:t>7.利用</w:t>
      </w:r>
      <w:r>
        <w:rPr>
          <w:rFonts w:hint="eastAsia" w:ascii="宋体" w:hAnsi="宋体" w:eastAsia="宋体"/>
          <w:spacing w:val="-5"/>
          <w:sz w:val="28"/>
          <w:szCs w:val="28"/>
        </w:rPr>
        <w:t>数字孪生</w:t>
      </w:r>
      <w:r>
        <w:rPr>
          <w:rFonts w:ascii="宋体" w:hAnsi="宋体" w:eastAsia="宋体"/>
          <w:spacing w:val="-5"/>
          <w:sz w:val="28"/>
          <w:szCs w:val="28"/>
        </w:rPr>
        <w:t>实现虚实结合。</w:t>
      </w:r>
    </w:p>
    <w:p w14:paraId="24632F98">
      <w:pPr>
        <w:pStyle w:val="21"/>
        <w:spacing w:after="50"/>
        <w:ind w:firstLine="270" w:firstLineChars="100"/>
        <w:rPr>
          <w:rFonts w:ascii="宋体" w:hAnsi="宋体" w:eastAsia="宋体"/>
          <w:spacing w:val="-5"/>
          <w:kern w:val="2"/>
          <w:sz w:val="28"/>
          <w:szCs w:val="28"/>
          <w14:ligatures w14:val="none"/>
        </w:rPr>
      </w:pPr>
      <w:r>
        <w:rPr>
          <w:rFonts w:hint="eastAsia" w:ascii="宋体" w:hAnsi="宋体" w:eastAsia="宋体"/>
          <w:spacing w:val="-5"/>
          <w:kern w:val="2"/>
          <w:sz w:val="28"/>
          <w:szCs w:val="28"/>
          <w14:ligatures w14:val="none"/>
        </w:rPr>
        <w:t>（三）赛项竞赛内容结构、成绩比例</w:t>
      </w:r>
    </w:p>
    <w:p w14:paraId="4953B080">
      <w:pPr>
        <w:pStyle w:val="20"/>
        <w:spacing w:after="152" w:line="546" w:lineRule="atLeast"/>
        <w:ind w:left="567"/>
        <w:rPr>
          <w:rFonts w:ascii="宋体" w:hAnsi="宋体" w:eastAsia="宋体"/>
          <w:spacing w:val="-5"/>
          <w:kern w:val="2"/>
          <w:sz w:val="28"/>
          <w:szCs w:val="28"/>
          <w14:ligatures w14:val="none"/>
        </w:rPr>
      </w:pPr>
      <w:r>
        <w:rPr>
          <w:rFonts w:hint="eastAsia" w:ascii="宋体" w:hAnsi="宋体" w:eastAsia="宋体"/>
          <w:spacing w:val="-5"/>
          <w:kern w:val="2"/>
          <w:sz w:val="28"/>
          <w:szCs w:val="28"/>
          <w14:ligatures w14:val="none"/>
        </w:rPr>
        <w:t>任务一 生产单元数字化改造方案设计（</w:t>
      </w:r>
      <w:r>
        <w:rPr>
          <w:rFonts w:ascii="宋体" w:hAnsi="宋体" w:eastAsia="宋体"/>
          <w:spacing w:val="-5"/>
          <w:kern w:val="2"/>
          <w:sz w:val="28"/>
          <w:szCs w:val="28"/>
          <w14:ligatures w14:val="none"/>
        </w:rPr>
        <w:t>15%</w:t>
      </w:r>
      <w:r>
        <w:rPr>
          <w:rFonts w:hint="eastAsia" w:ascii="宋体" w:hAnsi="宋体" w:eastAsia="宋体"/>
          <w:spacing w:val="-5"/>
          <w:kern w:val="2"/>
          <w:sz w:val="28"/>
          <w:szCs w:val="28"/>
          <w14:ligatures w14:val="none"/>
        </w:rPr>
        <w:t>）。</w:t>
      </w:r>
    </w:p>
    <w:p w14:paraId="71221832">
      <w:pPr>
        <w:pStyle w:val="20"/>
        <w:spacing w:after="152" w:line="546" w:lineRule="atLeast"/>
        <w:ind w:firstLine="567" w:firstLineChars="210"/>
        <w:rPr>
          <w:rFonts w:ascii="宋体" w:hAnsi="宋体" w:eastAsia="宋体"/>
          <w:spacing w:val="-5"/>
          <w:kern w:val="2"/>
          <w:sz w:val="28"/>
          <w:szCs w:val="28"/>
          <w14:ligatures w14:val="none"/>
        </w:rPr>
      </w:pPr>
      <w:r>
        <w:rPr>
          <w:rFonts w:ascii="宋体" w:hAnsi="宋体" w:eastAsia="宋体"/>
          <w:spacing w:val="-5"/>
          <w:kern w:val="2"/>
          <w:sz w:val="28"/>
          <w:szCs w:val="28"/>
          <w14:ligatures w14:val="none"/>
        </w:rPr>
        <w:t>根据竞赛任</w:t>
      </w:r>
      <w:r>
        <w:rPr>
          <w:rFonts w:hint="eastAsia" w:ascii="宋体" w:hAnsi="宋体" w:eastAsia="宋体"/>
          <w:spacing w:val="-5"/>
          <w:kern w:val="2"/>
          <w:sz w:val="28"/>
          <w:szCs w:val="28"/>
          <w14:ligatures w14:val="none"/>
        </w:rPr>
        <w:t>务书要求及给定的技术条件，完成生产单元的功能规划及仿真验证、生产数据的采集方案规划设计和网络部署方案设计等。</w:t>
      </w:r>
    </w:p>
    <w:p w14:paraId="03D0C25B">
      <w:pPr>
        <w:pStyle w:val="20"/>
        <w:spacing w:after="152" w:line="546" w:lineRule="atLeast"/>
        <w:ind w:left="567"/>
        <w:rPr>
          <w:rFonts w:ascii="宋体" w:hAnsi="宋体" w:eastAsia="宋体"/>
          <w:spacing w:val="-5"/>
          <w:kern w:val="2"/>
          <w:sz w:val="28"/>
          <w:szCs w:val="28"/>
          <w14:ligatures w14:val="none"/>
        </w:rPr>
      </w:pPr>
      <w:r>
        <w:rPr>
          <w:rFonts w:hint="eastAsia" w:ascii="宋体" w:hAnsi="宋体" w:eastAsia="宋体"/>
          <w:spacing w:val="-5"/>
          <w:kern w:val="2"/>
          <w:sz w:val="28"/>
          <w:szCs w:val="28"/>
          <w14:ligatures w14:val="none"/>
        </w:rPr>
        <w:t>任务二生产单元智能化集成</w:t>
      </w:r>
      <w:r>
        <w:rPr>
          <w:rFonts w:ascii="宋体" w:hAnsi="宋体" w:eastAsia="宋体"/>
          <w:spacing w:val="-5"/>
          <w:kern w:val="2"/>
          <w:sz w:val="28"/>
          <w:szCs w:val="28"/>
          <w14:ligatures w14:val="none"/>
        </w:rPr>
        <w:t xml:space="preserve"> (10%)</w:t>
      </w:r>
    </w:p>
    <w:p w14:paraId="5F6DB78E">
      <w:pPr>
        <w:pStyle w:val="20"/>
        <w:spacing w:after="152" w:line="546" w:lineRule="atLeast"/>
        <w:ind w:firstLine="540" w:firstLineChars="200"/>
        <w:jc w:val="both"/>
        <w:rPr>
          <w:rFonts w:ascii="宋体" w:hAnsi="宋体" w:eastAsia="宋体"/>
          <w:spacing w:val="-5"/>
          <w:kern w:val="2"/>
          <w:sz w:val="28"/>
          <w:szCs w:val="28"/>
          <w14:ligatures w14:val="none"/>
        </w:rPr>
      </w:pPr>
      <w:r>
        <w:rPr>
          <w:rFonts w:ascii="宋体" w:hAnsi="宋体" w:eastAsia="宋体"/>
          <w:spacing w:val="-5"/>
          <w:kern w:val="2"/>
          <w:sz w:val="28"/>
          <w:szCs w:val="28"/>
          <w14:ligatures w14:val="none"/>
        </w:rPr>
        <w:t>根据设计方案完成生</w:t>
      </w:r>
      <w:r>
        <w:rPr>
          <w:rFonts w:hint="eastAsia" w:ascii="宋体" w:hAnsi="宋体" w:eastAsia="宋体"/>
          <w:spacing w:val="-5"/>
          <w:kern w:val="2"/>
          <w:sz w:val="28"/>
          <w:szCs w:val="28"/>
          <w14:ligatures w14:val="none"/>
        </w:rPr>
        <w:t>产单元的安装、接线与测试，并配置相关网络参数、编写通讯程序，完成智能仓储、智能装配、智能视觉、</w:t>
      </w:r>
      <w:r>
        <w:rPr>
          <w:rFonts w:ascii="宋体" w:hAnsi="宋体" w:eastAsia="宋体"/>
          <w:spacing w:val="-5"/>
          <w:kern w:val="2"/>
          <w:sz w:val="28"/>
          <w:szCs w:val="28"/>
          <w14:ligatures w14:val="none"/>
        </w:rPr>
        <w:t>AMR自主移动机器人</w:t>
      </w:r>
      <w:r>
        <w:rPr>
          <w:rFonts w:hint="eastAsia" w:ascii="宋体" w:hAnsi="宋体" w:eastAsia="宋体"/>
          <w:spacing w:val="-5"/>
          <w:kern w:val="2"/>
          <w:sz w:val="28"/>
          <w:szCs w:val="28"/>
          <w14:ligatures w14:val="none"/>
        </w:rPr>
        <w:t>、</w:t>
      </w:r>
      <w:r>
        <w:rPr>
          <w:rFonts w:ascii="宋体" w:hAnsi="宋体" w:eastAsia="宋体"/>
          <w:spacing w:val="-5"/>
          <w:kern w:val="2"/>
          <w:sz w:val="28"/>
          <w:szCs w:val="28"/>
          <w14:ligatures w14:val="none"/>
        </w:rPr>
        <w:t>RFID的数据采集与可视化等</w:t>
      </w:r>
      <w:r>
        <w:rPr>
          <w:rFonts w:hint="eastAsia" w:ascii="宋体" w:hAnsi="宋体" w:eastAsia="宋体"/>
          <w:spacing w:val="-5"/>
          <w:kern w:val="2"/>
          <w:sz w:val="28"/>
          <w:szCs w:val="28"/>
          <w14:ligatures w14:val="none"/>
        </w:rPr>
        <w:t>。</w:t>
      </w:r>
    </w:p>
    <w:p w14:paraId="0012D778">
      <w:pPr>
        <w:pStyle w:val="20"/>
        <w:spacing w:after="152" w:line="546" w:lineRule="atLeast"/>
        <w:ind w:left="567"/>
        <w:rPr>
          <w:rFonts w:ascii="宋体" w:hAnsi="宋体" w:eastAsia="宋体"/>
          <w:spacing w:val="-5"/>
          <w:kern w:val="2"/>
          <w:sz w:val="28"/>
          <w:szCs w:val="28"/>
          <w14:ligatures w14:val="none"/>
        </w:rPr>
      </w:pPr>
      <w:r>
        <w:rPr>
          <w:rFonts w:hint="eastAsia" w:ascii="宋体" w:hAnsi="宋体" w:eastAsia="宋体"/>
          <w:spacing w:val="-5"/>
          <w:kern w:val="2"/>
          <w:sz w:val="28"/>
          <w:szCs w:val="28"/>
          <w14:ligatures w14:val="none"/>
        </w:rPr>
        <w:t>任务三生产单元功能开发与测试</w:t>
      </w:r>
      <w:r>
        <w:rPr>
          <w:rFonts w:ascii="宋体" w:hAnsi="宋体" w:eastAsia="宋体"/>
          <w:spacing w:val="-5"/>
          <w:kern w:val="2"/>
          <w:sz w:val="28"/>
          <w:szCs w:val="28"/>
          <w14:ligatures w14:val="none"/>
        </w:rPr>
        <w:t xml:space="preserve"> (</w:t>
      </w:r>
      <w:r>
        <w:rPr>
          <w:rFonts w:hint="eastAsia" w:ascii="宋体" w:hAnsi="宋体" w:eastAsia="宋体"/>
          <w:spacing w:val="-5"/>
          <w:kern w:val="2"/>
          <w:sz w:val="28"/>
          <w:szCs w:val="28"/>
          <w14:ligatures w14:val="none"/>
        </w:rPr>
        <w:t>30</w:t>
      </w:r>
      <w:r>
        <w:rPr>
          <w:rFonts w:ascii="宋体" w:hAnsi="宋体" w:eastAsia="宋体"/>
          <w:spacing w:val="-5"/>
          <w:kern w:val="2"/>
          <w:sz w:val="28"/>
          <w:szCs w:val="28"/>
          <w14:ligatures w14:val="none"/>
        </w:rPr>
        <w:t>%)</w:t>
      </w:r>
    </w:p>
    <w:p w14:paraId="05E857E5">
      <w:pPr>
        <w:ind w:firstLine="540" w:firstLineChars="200"/>
        <w:rPr>
          <w:rFonts w:ascii="宋体" w:hAnsi="宋体" w:eastAsia="宋体"/>
          <w:spacing w:val="-5"/>
          <w:sz w:val="28"/>
          <w:szCs w:val="28"/>
        </w:rPr>
      </w:pPr>
      <w:r>
        <w:rPr>
          <w:rFonts w:ascii="宋体" w:hAnsi="宋体" w:eastAsia="宋体"/>
          <w:spacing w:val="-5"/>
          <w:sz w:val="28"/>
          <w:szCs w:val="28"/>
        </w:rPr>
        <w:t>根据任务书要求完成智</w:t>
      </w:r>
      <w:r>
        <w:rPr>
          <w:rFonts w:hint="eastAsia" w:ascii="宋体" w:hAnsi="宋体" w:eastAsia="宋体"/>
          <w:spacing w:val="-5"/>
          <w:sz w:val="28"/>
          <w:szCs w:val="28"/>
        </w:rPr>
        <w:t>能仓储、智能装配、</w:t>
      </w:r>
      <w:r>
        <w:rPr>
          <w:rFonts w:ascii="宋体" w:hAnsi="宋体" w:eastAsia="宋体"/>
          <w:spacing w:val="-5"/>
          <w:sz w:val="28"/>
          <w:szCs w:val="28"/>
        </w:rPr>
        <w:t>AMR自主移动机器人</w:t>
      </w:r>
      <w:r>
        <w:rPr>
          <w:rFonts w:hint="eastAsia" w:ascii="宋体" w:hAnsi="宋体" w:eastAsia="宋体"/>
          <w:spacing w:val="-5"/>
          <w:sz w:val="28"/>
          <w:szCs w:val="28"/>
        </w:rPr>
        <w:t>的功能开发与验证等。</w:t>
      </w:r>
    </w:p>
    <w:p w14:paraId="6316CD53">
      <w:pPr>
        <w:pStyle w:val="20"/>
        <w:spacing w:after="152" w:line="546" w:lineRule="atLeast"/>
        <w:ind w:left="567"/>
        <w:rPr>
          <w:rFonts w:ascii="宋体" w:hAnsi="宋体" w:eastAsia="宋体"/>
          <w:spacing w:val="-5"/>
          <w:kern w:val="2"/>
          <w:sz w:val="28"/>
          <w:szCs w:val="28"/>
          <w14:ligatures w14:val="none"/>
        </w:rPr>
      </w:pPr>
      <w:r>
        <w:rPr>
          <w:rFonts w:hint="eastAsia" w:ascii="宋体" w:hAnsi="宋体" w:eastAsia="宋体"/>
          <w:spacing w:val="-5"/>
          <w:kern w:val="2"/>
          <w:sz w:val="28"/>
          <w:szCs w:val="28"/>
          <w14:ligatures w14:val="none"/>
        </w:rPr>
        <w:t>任务四生产单元信息化技术集成</w:t>
      </w:r>
      <w:r>
        <w:rPr>
          <w:rFonts w:ascii="宋体" w:hAnsi="宋体" w:eastAsia="宋体"/>
          <w:spacing w:val="-5"/>
          <w:kern w:val="2"/>
          <w:sz w:val="28"/>
          <w:szCs w:val="28"/>
          <w14:ligatures w14:val="none"/>
        </w:rPr>
        <w:t xml:space="preserve"> (10%)</w:t>
      </w:r>
    </w:p>
    <w:p w14:paraId="407ECDF7">
      <w:pPr>
        <w:ind w:firstLine="540" w:firstLineChars="200"/>
        <w:rPr>
          <w:rFonts w:ascii="宋体" w:hAnsi="宋体" w:eastAsia="宋体"/>
          <w:spacing w:val="-5"/>
          <w:sz w:val="28"/>
          <w:szCs w:val="28"/>
        </w:rPr>
      </w:pPr>
      <w:r>
        <w:rPr>
          <w:rFonts w:ascii="宋体" w:hAnsi="宋体" w:eastAsia="宋体"/>
          <w:spacing w:val="-5"/>
          <w:sz w:val="28"/>
          <w:szCs w:val="28"/>
        </w:rPr>
        <w:t>根据任务书要</w:t>
      </w:r>
      <w:r>
        <w:rPr>
          <w:rFonts w:hint="eastAsia" w:ascii="宋体" w:hAnsi="宋体" w:eastAsia="宋体"/>
          <w:spacing w:val="-5"/>
          <w:sz w:val="28"/>
          <w:szCs w:val="28"/>
        </w:rPr>
        <w:t>求，通过</w:t>
      </w:r>
      <w:r>
        <w:rPr>
          <w:rFonts w:ascii="宋体" w:hAnsi="宋体" w:eastAsia="宋体"/>
          <w:spacing w:val="-5"/>
          <w:sz w:val="28"/>
          <w:szCs w:val="28"/>
        </w:rPr>
        <w:t>WMS系统的部署与配置、SCADA</w:t>
      </w:r>
      <w:r>
        <w:rPr>
          <w:rFonts w:hint="eastAsia" w:ascii="宋体" w:hAnsi="宋体" w:eastAsia="宋体"/>
          <w:spacing w:val="-5"/>
          <w:sz w:val="28"/>
          <w:szCs w:val="28"/>
        </w:rPr>
        <w:t>系统的界面制作与配置、</w:t>
      </w:r>
      <w:r>
        <w:rPr>
          <w:rFonts w:ascii="宋体" w:hAnsi="宋体" w:eastAsia="宋体"/>
          <w:spacing w:val="-5"/>
          <w:sz w:val="28"/>
          <w:szCs w:val="28"/>
        </w:rPr>
        <w:t>MES系统的部署与</w:t>
      </w:r>
      <w:r>
        <w:rPr>
          <w:rFonts w:hint="eastAsia" w:ascii="宋体" w:hAnsi="宋体" w:eastAsia="宋体"/>
          <w:spacing w:val="-5"/>
          <w:sz w:val="28"/>
          <w:szCs w:val="28"/>
        </w:rPr>
        <w:t>解析，完成各系统的信息化功能测试与可视化等。</w:t>
      </w:r>
    </w:p>
    <w:p w14:paraId="4AEE0B22">
      <w:pPr>
        <w:pStyle w:val="20"/>
        <w:spacing w:after="152" w:line="546" w:lineRule="atLeast"/>
        <w:ind w:left="567"/>
        <w:rPr>
          <w:rFonts w:ascii="宋体" w:hAnsi="宋体" w:eastAsia="宋体"/>
          <w:spacing w:val="-5"/>
          <w:kern w:val="2"/>
          <w:sz w:val="28"/>
          <w:szCs w:val="28"/>
          <w14:ligatures w14:val="none"/>
        </w:rPr>
      </w:pPr>
      <w:r>
        <w:rPr>
          <w:rFonts w:hint="eastAsia" w:ascii="宋体" w:hAnsi="宋体" w:eastAsia="宋体"/>
          <w:spacing w:val="-5"/>
          <w:kern w:val="2"/>
          <w:sz w:val="28"/>
          <w:szCs w:val="28"/>
          <w14:ligatures w14:val="none"/>
        </w:rPr>
        <w:t>任务五 生产单元运行生产</w:t>
      </w:r>
      <w:r>
        <w:rPr>
          <w:rFonts w:ascii="宋体" w:hAnsi="宋体" w:eastAsia="宋体"/>
          <w:spacing w:val="-5"/>
          <w:kern w:val="2"/>
          <w:sz w:val="28"/>
          <w:szCs w:val="28"/>
          <w14:ligatures w14:val="none"/>
        </w:rPr>
        <w:t xml:space="preserve"> (</w:t>
      </w:r>
      <w:r>
        <w:rPr>
          <w:rFonts w:hint="eastAsia" w:ascii="宋体" w:hAnsi="宋体" w:eastAsia="宋体"/>
          <w:spacing w:val="-5"/>
          <w:kern w:val="2"/>
          <w:sz w:val="28"/>
          <w:szCs w:val="28"/>
          <w14:ligatures w14:val="none"/>
        </w:rPr>
        <w:t>15</w:t>
      </w:r>
      <w:r>
        <w:rPr>
          <w:rFonts w:ascii="宋体" w:hAnsi="宋体" w:eastAsia="宋体"/>
          <w:spacing w:val="-5"/>
          <w:kern w:val="2"/>
          <w:sz w:val="28"/>
          <w:szCs w:val="28"/>
          <w14:ligatures w14:val="none"/>
        </w:rPr>
        <w:t>%)</w:t>
      </w:r>
    </w:p>
    <w:p w14:paraId="15B3291C">
      <w:pPr>
        <w:spacing w:line="500" w:lineRule="exact"/>
        <w:ind w:firstLine="540" w:firstLineChars="200"/>
        <w:rPr>
          <w:rFonts w:ascii="宋体" w:hAnsi="宋体" w:eastAsia="宋体"/>
          <w:spacing w:val="-5"/>
          <w:sz w:val="28"/>
          <w:szCs w:val="28"/>
        </w:rPr>
      </w:pPr>
      <w:r>
        <w:rPr>
          <w:rFonts w:ascii="宋体" w:hAnsi="宋体" w:eastAsia="宋体"/>
          <w:spacing w:val="-5"/>
          <w:sz w:val="28"/>
          <w:szCs w:val="28"/>
        </w:rPr>
        <w:t>根据任务书要求，在MES系统中制定下发任务订单，在WMS系</w:t>
      </w:r>
      <w:r>
        <w:rPr>
          <w:rFonts w:hint="eastAsia" w:ascii="宋体" w:hAnsi="宋体" w:eastAsia="宋体"/>
          <w:spacing w:val="-5"/>
          <w:sz w:val="28"/>
          <w:szCs w:val="28"/>
        </w:rPr>
        <w:t>统的控制下，</w:t>
      </w:r>
      <w:r>
        <w:rPr>
          <w:rFonts w:ascii="宋体" w:hAnsi="宋体" w:eastAsia="宋体"/>
          <w:spacing w:val="-5"/>
          <w:sz w:val="28"/>
          <w:szCs w:val="28"/>
        </w:rPr>
        <w:t>AMR自主移动机器人完成物</w:t>
      </w:r>
      <w:r>
        <w:rPr>
          <w:rFonts w:hint="eastAsia" w:ascii="宋体" w:hAnsi="宋体" w:eastAsia="宋体"/>
          <w:spacing w:val="-5"/>
          <w:sz w:val="28"/>
          <w:szCs w:val="28"/>
        </w:rPr>
        <w:t>料的转运，智能机器人与智能视觉配合完成任意位置物料的检测与抓取，按照任务订单要求，完成定制产品的组装与检测，根据检测结果，放置到指定仓位。生产任务执行过程中，实时采集仓位、智能机器人、</w:t>
      </w:r>
      <w:r>
        <w:rPr>
          <w:rFonts w:ascii="宋体" w:hAnsi="宋体" w:eastAsia="宋体"/>
          <w:spacing w:val="-5"/>
          <w:sz w:val="28"/>
          <w:szCs w:val="28"/>
        </w:rPr>
        <w:t>AMR</w:t>
      </w:r>
      <w:r>
        <w:rPr>
          <w:rFonts w:hint="eastAsia" w:ascii="宋体" w:hAnsi="宋体" w:eastAsia="宋体"/>
          <w:spacing w:val="-5"/>
          <w:sz w:val="28"/>
          <w:szCs w:val="28"/>
        </w:rPr>
        <w:t>、自主移动机器人、智能视觉、</w:t>
      </w:r>
      <w:r>
        <w:rPr>
          <w:rFonts w:ascii="宋体" w:hAnsi="宋体" w:eastAsia="宋体"/>
          <w:spacing w:val="-5"/>
          <w:sz w:val="28"/>
          <w:szCs w:val="28"/>
        </w:rPr>
        <w:t>RFID等相关</w:t>
      </w:r>
      <w:r>
        <w:rPr>
          <w:rFonts w:hint="eastAsia" w:ascii="宋体" w:hAnsi="宋体" w:eastAsia="宋体"/>
          <w:spacing w:val="-5"/>
          <w:sz w:val="28"/>
          <w:szCs w:val="28"/>
        </w:rPr>
        <w:t>数据，数字孪生实现虚实结合，完成产品生产。</w:t>
      </w:r>
    </w:p>
    <w:p w14:paraId="62AD34EB">
      <w:pPr>
        <w:pStyle w:val="20"/>
        <w:spacing w:after="152" w:line="546" w:lineRule="atLeast"/>
        <w:ind w:left="567"/>
        <w:rPr>
          <w:rFonts w:ascii="宋体" w:hAnsi="宋体" w:eastAsia="宋体"/>
          <w:spacing w:val="-5"/>
          <w:kern w:val="2"/>
          <w:sz w:val="28"/>
          <w:szCs w:val="28"/>
          <w14:ligatures w14:val="none"/>
        </w:rPr>
      </w:pPr>
      <w:r>
        <w:rPr>
          <w:rFonts w:hint="eastAsia" w:ascii="宋体" w:hAnsi="宋体" w:eastAsia="宋体"/>
          <w:spacing w:val="-5"/>
          <w:kern w:val="2"/>
          <w:sz w:val="28"/>
          <w:szCs w:val="28"/>
          <w14:ligatures w14:val="none"/>
        </w:rPr>
        <w:t>任务六生产单元数据应用（</w:t>
      </w:r>
      <w:r>
        <w:rPr>
          <w:rFonts w:ascii="宋体" w:hAnsi="宋体" w:eastAsia="宋体"/>
          <w:spacing w:val="-5"/>
          <w:kern w:val="2"/>
          <w:sz w:val="28"/>
          <w:szCs w:val="28"/>
          <w14:ligatures w14:val="none"/>
        </w:rPr>
        <w:t>10%</w:t>
      </w:r>
      <w:r>
        <w:rPr>
          <w:rFonts w:hint="eastAsia" w:ascii="宋体" w:hAnsi="宋体" w:eastAsia="宋体"/>
          <w:spacing w:val="-5"/>
          <w:kern w:val="2"/>
          <w:sz w:val="28"/>
          <w:szCs w:val="28"/>
          <w14:ligatures w14:val="none"/>
        </w:rPr>
        <w:t>）</w:t>
      </w:r>
    </w:p>
    <w:p w14:paraId="5575379A">
      <w:pPr>
        <w:ind w:firstLine="540" w:firstLineChars="200"/>
        <w:rPr>
          <w:rFonts w:ascii="宋体" w:hAnsi="宋体" w:eastAsia="宋体"/>
          <w:spacing w:val="-5"/>
          <w:sz w:val="28"/>
          <w:szCs w:val="28"/>
        </w:rPr>
      </w:pPr>
      <w:r>
        <w:rPr>
          <w:rFonts w:ascii="宋体" w:hAnsi="宋体" w:eastAsia="宋体"/>
          <w:spacing w:val="-5"/>
          <w:sz w:val="28"/>
          <w:szCs w:val="28"/>
        </w:rPr>
        <w:t>以生产过程中的数据为</w:t>
      </w:r>
      <w:r>
        <w:rPr>
          <w:rFonts w:hint="eastAsia" w:ascii="宋体" w:hAnsi="宋体" w:eastAsia="宋体"/>
          <w:spacing w:val="-5"/>
          <w:sz w:val="28"/>
          <w:szCs w:val="28"/>
        </w:rPr>
        <w:t>基础，进行统计、分析和规划，达到提升工作效率和质量等。</w:t>
      </w:r>
    </w:p>
    <w:p w14:paraId="4777FBFE">
      <w:pPr>
        <w:pStyle w:val="20"/>
        <w:spacing w:after="152" w:line="546" w:lineRule="atLeast"/>
        <w:ind w:left="567"/>
        <w:rPr>
          <w:rFonts w:ascii="宋体" w:hAnsi="宋体" w:eastAsia="宋体"/>
          <w:spacing w:val="-5"/>
          <w:kern w:val="2"/>
          <w:sz w:val="28"/>
          <w:szCs w:val="28"/>
          <w14:ligatures w14:val="none"/>
        </w:rPr>
      </w:pPr>
      <w:r>
        <w:rPr>
          <w:rFonts w:hint="eastAsia" w:ascii="宋体" w:hAnsi="宋体" w:eastAsia="宋体"/>
          <w:spacing w:val="-5"/>
          <w:kern w:val="2"/>
          <w:sz w:val="28"/>
          <w:szCs w:val="28"/>
          <w14:ligatures w14:val="none"/>
        </w:rPr>
        <w:t>任务七生产单元改造方案自评估</w:t>
      </w:r>
      <w:r>
        <w:rPr>
          <w:rFonts w:ascii="宋体" w:hAnsi="宋体" w:eastAsia="宋体"/>
          <w:spacing w:val="-5"/>
          <w:kern w:val="2"/>
          <w:sz w:val="28"/>
          <w:szCs w:val="28"/>
          <w14:ligatures w14:val="none"/>
        </w:rPr>
        <w:t xml:space="preserve"> (5%)</w:t>
      </w:r>
    </w:p>
    <w:p w14:paraId="4590D40E">
      <w:pPr>
        <w:ind w:firstLine="540" w:firstLineChars="200"/>
        <w:rPr>
          <w:rFonts w:ascii="宋体" w:hAnsi="宋体" w:eastAsia="宋体"/>
          <w:spacing w:val="-5"/>
          <w:sz w:val="28"/>
          <w:szCs w:val="28"/>
        </w:rPr>
      </w:pPr>
      <w:r>
        <w:rPr>
          <w:rFonts w:ascii="宋体" w:hAnsi="宋体" w:eastAsia="宋体"/>
          <w:spacing w:val="-5"/>
          <w:sz w:val="28"/>
          <w:szCs w:val="28"/>
        </w:rPr>
        <w:t>根据生产单元</w:t>
      </w:r>
      <w:r>
        <w:rPr>
          <w:rFonts w:hint="eastAsia" w:ascii="宋体" w:hAnsi="宋体" w:eastAsia="宋体"/>
          <w:spacing w:val="-5"/>
          <w:sz w:val="28"/>
          <w:szCs w:val="28"/>
        </w:rPr>
        <w:t>的数字化改造过程，完成生产单元数字化改造评估总结。</w:t>
      </w:r>
    </w:p>
    <w:p w14:paraId="0C25AAEC">
      <w:pPr>
        <w:pStyle w:val="20"/>
        <w:spacing w:after="152" w:line="546" w:lineRule="atLeast"/>
        <w:ind w:left="567"/>
        <w:rPr>
          <w:rFonts w:ascii="宋体" w:hAnsi="宋体" w:eastAsia="宋体"/>
          <w:spacing w:val="-5"/>
          <w:kern w:val="2"/>
          <w:sz w:val="28"/>
          <w:szCs w:val="28"/>
          <w14:ligatures w14:val="none"/>
        </w:rPr>
      </w:pPr>
      <w:r>
        <w:rPr>
          <w:rFonts w:hint="eastAsia" w:ascii="宋体" w:hAnsi="宋体" w:eastAsia="宋体"/>
          <w:spacing w:val="-5"/>
          <w:kern w:val="2"/>
          <w:sz w:val="28"/>
          <w:szCs w:val="28"/>
          <w14:ligatures w14:val="none"/>
        </w:rPr>
        <w:t>任务八职业素养</w:t>
      </w:r>
      <w:r>
        <w:rPr>
          <w:rFonts w:ascii="宋体" w:hAnsi="宋体" w:eastAsia="宋体"/>
          <w:spacing w:val="-5"/>
          <w:kern w:val="2"/>
          <w:sz w:val="28"/>
          <w:szCs w:val="28"/>
          <w14:ligatures w14:val="none"/>
        </w:rPr>
        <w:t xml:space="preserve"> (5%)</w:t>
      </w:r>
    </w:p>
    <w:p w14:paraId="3CE9CE7A">
      <w:pPr>
        <w:ind w:firstLine="540" w:firstLineChars="200"/>
        <w:rPr>
          <w:rFonts w:ascii="宋体" w:hAnsi="宋体" w:eastAsia="宋体"/>
          <w:spacing w:val="-5"/>
          <w:sz w:val="28"/>
          <w:szCs w:val="28"/>
        </w:rPr>
      </w:pPr>
      <w:r>
        <w:rPr>
          <w:rFonts w:ascii="宋体" w:hAnsi="宋体" w:eastAsia="宋体"/>
          <w:spacing w:val="-5"/>
          <w:sz w:val="28"/>
          <w:szCs w:val="28"/>
        </w:rPr>
        <w:t>考查选手操作过程中的安全规</w:t>
      </w:r>
      <w:r>
        <w:rPr>
          <w:rFonts w:hint="eastAsia" w:ascii="宋体" w:hAnsi="宋体" w:eastAsia="宋体"/>
          <w:spacing w:val="-5"/>
          <w:sz w:val="28"/>
          <w:szCs w:val="28"/>
        </w:rPr>
        <w:t>范；</w:t>
      </w:r>
      <w:r>
        <w:rPr>
          <w:rFonts w:ascii="宋体" w:hAnsi="宋体" w:eastAsia="宋体"/>
          <w:spacing w:val="-5"/>
          <w:sz w:val="28"/>
          <w:szCs w:val="28"/>
        </w:rPr>
        <w:t>设备、工具仪器使用情况</w:t>
      </w:r>
      <w:r>
        <w:rPr>
          <w:rFonts w:hint="eastAsia" w:ascii="宋体" w:hAnsi="宋体" w:eastAsia="宋体"/>
          <w:spacing w:val="-5"/>
          <w:sz w:val="28"/>
          <w:szCs w:val="28"/>
        </w:rPr>
        <w:t>；</w:t>
      </w:r>
      <w:r>
        <w:rPr>
          <w:rFonts w:ascii="宋体" w:hAnsi="宋体" w:eastAsia="宋体"/>
          <w:spacing w:val="-5"/>
          <w:sz w:val="28"/>
          <w:szCs w:val="28"/>
        </w:rPr>
        <w:t>卫生清洁情</w:t>
      </w:r>
      <w:r>
        <w:rPr>
          <w:rFonts w:hint="eastAsia" w:ascii="宋体" w:hAnsi="宋体" w:eastAsia="宋体"/>
          <w:spacing w:val="-5"/>
          <w:sz w:val="28"/>
          <w:szCs w:val="28"/>
        </w:rPr>
        <w:t>况；</w:t>
      </w:r>
      <w:r>
        <w:rPr>
          <w:rFonts w:ascii="宋体" w:hAnsi="宋体" w:eastAsia="宋体"/>
          <w:spacing w:val="-5"/>
          <w:sz w:val="28"/>
          <w:szCs w:val="28"/>
        </w:rPr>
        <w:t>穿戴规范</w:t>
      </w:r>
      <w:r>
        <w:rPr>
          <w:rFonts w:hint="eastAsia" w:ascii="宋体" w:hAnsi="宋体" w:eastAsia="宋体"/>
          <w:spacing w:val="-5"/>
          <w:sz w:val="28"/>
          <w:szCs w:val="28"/>
        </w:rPr>
        <w:t>；</w:t>
      </w:r>
      <w:r>
        <w:rPr>
          <w:rFonts w:ascii="宋体" w:hAnsi="宋体" w:eastAsia="宋体"/>
          <w:spacing w:val="-5"/>
          <w:sz w:val="28"/>
          <w:szCs w:val="28"/>
        </w:rPr>
        <w:t>工作纪律，文明礼貌等</w:t>
      </w:r>
      <w:r>
        <w:rPr>
          <w:rFonts w:hint="eastAsia" w:ascii="宋体" w:hAnsi="宋体" w:eastAsia="宋体"/>
          <w:spacing w:val="-5"/>
          <w:sz w:val="28"/>
          <w:szCs w:val="28"/>
        </w:rPr>
        <w:t>。</w:t>
      </w:r>
    </w:p>
    <w:p w14:paraId="4783DE82">
      <w:pPr>
        <w:pStyle w:val="5"/>
        <w:kinsoku w:val="0"/>
        <w:overflowPunct w:val="0"/>
        <w:spacing w:before="0" w:line="500" w:lineRule="exact"/>
        <w:ind w:left="0"/>
        <w:jc w:val="both"/>
        <w:rPr>
          <w:spacing w:val="-5"/>
        </w:rPr>
      </w:pPr>
      <w:r>
        <w:rPr>
          <w:rFonts w:hint="eastAsia"/>
          <w:spacing w:val="-5"/>
        </w:rPr>
        <w:t>（四）竞赛时间</w:t>
      </w:r>
    </w:p>
    <w:p w14:paraId="28FBFC1E">
      <w:pPr>
        <w:pStyle w:val="5"/>
        <w:kinsoku w:val="0"/>
        <w:overflowPunct w:val="0"/>
        <w:spacing w:line="500" w:lineRule="exact"/>
      </w:pPr>
      <w:r>
        <w:rPr>
          <w:rFonts w:hint="eastAsia"/>
        </w:rPr>
        <w:t>竞赛时间为</w:t>
      </w:r>
      <w:r>
        <w:t>6小时。各竞赛队在规定的时间内，独立完成</w:t>
      </w:r>
      <w:r>
        <w:rPr>
          <w:rFonts w:hint="eastAsia"/>
        </w:rPr>
        <w:t>“</w:t>
      </w:r>
      <w:r>
        <w:t>竞赛内</w:t>
      </w:r>
      <w:r>
        <w:rPr>
          <w:rFonts w:hint="eastAsia"/>
        </w:rPr>
        <w:t>容”规定的竞赛任务。每支参赛队由一名教师和两名学生共</w:t>
      </w:r>
      <w:r>
        <w:t>3名选手组</w:t>
      </w:r>
      <w:r>
        <w:rPr>
          <w:rFonts w:hint="eastAsia"/>
        </w:rPr>
        <w:t>成，采用封闭式竞赛，实操考核按照实际工作场景在规定时间内完成竞赛任务。</w:t>
      </w:r>
    </w:p>
    <w:p w14:paraId="3EEE52CE">
      <w:pPr>
        <w:spacing w:line="500" w:lineRule="exact"/>
        <w:rPr>
          <w:rFonts w:ascii="宋体" w:hAnsi="宋体" w:eastAsia="宋体"/>
          <w:b/>
          <w:bCs/>
          <w:sz w:val="28"/>
          <w:szCs w:val="28"/>
        </w:rPr>
      </w:pPr>
      <w:r>
        <w:rPr>
          <w:rFonts w:hint="eastAsia" w:ascii="宋体" w:hAnsi="宋体" w:eastAsia="宋体"/>
          <w:b/>
          <w:bCs/>
          <w:sz w:val="28"/>
          <w:szCs w:val="28"/>
        </w:rPr>
        <w:t>四、竞赛方式</w:t>
      </w:r>
    </w:p>
    <w:p w14:paraId="57EB8406">
      <w:pPr>
        <w:pStyle w:val="5"/>
        <w:kinsoku w:val="0"/>
        <w:overflowPunct w:val="0"/>
        <w:spacing w:before="0" w:line="500" w:lineRule="exact"/>
        <w:ind w:left="0"/>
        <w:jc w:val="both"/>
        <w:rPr>
          <w:spacing w:val="-5"/>
        </w:rPr>
      </w:pPr>
      <w:r>
        <w:rPr>
          <w:rFonts w:hint="eastAsia"/>
          <w:spacing w:val="-5"/>
        </w:rPr>
        <w:t>（一）竞赛采用团体赛方式，不计选手个人成绩，统计参赛队的总成绩进行排序。</w:t>
      </w:r>
    </w:p>
    <w:p w14:paraId="1BF398BB">
      <w:pPr>
        <w:pStyle w:val="5"/>
        <w:kinsoku w:val="0"/>
        <w:overflowPunct w:val="0"/>
        <w:spacing w:before="0" w:line="500" w:lineRule="exact"/>
        <w:ind w:left="0"/>
        <w:jc w:val="both"/>
        <w:rPr>
          <w:spacing w:val="-5"/>
        </w:rPr>
      </w:pPr>
      <w:r>
        <w:rPr>
          <w:rFonts w:hint="eastAsia"/>
          <w:spacing w:val="-5"/>
        </w:rPr>
        <w:t>（二）竞赛队伍组成：</w:t>
      </w:r>
      <w:bookmarkStart w:id="0" w:name="_Hlk160210825"/>
      <w:r>
        <w:rPr>
          <w:rFonts w:hint="eastAsia"/>
          <w:spacing w:val="-5"/>
        </w:rPr>
        <w:t>竞赛为师生同赛的团体赛，每支参赛队3名选手，其中</w:t>
      </w:r>
      <w:r>
        <w:rPr>
          <w:spacing w:val="-5"/>
        </w:rPr>
        <w:t>2</w:t>
      </w:r>
      <w:r>
        <w:rPr>
          <w:rFonts w:hint="eastAsia"/>
          <w:spacing w:val="-5"/>
        </w:rPr>
        <w:t>名选手为学生，1名选手为教师。学生参赛选手必须为高等职业学校(含本科职业院校)全日制在籍学生，五年制高职学生报名参赛的，必须是四、五年级的在籍学生，资格以报名时所具有的在校学籍为准，不限性别</w:t>
      </w:r>
      <w:r>
        <w:rPr>
          <w:rFonts w:hint="eastAsia" w:hAnsi="宋体"/>
          <w:spacing w:val="-5"/>
        </w:rPr>
        <w:t>；</w:t>
      </w:r>
      <w:bookmarkEnd w:id="0"/>
      <w:r>
        <w:rPr>
          <w:rFonts w:hint="eastAsia" w:hAnsi="宋体"/>
          <w:color w:val="000000"/>
        </w:rPr>
        <w:t>教师参赛选手必须为职业院校教龄2年以上（含）的在职教师，不限性别。</w:t>
      </w:r>
    </w:p>
    <w:p w14:paraId="5E3E51BC">
      <w:pPr>
        <w:pStyle w:val="5"/>
        <w:kinsoku w:val="0"/>
        <w:overflowPunct w:val="0"/>
        <w:spacing w:before="0" w:line="500" w:lineRule="exact"/>
        <w:ind w:left="0"/>
        <w:jc w:val="both"/>
        <w:rPr>
          <w:spacing w:val="-5"/>
        </w:rPr>
      </w:pPr>
      <w:r>
        <w:rPr>
          <w:rFonts w:hint="eastAsia"/>
          <w:spacing w:val="-5"/>
        </w:rPr>
        <w:t>（三）竞赛均采取多场次进行，由赛项执委会按照竞赛流程组织各领队参加公开抽签，确定各队参赛场次。参赛队按照抽签确定的参赛时段分批次进入比赛场地参赛。</w:t>
      </w:r>
    </w:p>
    <w:p w14:paraId="17D294A2">
      <w:pPr>
        <w:pStyle w:val="5"/>
        <w:kinsoku w:val="0"/>
        <w:overflowPunct w:val="0"/>
        <w:spacing w:before="0" w:line="500" w:lineRule="exact"/>
        <w:ind w:left="0" w:firstLine="540" w:firstLineChars="200"/>
        <w:jc w:val="both"/>
      </w:pPr>
      <w:r>
        <w:rPr>
          <w:rFonts w:hint="eastAsia"/>
          <w:spacing w:val="-5"/>
        </w:rPr>
        <w:t>（四）赛场的赛位统一编制赛位号，参赛队比赛前</w:t>
      </w:r>
      <w:r>
        <w:rPr>
          <w:spacing w:val="-5"/>
        </w:rPr>
        <w:t>30</w:t>
      </w:r>
      <w:r>
        <w:rPr>
          <w:rFonts w:hint="eastAsia"/>
          <w:spacing w:val="-5"/>
        </w:rPr>
        <w:t>分钟到赛</w:t>
      </w:r>
      <w:r>
        <w:rPr>
          <w:rFonts w:hint="eastAsia"/>
          <w:spacing w:val="-6"/>
        </w:rPr>
        <w:t>项指定地点接受检录，进场前</w:t>
      </w:r>
      <w:r>
        <w:t>15</w:t>
      </w:r>
      <w:r>
        <w:rPr>
          <w:rFonts w:hint="eastAsia"/>
          <w:spacing w:val="-5"/>
        </w:rPr>
        <w:t>分钟抽签决定赛位号，抽签结束后，</w:t>
      </w:r>
      <w:r>
        <w:rPr>
          <w:spacing w:val="-133"/>
        </w:rPr>
        <w:t xml:space="preserve"> </w:t>
      </w:r>
      <w:r>
        <w:rPr>
          <w:rFonts w:hint="eastAsia"/>
          <w:spacing w:val="-5"/>
        </w:rPr>
        <w:t>随即按照抽取的赛位号进场，然后在对应的赛位上完成竞赛规定的</w:t>
      </w:r>
      <w:r>
        <w:rPr>
          <w:rFonts w:hint="eastAsia"/>
        </w:rPr>
        <w:t>任务。赛位号由参赛选手抽取，抽取赛位号的步骤：</w:t>
      </w:r>
    </w:p>
    <w:p w14:paraId="049CC90C">
      <w:pPr>
        <w:pStyle w:val="5"/>
        <w:kinsoku w:val="0"/>
        <w:overflowPunct w:val="0"/>
        <w:spacing w:before="0" w:line="500" w:lineRule="exact"/>
        <w:ind w:left="0" w:firstLine="560" w:firstLineChars="200"/>
        <w:jc w:val="both"/>
      </w:pPr>
      <w:r>
        <w:t>1.</w:t>
      </w:r>
      <w:r>
        <w:rPr>
          <w:rFonts w:hint="eastAsia"/>
        </w:rPr>
        <w:t>抽签由赛场加密裁判主持；</w:t>
      </w:r>
    </w:p>
    <w:p w14:paraId="0DD97BB2">
      <w:pPr>
        <w:pStyle w:val="5"/>
        <w:kinsoku w:val="0"/>
        <w:overflowPunct w:val="0"/>
        <w:spacing w:before="0" w:line="500" w:lineRule="exact"/>
        <w:ind w:left="0" w:firstLine="560" w:firstLineChars="200"/>
        <w:jc w:val="both"/>
      </w:pPr>
      <w:r>
        <w:t>2.</w:t>
      </w:r>
      <w:r>
        <w:rPr>
          <w:rFonts w:hint="eastAsia"/>
        </w:rPr>
        <w:t>参赛选手随机抽取赛位号，并在赛位记录单上签名确认；</w:t>
      </w:r>
    </w:p>
    <w:p w14:paraId="6B6B2731">
      <w:pPr>
        <w:pStyle w:val="5"/>
        <w:kinsoku w:val="0"/>
        <w:overflowPunct w:val="0"/>
        <w:spacing w:before="0" w:line="500" w:lineRule="exact"/>
        <w:ind w:left="0"/>
        <w:jc w:val="both"/>
      </w:pPr>
      <w:r>
        <w:rPr>
          <w:spacing w:val="-2"/>
        </w:rPr>
        <w:t>3.</w:t>
      </w:r>
      <w:r>
        <w:rPr>
          <w:rFonts w:hint="eastAsia"/>
          <w:spacing w:val="-2"/>
        </w:rPr>
        <w:t>赛位号不对外公布，抽签结果由赛项办公室密封后统一保管，</w:t>
      </w:r>
      <w:r>
        <w:rPr>
          <w:rFonts w:hint="eastAsia"/>
        </w:rPr>
        <w:t>在评分结束后开封统计成绩。</w:t>
      </w:r>
    </w:p>
    <w:p w14:paraId="08CB603D">
      <w:pPr>
        <w:spacing w:line="500" w:lineRule="exact"/>
        <w:rPr>
          <w:rFonts w:ascii="宋体" w:hAnsi="Times New Roman" w:eastAsia="宋体" w:cs="宋体"/>
          <w:b/>
          <w:bCs/>
          <w:kern w:val="0"/>
          <w:sz w:val="28"/>
          <w:szCs w:val="28"/>
        </w:rPr>
      </w:pPr>
      <w:r>
        <w:rPr>
          <w:rFonts w:hint="eastAsia" w:ascii="宋体" w:hAnsi="Times New Roman" w:eastAsia="宋体" w:cs="宋体"/>
          <w:b/>
          <w:bCs/>
          <w:kern w:val="0"/>
          <w:sz w:val="28"/>
          <w:szCs w:val="28"/>
        </w:rPr>
        <w:t>五、竞赛流程</w:t>
      </w:r>
    </w:p>
    <w:p w14:paraId="7D37CB1D">
      <w:pPr>
        <w:pStyle w:val="5"/>
        <w:kinsoku w:val="0"/>
        <w:overflowPunct w:val="0"/>
        <w:spacing w:before="0" w:line="500" w:lineRule="exact"/>
        <w:ind w:left="0" w:firstLine="540" w:firstLineChars="200"/>
        <w:rPr>
          <w:spacing w:val="-5"/>
        </w:rPr>
      </w:pPr>
      <w:r>
        <w:rPr>
          <w:rFonts w:hint="eastAsia"/>
          <w:spacing w:val="-5"/>
        </w:rPr>
        <w:t>具体的竞赛日期，由河北省职业院校技能大赛执委会及赛区执委会统一规定，选手第一天上午报到，下午召开赛前说明会和场次抽签活动并安排选手熟悉赛场；第二天开始分组进行正式比赛。</w:t>
      </w:r>
    </w:p>
    <w:p w14:paraId="60781843">
      <w:pPr>
        <w:pStyle w:val="5"/>
        <w:kinsoku w:val="0"/>
        <w:overflowPunct w:val="0"/>
        <w:spacing w:before="0" w:line="500" w:lineRule="exact"/>
        <w:ind w:left="0" w:firstLine="0"/>
        <w:rPr>
          <w:b/>
          <w:bCs/>
        </w:rPr>
      </w:pPr>
      <w:r>
        <w:rPr>
          <w:rFonts w:hint="eastAsia"/>
          <w:b/>
          <w:bCs/>
        </w:rPr>
        <w:t>六、竞赛赛卷</w:t>
      </w:r>
    </w:p>
    <w:p w14:paraId="7A479E93">
      <w:pPr>
        <w:pStyle w:val="5"/>
        <w:kinsoku w:val="0"/>
        <w:overflowPunct w:val="0"/>
        <w:spacing w:before="0" w:line="500" w:lineRule="exact"/>
        <w:ind w:left="0" w:firstLine="540" w:firstLineChars="200"/>
        <w:jc w:val="both"/>
        <w:rPr>
          <w:spacing w:val="-5"/>
        </w:rPr>
      </w:pPr>
      <w:r>
        <w:rPr>
          <w:rFonts w:hint="eastAsia"/>
          <w:spacing w:val="-5"/>
        </w:rPr>
        <w:t>（一）由命题专家组，在保密、独立的环境中，拟定竞赛试题。</w:t>
      </w:r>
    </w:p>
    <w:p w14:paraId="289B5E3F">
      <w:pPr>
        <w:pStyle w:val="5"/>
        <w:kinsoku w:val="0"/>
        <w:overflowPunct w:val="0"/>
        <w:spacing w:before="0" w:line="500" w:lineRule="exact"/>
        <w:ind w:left="0" w:firstLine="540" w:firstLineChars="200"/>
        <w:jc w:val="both"/>
        <w:rPr>
          <w:spacing w:val="-5"/>
        </w:rPr>
      </w:pPr>
      <w:r>
        <w:rPr>
          <w:rFonts w:hint="eastAsia"/>
          <w:spacing w:val="-5"/>
        </w:rPr>
        <w:t>（二）工作任务书经由大赛执委会指定的独立专家进行审核。</w:t>
      </w:r>
    </w:p>
    <w:p w14:paraId="6B7B5FA4">
      <w:pPr>
        <w:pStyle w:val="5"/>
        <w:kinsoku w:val="0"/>
        <w:overflowPunct w:val="0"/>
        <w:spacing w:before="0" w:line="500" w:lineRule="exact"/>
        <w:ind w:left="0"/>
        <w:jc w:val="both"/>
        <w:rPr>
          <w:spacing w:val="-5"/>
        </w:rPr>
      </w:pPr>
      <w:r>
        <w:rPr>
          <w:rFonts w:hint="eastAsia"/>
          <w:spacing w:val="-5"/>
        </w:rPr>
        <w:t>（三）赛项采取提前公开赛卷方式，在大赛指定的网络信息发布平台上公布竞赛样题。</w:t>
      </w:r>
    </w:p>
    <w:p w14:paraId="7710FEBA">
      <w:pPr>
        <w:pStyle w:val="5"/>
        <w:kinsoku w:val="0"/>
        <w:overflowPunct w:val="0"/>
        <w:spacing w:before="0" w:line="500" w:lineRule="exact"/>
        <w:ind w:left="0"/>
        <w:jc w:val="both"/>
        <w:rPr>
          <w:spacing w:val="-5"/>
        </w:rPr>
      </w:pPr>
      <w:r>
        <w:rPr>
          <w:rFonts w:hint="eastAsia"/>
          <w:spacing w:val="-5"/>
        </w:rPr>
        <w:t>（四）在赛前举行赛前说明会，对竞赛题型、结构、考点、评分、</w:t>
      </w:r>
      <w:r>
        <w:rPr>
          <w:spacing w:val="-5"/>
        </w:rPr>
        <w:t xml:space="preserve"> </w:t>
      </w:r>
      <w:r>
        <w:rPr>
          <w:rFonts w:hint="eastAsia"/>
          <w:spacing w:val="-5"/>
        </w:rPr>
        <w:t>注意事项等进行说明和答疑。</w:t>
      </w:r>
    </w:p>
    <w:p w14:paraId="620911FD">
      <w:pPr>
        <w:pStyle w:val="5"/>
        <w:kinsoku w:val="0"/>
        <w:overflowPunct w:val="0"/>
        <w:spacing w:before="0" w:line="500" w:lineRule="exact"/>
        <w:ind w:left="0" w:firstLine="540" w:firstLineChars="200"/>
        <w:jc w:val="both"/>
      </w:pPr>
      <w:r>
        <w:rPr>
          <w:rFonts w:hint="eastAsia"/>
          <w:spacing w:val="-5"/>
        </w:rPr>
        <w:t>（五）竞赛任务在评分时的状态和测试要求，不同场次之间要求不同，同一场次的要求相同。任务的初始状态和测试要求根据评判要</w:t>
      </w:r>
      <w:r>
        <w:rPr>
          <w:spacing w:val="-103"/>
        </w:rPr>
        <w:t xml:space="preserve"> </w:t>
      </w:r>
      <w:r>
        <w:rPr>
          <w:rFonts w:hint="eastAsia"/>
        </w:rPr>
        <w:t>求在开赛时、任务评分前或任务评分时给定。</w:t>
      </w:r>
    </w:p>
    <w:p w14:paraId="110410D2">
      <w:pPr>
        <w:pStyle w:val="5"/>
        <w:kinsoku w:val="0"/>
        <w:overflowPunct w:val="0"/>
        <w:spacing w:before="0" w:line="500" w:lineRule="exact"/>
        <w:ind w:left="0" w:firstLine="0"/>
        <w:rPr>
          <w:b/>
          <w:bCs/>
          <w:spacing w:val="-5"/>
        </w:rPr>
      </w:pPr>
      <w:r>
        <w:rPr>
          <w:rFonts w:hint="eastAsia"/>
          <w:b/>
          <w:bCs/>
        </w:rPr>
        <w:t>七、竞赛规则</w:t>
      </w:r>
    </w:p>
    <w:p w14:paraId="64061012">
      <w:pPr>
        <w:spacing w:line="500" w:lineRule="exact"/>
        <w:ind w:firstLine="560" w:firstLineChars="200"/>
        <w:rPr>
          <w:rFonts w:ascii="宋体" w:hAnsi="宋体" w:eastAsia="宋体"/>
          <w:sz w:val="28"/>
          <w:szCs w:val="28"/>
        </w:rPr>
      </w:pPr>
      <w:r>
        <w:rPr>
          <w:rFonts w:hint="eastAsia" w:ascii="宋体" w:hAnsi="宋体" w:eastAsia="宋体"/>
          <w:sz w:val="28"/>
          <w:szCs w:val="28"/>
        </w:rPr>
        <w:t>（一）参赛资格</w:t>
      </w:r>
    </w:p>
    <w:p w14:paraId="57A35CD4">
      <w:pPr>
        <w:spacing w:line="500" w:lineRule="exact"/>
        <w:ind w:firstLine="540" w:firstLineChars="200"/>
        <w:rPr>
          <w:rFonts w:ascii="宋体" w:hAnsi="Times New Roman" w:eastAsia="宋体" w:cs="宋体"/>
          <w:spacing w:val="-5"/>
          <w:kern w:val="0"/>
          <w:sz w:val="28"/>
          <w:szCs w:val="28"/>
        </w:rPr>
      </w:pPr>
      <w:r>
        <w:rPr>
          <w:rFonts w:ascii="宋体" w:hAnsi="Times New Roman" w:eastAsia="宋体" w:cs="宋体"/>
          <w:spacing w:val="-5"/>
          <w:kern w:val="0"/>
          <w:sz w:val="28"/>
          <w:szCs w:val="28"/>
        </w:rPr>
        <w:t>1.</w:t>
      </w:r>
      <w:r>
        <w:rPr>
          <w:rFonts w:hint="eastAsia" w:ascii="宋体" w:hAnsi="Times New Roman" w:eastAsia="宋体" w:cs="宋体"/>
          <w:spacing w:val="-5"/>
          <w:kern w:val="0"/>
          <w:sz w:val="28"/>
          <w:szCs w:val="28"/>
        </w:rPr>
        <w:t xml:space="preserve"> 学生参赛选手必须为高等职业学校(含本科职业院校)全日制在籍学生，五年制高职学生报名参赛的，必须是四、五年级的在籍学生，资格以报名时所具有的在校学籍为准，不限性别。</w:t>
      </w:r>
    </w:p>
    <w:p w14:paraId="1D3942E0">
      <w:pPr>
        <w:spacing w:line="500" w:lineRule="exact"/>
        <w:ind w:firstLine="560" w:firstLineChars="200"/>
        <w:rPr>
          <w:spacing w:val="-5"/>
        </w:rPr>
      </w:pPr>
      <w:r>
        <w:rPr>
          <w:rFonts w:ascii="宋体" w:hAnsi="宋体" w:eastAsia="宋体"/>
          <w:sz w:val="28"/>
          <w:szCs w:val="28"/>
        </w:rPr>
        <w:t>2.</w:t>
      </w:r>
      <w:r>
        <w:rPr>
          <w:rFonts w:hint="eastAsia" w:ascii="宋体" w:hAnsi="Times New Roman" w:eastAsia="宋体" w:cs="宋体"/>
          <w:spacing w:val="-5"/>
          <w:kern w:val="0"/>
          <w:sz w:val="28"/>
          <w:szCs w:val="28"/>
        </w:rPr>
        <w:t>教师参赛选手必须为职业院校教龄2年以上（含）的在职教师，不限性别。</w:t>
      </w:r>
    </w:p>
    <w:p w14:paraId="14C34852">
      <w:pPr>
        <w:spacing w:line="500" w:lineRule="exact"/>
        <w:ind w:firstLine="560" w:firstLineChars="200"/>
        <w:rPr>
          <w:rFonts w:ascii="宋体" w:hAnsi="宋体" w:eastAsia="宋体"/>
          <w:sz w:val="28"/>
          <w:szCs w:val="28"/>
        </w:rPr>
      </w:pPr>
      <w:r>
        <w:rPr>
          <w:rFonts w:hint="eastAsia" w:ascii="宋体" w:hAnsi="宋体" w:eastAsia="宋体"/>
          <w:sz w:val="28"/>
          <w:szCs w:val="28"/>
        </w:rPr>
        <w:t>（二）报名要求</w:t>
      </w:r>
    </w:p>
    <w:p w14:paraId="22BA3E85">
      <w:pPr>
        <w:spacing w:line="500" w:lineRule="exact"/>
        <w:ind w:firstLine="540" w:firstLineChars="200"/>
        <w:rPr>
          <w:rFonts w:ascii="宋体" w:hAnsi="宋体" w:eastAsia="宋体"/>
          <w:sz w:val="28"/>
          <w:szCs w:val="28"/>
        </w:rPr>
      </w:pPr>
      <w:r>
        <w:rPr>
          <w:rFonts w:ascii="宋体" w:hAnsi="宋体" w:eastAsia="宋体"/>
          <w:spacing w:val="-5"/>
          <w:sz w:val="28"/>
          <w:szCs w:val="28"/>
        </w:rPr>
        <w:t>1.</w:t>
      </w:r>
      <w:r>
        <w:rPr>
          <w:rFonts w:hint="eastAsia" w:ascii="宋体" w:hAnsi="宋体" w:eastAsia="宋体"/>
          <w:spacing w:val="-5"/>
          <w:sz w:val="28"/>
          <w:szCs w:val="28"/>
        </w:rPr>
        <w:t>竞赛组队要求：每个学校限报</w:t>
      </w:r>
      <w:r>
        <w:rPr>
          <w:rFonts w:ascii="宋体" w:hAnsi="宋体" w:eastAsia="宋体"/>
          <w:sz w:val="28"/>
          <w:szCs w:val="28"/>
        </w:rPr>
        <w:t>2</w:t>
      </w:r>
      <w:r>
        <w:rPr>
          <w:rFonts w:hint="eastAsia" w:ascii="宋体" w:hAnsi="宋体" w:eastAsia="宋体"/>
          <w:spacing w:val="-6"/>
          <w:sz w:val="28"/>
          <w:szCs w:val="28"/>
        </w:rPr>
        <w:t>支代表队，参赛选手为同一学</w:t>
      </w:r>
      <w:r>
        <w:rPr>
          <w:rFonts w:hint="eastAsia" w:ascii="宋体" w:hAnsi="宋体" w:eastAsia="宋体"/>
          <w:sz w:val="28"/>
          <w:szCs w:val="28"/>
        </w:rPr>
        <w:t>校，不允许跨校组队。</w:t>
      </w:r>
    </w:p>
    <w:p w14:paraId="2F6EAA43">
      <w:pPr>
        <w:spacing w:line="500" w:lineRule="exact"/>
        <w:ind w:firstLine="560" w:firstLineChars="200"/>
        <w:rPr>
          <w:rFonts w:ascii="宋体" w:hAnsi="宋体" w:eastAsia="宋体"/>
          <w:sz w:val="28"/>
          <w:szCs w:val="28"/>
        </w:rPr>
      </w:pPr>
      <w:r>
        <w:rPr>
          <w:rFonts w:hint="eastAsia" w:ascii="宋体" w:hAnsi="宋体" w:eastAsia="宋体"/>
          <w:sz w:val="28"/>
          <w:szCs w:val="28"/>
        </w:rPr>
        <w:t>2</w:t>
      </w:r>
      <w:r>
        <w:rPr>
          <w:rFonts w:ascii="宋体" w:hAnsi="宋体" w:eastAsia="宋体"/>
          <w:sz w:val="28"/>
          <w:szCs w:val="28"/>
        </w:rPr>
        <w:t>.</w:t>
      </w:r>
      <w:bookmarkStart w:id="1" w:name="_Hlk160790633"/>
      <w:r>
        <w:rPr>
          <w:rFonts w:hint="eastAsia" w:ascii="宋体" w:hAnsi="宋体" w:eastAsia="宋体"/>
          <w:sz w:val="28"/>
          <w:szCs w:val="28"/>
        </w:rPr>
        <w:t>凡在往届全国职业院校技能大赛国赛中获一等奖的选手,不能再参加今年同一专业类赛项的比赛。</w:t>
      </w:r>
      <w:bookmarkEnd w:id="1"/>
    </w:p>
    <w:p w14:paraId="43869A91">
      <w:pPr>
        <w:spacing w:line="500" w:lineRule="exact"/>
        <w:ind w:firstLine="560" w:firstLineChars="200"/>
        <w:rPr>
          <w:rFonts w:ascii="宋体" w:hAnsi="宋体" w:eastAsia="宋体"/>
          <w:sz w:val="28"/>
          <w:szCs w:val="28"/>
        </w:rPr>
      </w:pPr>
      <w:r>
        <w:rPr>
          <w:rFonts w:hint="eastAsia" w:ascii="宋体" w:hAnsi="宋体" w:eastAsia="宋体"/>
          <w:sz w:val="28"/>
          <w:szCs w:val="28"/>
        </w:rPr>
        <w:t>（三）赛前准备（以指南为准）</w:t>
      </w:r>
      <w:r>
        <w:rPr>
          <w:rFonts w:ascii="宋体" w:hAnsi="宋体" w:eastAsia="宋体"/>
          <w:sz w:val="28"/>
          <w:szCs w:val="28"/>
        </w:rPr>
        <w:t xml:space="preserve"> </w:t>
      </w:r>
    </w:p>
    <w:p w14:paraId="1DE4786E">
      <w:pPr>
        <w:spacing w:line="500" w:lineRule="exact"/>
        <w:ind w:firstLine="560" w:firstLineChars="200"/>
        <w:rPr>
          <w:rFonts w:ascii="宋体" w:hAnsi="宋体" w:eastAsia="宋体"/>
          <w:sz w:val="28"/>
          <w:szCs w:val="28"/>
        </w:rPr>
      </w:pPr>
      <w:r>
        <w:rPr>
          <w:rFonts w:ascii="宋体" w:hAnsi="宋体" w:eastAsia="宋体"/>
          <w:sz w:val="28"/>
          <w:szCs w:val="28"/>
        </w:rPr>
        <w:t>1</w:t>
      </w:r>
      <w:r>
        <w:rPr>
          <w:rFonts w:hint="eastAsia" w:ascii="宋体" w:hAnsi="宋体" w:eastAsia="宋体"/>
          <w:sz w:val="28"/>
          <w:szCs w:val="28"/>
        </w:rPr>
        <w:t>．熟悉场地：比赛日前一天下午开放赛场，熟悉场地。</w:t>
      </w:r>
    </w:p>
    <w:p w14:paraId="60ECDFF0">
      <w:pPr>
        <w:spacing w:line="500" w:lineRule="exact"/>
        <w:ind w:firstLine="540" w:firstLineChars="200"/>
        <w:rPr>
          <w:rFonts w:ascii="宋体" w:hAnsi="宋体" w:eastAsia="宋体"/>
          <w:sz w:val="28"/>
          <w:szCs w:val="28"/>
        </w:rPr>
      </w:pPr>
      <w:r>
        <w:rPr>
          <w:rFonts w:ascii="宋体" w:hAnsi="宋体" w:eastAsia="宋体"/>
          <w:spacing w:val="-5"/>
          <w:sz w:val="28"/>
          <w:szCs w:val="28"/>
        </w:rPr>
        <w:t>2</w:t>
      </w:r>
      <w:r>
        <w:rPr>
          <w:rFonts w:hint="eastAsia" w:ascii="宋体" w:hAnsi="宋体" w:eastAsia="宋体"/>
          <w:spacing w:val="-5"/>
          <w:sz w:val="28"/>
          <w:szCs w:val="28"/>
        </w:rPr>
        <w:t>．领队会议：比赛日前一天下午</w:t>
      </w:r>
      <w:r>
        <w:rPr>
          <w:rFonts w:hint="eastAsia" w:ascii="宋体" w:hAnsi="宋体" w:eastAsia="宋体"/>
          <w:sz w:val="28"/>
          <w:szCs w:val="28"/>
        </w:rPr>
        <w:t>召开领队会议，</w:t>
      </w:r>
      <w:r>
        <w:rPr>
          <w:rFonts w:hint="eastAsia" w:ascii="宋体" w:hAnsi="宋体" w:eastAsia="宋体"/>
          <w:spacing w:val="-5"/>
          <w:sz w:val="28"/>
          <w:szCs w:val="28"/>
        </w:rPr>
        <w:t>由各参赛队伍的领队参加，会议讲解竞赛注意事项并进行</w:t>
      </w:r>
      <w:r>
        <w:rPr>
          <w:rFonts w:ascii="宋体" w:hAnsi="宋体" w:eastAsia="宋体"/>
          <w:spacing w:val="-103"/>
          <w:sz w:val="28"/>
          <w:szCs w:val="28"/>
        </w:rPr>
        <w:t xml:space="preserve"> </w:t>
      </w:r>
      <w:r>
        <w:rPr>
          <w:rFonts w:hint="eastAsia" w:ascii="宋体" w:hAnsi="宋体" w:eastAsia="宋体"/>
          <w:sz w:val="28"/>
          <w:szCs w:val="28"/>
        </w:rPr>
        <w:t>赛前答疑，由领队通过抽签确定各参赛队的场次。</w:t>
      </w:r>
    </w:p>
    <w:p w14:paraId="7A57DB11">
      <w:pPr>
        <w:spacing w:line="500" w:lineRule="exact"/>
        <w:ind w:firstLine="560" w:firstLineChars="200"/>
        <w:rPr>
          <w:rFonts w:ascii="宋体" w:hAnsi="宋体" w:eastAsia="宋体"/>
          <w:sz w:val="28"/>
          <w:szCs w:val="28"/>
        </w:rPr>
      </w:pPr>
      <w:r>
        <w:rPr>
          <w:rFonts w:ascii="宋体" w:hAnsi="宋体" w:eastAsia="宋体"/>
          <w:sz w:val="28"/>
          <w:szCs w:val="28"/>
        </w:rPr>
        <w:t>3</w:t>
      </w:r>
      <w:r>
        <w:rPr>
          <w:rFonts w:hint="eastAsia" w:ascii="宋体" w:hAnsi="宋体" w:eastAsia="宋体"/>
          <w:sz w:val="28"/>
          <w:szCs w:val="28"/>
        </w:rPr>
        <w:t>．参</w:t>
      </w:r>
      <w:r>
        <w:rPr>
          <w:rFonts w:hint="eastAsia" w:ascii="宋体" w:hAnsi="宋体" w:eastAsia="宋体"/>
          <w:spacing w:val="-6"/>
          <w:sz w:val="28"/>
          <w:szCs w:val="28"/>
        </w:rPr>
        <w:t>赛队员入场：参赛选手进入比赛场地，须佩带参赛证，学生参赛选手出示学生证及身份证，教师参赛选手出示在职教师证明（盖有所在单位公章）及身份证在正式比赛开始前</w:t>
      </w:r>
      <w:r>
        <w:rPr>
          <w:rFonts w:ascii="宋体" w:hAnsi="宋体" w:eastAsia="宋体"/>
          <w:spacing w:val="-6"/>
          <w:sz w:val="28"/>
          <w:szCs w:val="28"/>
        </w:rPr>
        <w:t xml:space="preserve"> 30</w:t>
      </w:r>
      <w:r>
        <w:rPr>
          <w:rFonts w:hint="eastAsia" w:ascii="宋体" w:hAnsi="宋体" w:eastAsia="宋体"/>
          <w:spacing w:val="-6"/>
          <w:sz w:val="28"/>
          <w:szCs w:val="28"/>
        </w:rPr>
        <w:t>分钟到指定地点集合，赛前</w:t>
      </w:r>
      <w:r>
        <w:rPr>
          <w:rFonts w:ascii="宋体" w:hAnsi="宋体" w:eastAsia="宋体"/>
          <w:spacing w:val="-62"/>
          <w:sz w:val="28"/>
          <w:szCs w:val="28"/>
        </w:rPr>
        <w:t xml:space="preserve"> </w:t>
      </w:r>
      <w:r>
        <w:rPr>
          <w:rFonts w:ascii="宋体" w:hAnsi="宋体" w:eastAsia="宋体"/>
          <w:sz w:val="28"/>
          <w:szCs w:val="28"/>
        </w:rPr>
        <w:t>15</w:t>
      </w:r>
      <w:r>
        <w:rPr>
          <w:rFonts w:ascii="宋体" w:hAnsi="宋体" w:eastAsia="宋体"/>
          <w:spacing w:val="-63"/>
          <w:sz w:val="28"/>
          <w:szCs w:val="28"/>
        </w:rPr>
        <w:t xml:space="preserve"> </w:t>
      </w:r>
      <w:r>
        <w:rPr>
          <w:rFonts w:hint="eastAsia" w:ascii="宋体" w:hAnsi="宋体" w:eastAsia="宋体"/>
          <w:spacing w:val="-7"/>
          <w:sz w:val="28"/>
          <w:szCs w:val="28"/>
        </w:rPr>
        <w:t>分钟抽取工位号，选手</w:t>
      </w:r>
      <w:r>
        <w:rPr>
          <w:rFonts w:ascii="宋体" w:hAnsi="宋体" w:eastAsia="宋体"/>
          <w:spacing w:val="-137"/>
          <w:sz w:val="28"/>
          <w:szCs w:val="28"/>
        </w:rPr>
        <w:t xml:space="preserve"> </w:t>
      </w:r>
      <w:r>
        <w:rPr>
          <w:rFonts w:hint="eastAsia" w:ascii="宋体" w:hAnsi="宋体" w:eastAsia="宋体"/>
          <w:spacing w:val="-5"/>
          <w:sz w:val="28"/>
          <w:szCs w:val="28"/>
        </w:rPr>
        <w:t>按工位号顺序依次进场，进行各项准备工作，现场裁判将对各参选手</w:t>
      </w:r>
      <w:r>
        <w:rPr>
          <w:rFonts w:ascii="宋体" w:hAnsi="宋体" w:eastAsia="宋体"/>
          <w:spacing w:val="-103"/>
          <w:sz w:val="28"/>
          <w:szCs w:val="28"/>
        </w:rPr>
        <w:t xml:space="preserve"> </w:t>
      </w:r>
      <w:r>
        <w:rPr>
          <w:rFonts w:hint="eastAsia" w:ascii="宋体" w:hAnsi="宋体" w:eastAsia="宋体"/>
          <w:sz w:val="28"/>
          <w:szCs w:val="28"/>
        </w:rPr>
        <w:t>的身份信息进行核对。选手在正式比赛开始</w:t>
      </w:r>
      <w:r>
        <w:rPr>
          <w:rFonts w:ascii="宋体" w:hAnsi="宋体" w:eastAsia="宋体"/>
          <w:sz w:val="28"/>
          <w:szCs w:val="28"/>
        </w:rPr>
        <w:t xml:space="preserve"> 15</w:t>
      </w:r>
      <w:r>
        <w:rPr>
          <w:rFonts w:ascii="宋体" w:hAnsi="宋体" w:eastAsia="宋体"/>
          <w:spacing w:val="-111"/>
          <w:sz w:val="28"/>
          <w:szCs w:val="28"/>
        </w:rPr>
        <w:t xml:space="preserve"> </w:t>
      </w:r>
      <w:r>
        <w:rPr>
          <w:rFonts w:hint="eastAsia" w:ascii="宋体" w:hAnsi="宋体" w:eastAsia="宋体"/>
          <w:sz w:val="28"/>
          <w:szCs w:val="28"/>
        </w:rPr>
        <w:t>分钟后不得入场，比赛结束前</w:t>
      </w:r>
      <w:r>
        <w:rPr>
          <w:rFonts w:ascii="宋体" w:hAnsi="宋体" w:eastAsia="宋体"/>
          <w:spacing w:val="-58"/>
          <w:sz w:val="28"/>
          <w:szCs w:val="28"/>
        </w:rPr>
        <w:t xml:space="preserve"> </w:t>
      </w:r>
      <w:r>
        <w:rPr>
          <w:rFonts w:ascii="宋体" w:hAnsi="宋体" w:eastAsia="宋体"/>
          <w:sz w:val="28"/>
          <w:szCs w:val="28"/>
        </w:rPr>
        <w:t>30</w:t>
      </w:r>
      <w:r>
        <w:rPr>
          <w:rFonts w:ascii="宋体" w:hAnsi="宋体" w:eastAsia="宋体"/>
          <w:spacing w:val="-57"/>
          <w:sz w:val="28"/>
          <w:szCs w:val="28"/>
        </w:rPr>
        <w:t xml:space="preserve"> </w:t>
      </w:r>
      <w:r>
        <w:rPr>
          <w:rFonts w:hint="eastAsia" w:ascii="宋体" w:hAnsi="宋体" w:eastAsia="宋体"/>
          <w:sz w:val="28"/>
          <w:szCs w:val="28"/>
        </w:rPr>
        <w:t>分钟内才允许提前离场。严禁参赛选手携带与竞赛无关</w:t>
      </w:r>
      <w:r>
        <w:rPr>
          <w:rFonts w:ascii="宋体" w:hAnsi="宋体" w:eastAsia="宋体"/>
          <w:spacing w:val="-136"/>
          <w:sz w:val="28"/>
          <w:szCs w:val="28"/>
        </w:rPr>
        <w:t xml:space="preserve"> </w:t>
      </w:r>
      <w:r>
        <w:rPr>
          <w:rFonts w:hint="eastAsia" w:ascii="宋体" w:hAnsi="宋体" w:eastAsia="宋体"/>
          <w:sz w:val="28"/>
          <w:szCs w:val="28"/>
        </w:rPr>
        <w:t>的电子设备、通讯设备及其他相关资料与用品入场。</w:t>
      </w:r>
    </w:p>
    <w:p w14:paraId="177C1610">
      <w:pPr>
        <w:spacing w:line="500" w:lineRule="exact"/>
        <w:ind w:firstLine="560" w:firstLineChars="200"/>
        <w:rPr>
          <w:rFonts w:ascii="宋体" w:hAnsi="宋体" w:eastAsia="宋体"/>
          <w:sz w:val="28"/>
          <w:szCs w:val="28"/>
        </w:rPr>
      </w:pPr>
      <w:r>
        <w:rPr>
          <w:rFonts w:hint="eastAsia" w:ascii="宋体" w:hAnsi="宋体" w:eastAsia="宋体"/>
          <w:sz w:val="28"/>
          <w:szCs w:val="28"/>
        </w:rPr>
        <w:t>（四）正式比赛</w:t>
      </w:r>
    </w:p>
    <w:p w14:paraId="0E671318">
      <w:pPr>
        <w:spacing w:line="500" w:lineRule="exact"/>
        <w:ind w:firstLine="540" w:firstLineChars="200"/>
        <w:rPr>
          <w:rFonts w:ascii="宋体" w:hAnsi="宋体" w:eastAsia="宋体"/>
          <w:sz w:val="28"/>
          <w:szCs w:val="28"/>
        </w:rPr>
      </w:pPr>
      <w:r>
        <w:rPr>
          <w:rFonts w:ascii="宋体" w:hAnsi="宋体" w:eastAsia="宋体"/>
          <w:spacing w:val="-5"/>
          <w:sz w:val="28"/>
          <w:szCs w:val="28"/>
        </w:rPr>
        <w:t>1.</w:t>
      </w:r>
      <w:r>
        <w:rPr>
          <w:rFonts w:hint="eastAsia" w:ascii="宋体" w:hAnsi="宋体" w:eastAsia="宋体"/>
          <w:spacing w:val="-5"/>
          <w:sz w:val="28"/>
          <w:szCs w:val="28"/>
        </w:rPr>
        <w:t>竞赛用设备赛项执委会统一提供</w:t>
      </w:r>
      <w:r>
        <w:rPr>
          <w:rFonts w:hint="eastAsia" w:ascii="宋体" w:hAnsi="宋体" w:eastAsia="宋体"/>
          <w:sz w:val="28"/>
          <w:szCs w:val="28"/>
        </w:rPr>
        <w:t>；</w:t>
      </w:r>
    </w:p>
    <w:p w14:paraId="23544ACD">
      <w:pPr>
        <w:spacing w:line="500" w:lineRule="exact"/>
        <w:ind w:firstLine="540" w:firstLineChars="200"/>
        <w:rPr>
          <w:rFonts w:ascii="宋体" w:hAnsi="宋体" w:eastAsia="宋体"/>
          <w:sz w:val="28"/>
          <w:szCs w:val="28"/>
        </w:rPr>
      </w:pPr>
      <w:r>
        <w:rPr>
          <w:rFonts w:ascii="宋体" w:hAnsi="宋体" w:eastAsia="宋体"/>
          <w:spacing w:val="-5"/>
          <w:sz w:val="28"/>
          <w:szCs w:val="28"/>
        </w:rPr>
        <w:t>2.</w:t>
      </w:r>
      <w:r>
        <w:rPr>
          <w:rFonts w:hint="eastAsia" w:ascii="宋体" w:hAnsi="宋体" w:eastAsia="宋体"/>
          <w:spacing w:val="-5"/>
          <w:sz w:val="28"/>
          <w:szCs w:val="28"/>
        </w:rPr>
        <w:t>选手进入赛场必须听从现场裁判人员的统一布置和指挥，首先需对比赛设备、选配部件、工量具等物品进行检查和测试，如有问题</w:t>
      </w:r>
      <w:r>
        <w:rPr>
          <w:rFonts w:ascii="宋体" w:hAnsi="宋体" w:eastAsia="宋体"/>
          <w:spacing w:val="-100"/>
          <w:sz w:val="28"/>
          <w:szCs w:val="28"/>
        </w:rPr>
        <w:t xml:space="preserve"> </w:t>
      </w:r>
      <w:r>
        <w:rPr>
          <w:rFonts w:hint="eastAsia" w:ascii="宋体" w:hAnsi="宋体" w:eastAsia="宋体"/>
          <w:sz w:val="28"/>
          <w:szCs w:val="28"/>
        </w:rPr>
        <w:t>及时举手向裁判人员示意处理；</w:t>
      </w:r>
    </w:p>
    <w:p w14:paraId="73C64E18">
      <w:pPr>
        <w:spacing w:line="500" w:lineRule="exact"/>
        <w:ind w:firstLine="560" w:firstLineChars="200"/>
        <w:rPr>
          <w:rFonts w:ascii="宋体" w:hAnsi="宋体" w:eastAsia="宋体"/>
          <w:sz w:val="28"/>
          <w:szCs w:val="28"/>
        </w:rPr>
      </w:pPr>
      <w:r>
        <w:rPr>
          <w:rFonts w:ascii="宋体" w:hAnsi="宋体" w:eastAsia="宋体"/>
          <w:sz w:val="28"/>
          <w:szCs w:val="28"/>
        </w:rPr>
        <w:t>3.</w:t>
      </w:r>
      <w:r>
        <w:rPr>
          <w:rFonts w:hint="eastAsia" w:ascii="宋体" w:hAnsi="宋体" w:eastAsia="宋体"/>
          <w:sz w:val="28"/>
          <w:szCs w:val="28"/>
        </w:rPr>
        <w:t>比赛用仪器设备、赛位由抽签确定，不得擅自变更、调整；</w:t>
      </w:r>
    </w:p>
    <w:p w14:paraId="19AEF4B1">
      <w:pPr>
        <w:spacing w:line="500" w:lineRule="exact"/>
        <w:ind w:firstLine="540" w:firstLineChars="200"/>
        <w:rPr>
          <w:rFonts w:ascii="宋体" w:hAnsi="宋体" w:eastAsia="宋体"/>
          <w:sz w:val="28"/>
          <w:szCs w:val="28"/>
        </w:rPr>
      </w:pPr>
      <w:r>
        <w:rPr>
          <w:rFonts w:ascii="宋体" w:hAnsi="宋体" w:eastAsia="宋体"/>
          <w:spacing w:val="-5"/>
          <w:sz w:val="28"/>
          <w:szCs w:val="28"/>
        </w:rPr>
        <w:t>4.</w:t>
      </w:r>
      <w:r>
        <w:rPr>
          <w:rFonts w:hint="eastAsia" w:ascii="宋体" w:hAnsi="宋体" w:eastAsia="宋体"/>
          <w:spacing w:val="-5"/>
          <w:sz w:val="28"/>
          <w:szCs w:val="28"/>
        </w:rPr>
        <w:t>选手在竞赛过程中不得擅自离开赛场，如有特殊情况，须经裁判人员同意。选手休息、饮水、上洗手间等，不安排专门用时，统一</w:t>
      </w:r>
      <w:r>
        <w:rPr>
          <w:rFonts w:ascii="宋体" w:hAnsi="宋体" w:eastAsia="宋体"/>
          <w:spacing w:val="-102"/>
          <w:sz w:val="28"/>
          <w:szCs w:val="28"/>
        </w:rPr>
        <w:t xml:space="preserve"> </w:t>
      </w:r>
      <w:r>
        <w:rPr>
          <w:rFonts w:hint="eastAsia" w:ascii="宋体" w:hAnsi="宋体" w:eastAsia="宋体"/>
          <w:sz w:val="28"/>
          <w:szCs w:val="28"/>
        </w:rPr>
        <w:t>计在竞赛时间内，竞赛计时工具，以赛场设置的时钟为准；</w:t>
      </w:r>
    </w:p>
    <w:p w14:paraId="67EDFB72">
      <w:pPr>
        <w:spacing w:line="500" w:lineRule="exact"/>
        <w:ind w:firstLine="540" w:firstLineChars="200"/>
        <w:rPr>
          <w:rFonts w:ascii="宋体" w:hAnsi="宋体" w:eastAsia="宋体"/>
          <w:sz w:val="28"/>
          <w:szCs w:val="28"/>
        </w:rPr>
      </w:pPr>
      <w:r>
        <w:rPr>
          <w:rFonts w:ascii="宋体" w:hAnsi="宋体" w:eastAsia="宋体"/>
          <w:spacing w:val="-5"/>
          <w:sz w:val="28"/>
          <w:szCs w:val="28"/>
        </w:rPr>
        <w:t>5.</w:t>
      </w:r>
      <w:r>
        <w:rPr>
          <w:rFonts w:hint="eastAsia" w:ascii="宋体" w:hAnsi="宋体" w:eastAsia="宋体"/>
          <w:spacing w:val="-5"/>
          <w:sz w:val="28"/>
          <w:szCs w:val="28"/>
        </w:rPr>
        <w:t>竞赛期间，选手不得将手机等通信工具带入赛场，非同组选手之间不得以任何方式传递信息，如传递纸条，用手势表达信息，用暗</w:t>
      </w:r>
      <w:r>
        <w:rPr>
          <w:rFonts w:ascii="宋体" w:hAnsi="宋体" w:eastAsia="宋体"/>
          <w:spacing w:val="-99"/>
          <w:sz w:val="28"/>
          <w:szCs w:val="28"/>
        </w:rPr>
        <w:t xml:space="preserve"> </w:t>
      </w:r>
      <w:r>
        <w:rPr>
          <w:rFonts w:hint="eastAsia" w:ascii="宋体" w:hAnsi="宋体" w:eastAsia="宋体"/>
          <w:sz w:val="28"/>
          <w:szCs w:val="28"/>
        </w:rPr>
        <w:t>语交换信息等；</w:t>
      </w:r>
    </w:p>
    <w:p w14:paraId="2FD439C1">
      <w:pPr>
        <w:spacing w:line="500" w:lineRule="exact"/>
        <w:ind w:firstLine="540" w:firstLineChars="200"/>
        <w:rPr>
          <w:rFonts w:ascii="宋体" w:hAnsi="宋体" w:eastAsia="宋体"/>
          <w:sz w:val="28"/>
          <w:szCs w:val="28"/>
        </w:rPr>
      </w:pPr>
      <w:r>
        <w:rPr>
          <w:rFonts w:ascii="宋体" w:hAnsi="宋体" w:eastAsia="宋体"/>
          <w:spacing w:val="-5"/>
          <w:sz w:val="28"/>
          <w:szCs w:val="28"/>
        </w:rPr>
        <w:t>6.</w:t>
      </w:r>
      <w:r>
        <w:rPr>
          <w:rFonts w:hint="eastAsia" w:ascii="宋体" w:hAnsi="宋体" w:eastAsia="宋体"/>
          <w:spacing w:val="-5"/>
          <w:sz w:val="28"/>
          <w:szCs w:val="28"/>
        </w:rPr>
        <w:t>所有人员在赛场内不得喧哗，不得有影响其他选手完成工作任</w:t>
      </w:r>
      <w:r>
        <w:rPr>
          <w:rFonts w:hint="eastAsia" w:ascii="宋体" w:hAnsi="宋体" w:eastAsia="宋体"/>
          <w:sz w:val="28"/>
          <w:szCs w:val="28"/>
        </w:rPr>
        <w:t>务的行为；</w:t>
      </w:r>
    </w:p>
    <w:p w14:paraId="7BB865D2">
      <w:pPr>
        <w:spacing w:line="500" w:lineRule="exact"/>
        <w:ind w:firstLine="540" w:firstLineChars="200"/>
        <w:rPr>
          <w:rFonts w:ascii="宋体" w:hAnsi="宋体" w:eastAsia="宋体"/>
          <w:spacing w:val="-10"/>
          <w:sz w:val="28"/>
          <w:szCs w:val="28"/>
        </w:rPr>
      </w:pPr>
      <w:r>
        <w:rPr>
          <w:rFonts w:ascii="宋体" w:hAnsi="宋体" w:eastAsia="宋体"/>
          <w:spacing w:val="-5"/>
          <w:sz w:val="28"/>
          <w:szCs w:val="28"/>
        </w:rPr>
        <w:t>7.</w:t>
      </w:r>
      <w:r>
        <w:rPr>
          <w:rFonts w:hint="eastAsia" w:ascii="宋体" w:hAnsi="宋体" w:eastAsia="宋体"/>
          <w:spacing w:val="-5"/>
          <w:sz w:val="28"/>
          <w:szCs w:val="28"/>
        </w:rPr>
        <w:t>爱护赛场提供的器材，不得移动赛场内台桌、设备和其它物品的定置，不得故意损坏设备和仪器；比赛过程中，参赛选手须严格遵</w:t>
      </w:r>
      <w:r>
        <w:rPr>
          <w:rFonts w:ascii="宋体" w:hAnsi="宋体" w:eastAsia="宋体"/>
          <w:spacing w:val="-100"/>
          <w:sz w:val="28"/>
          <w:szCs w:val="28"/>
        </w:rPr>
        <w:t xml:space="preserve"> </w:t>
      </w:r>
      <w:r>
        <w:rPr>
          <w:rFonts w:hint="eastAsia" w:ascii="宋体" w:hAnsi="宋体" w:eastAsia="宋体"/>
          <w:spacing w:val="-10"/>
          <w:sz w:val="28"/>
          <w:szCs w:val="28"/>
        </w:rPr>
        <w:t>守相关操作规程，确保设备及人身安全，并接受裁判员的监督和警示；</w:t>
      </w:r>
    </w:p>
    <w:p w14:paraId="6C2718C8">
      <w:pPr>
        <w:spacing w:line="500" w:lineRule="exact"/>
        <w:ind w:firstLine="540" w:firstLineChars="200"/>
        <w:rPr>
          <w:rFonts w:ascii="宋体" w:hAnsi="宋体" w:eastAsia="宋体"/>
          <w:sz w:val="28"/>
          <w:szCs w:val="28"/>
        </w:rPr>
      </w:pPr>
      <w:r>
        <w:rPr>
          <w:rFonts w:ascii="宋体" w:hAnsi="宋体" w:eastAsia="宋体"/>
          <w:spacing w:val="-5"/>
          <w:sz w:val="28"/>
          <w:szCs w:val="28"/>
        </w:rPr>
        <w:t>8.</w:t>
      </w:r>
      <w:r>
        <w:rPr>
          <w:rFonts w:hint="eastAsia" w:ascii="宋体" w:hAnsi="宋体" w:eastAsia="宋体"/>
          <w:spacing w:val="-5"/>
          <w:sz w:val="28"/>
          <w:szCs w:val="28"/>
        </w:rPr>
        <w:t>完成竞赛任务期间，不得与其他选手讨论，不得旁窥其他选手</w:t>
      </w:r>
      <w:r>
        <w:rPr>
          <w:rFonts w:hint="eastAsia" w:ascii="宋体" w:hAnsi="宋体" w:eastAsia="宋体"/>
          <w:sz w:val="28"/>
          <w:szCs w:val="28"/>
        </w:rPr>
        <w:t>的操作；</w:t>
      </w:r>
    </w:p>
    <w:p w14:paraId="32EE9549">
      <w:pPr>
        <w:spacing w:line="500" w:lineRule="exact"/>
        <w:ind w:firstLine="540" w:firstLineChars="200"/>
        <w:rPr>
          <w:rFonts w:ascii="宋体" w:hAnsi="宋体" w:eastAsia="宋体"/>
          <w:sz w:val="28"/>
          <w:szCs w:val="28"/>
        </w:rPr>
      </w:pPr>
      <w:r>
        <w:rPr>
          <w:rFonts w:ascii="宋体" w:hAnsi="宋体" w:eastAsia="宋体"/>
          <w:spacing w:val="-5"/>
          <w:sz w:val="28"/>
          <w:szCs w:val="28"/>
        </w:rPr>
        <w:t>9.</w:t>
      </w:r>
      <w:r>
        <w:rPr>
          <w:rFonts w:hint="eastAsia" w:ascii="宋体" w:hAnsi="宋体" w:eastAsia="宋体"/>
          <w:spacing w:val="-5"/>
          <w:sz w:val="28"/>
          <w:szCs w:val="28"/>
        </w:rPr>
        <w:t>遇事应先举手示意，并与裁判人员协商，按裁判人员的意见办</w:t>
      </w:r>
      <w:r>
        <w:rPr>
          <w:rFonts w:hint="eastAsia" w:ascii="宋体" w:hAnsi="宋体" w:eastAsia="宋体"/>
          <w:sz w:val="28"/>
          <w:szCs w:val="28"/>
        </w:rPr>
        <w:t>理；</w:t>
      </w:r>
    </w:p>
    <w:p w14:paraId="05E1E944">
      <w:pPr>
        <w:spacing w:line="500" w:lineRule="exact"/>
        <w:ind w:firstLine="596" w:firstLineChars="200"/>
        <w:rPr>
          <w:rFonts w:ascii="宋体" w:hAnsi="宋体" w:eastAsia="宋体"/>
          <w:sz w:val="28"/>
          <w:szCs w:val="28"/>
        </w:rPr>
      </w:pPr>
      <w:r>
        <w:rPr>
          <w:rFonts w:ascii="宋体" w:hAnsi="宋体" w:eastAsia="宋体"/>
          <w:spacing w:val="9"/>
          <w:sz w:val="28"/>
          <w:szCs w:val="28"/>
        </w:rPr>
        <w:t>10.</w:t>
      </w:r>
      <w:r>
        <w:rPr>
          <w:rFonts w:hint="eastAsia" w:ascii="宋体" w:hAnsi="宋体" w:eastAsia="宋体"/>
          <w:spacing w:val="9"/>
          <w:sz w:val="28"/>
          <w:szCs w:val="28"/>
        </w:rPr>
        <w:t>参赛选手须在赛位的计算机上规定的文件夹内存储比赛文</w:t>
      </w:r>
      <w:r>
        <w:rPr>
          <w:rFonts w:hint="eastAsia" w:ascii="宋体" w:hAnsi="宋体" w:eastAsia="宋体"/>
          <w:sz w:val="28"/>
          <w:szCs w:val="28"/>
        </w:rPr>
        <w:t>档；</w:t>
      </w:r>
    </w:p>
    <w:p w14:paraId="46BE7DB7">
      <w:pPr>
        <w:spacing w:line="500" w:lineRule="exact"/>
        <w:ind w:firstLine="560" w:firstLineChars="200"/>
        <w:rPr>
          <w:rFonts w:ascii="宋体" w:hAnsi="宋体" w:eastAsia="宋体"/>
          <w:sz w:val="28"/>
          <w:szCs w:val="28"/>
        </w:rPr>
      </w:pPr>
      <w:r>
        <w:rPr>
          <w:rFonts w:ascii="宋体" w:hAnsi="宋体" w:eastAsia="宋体"/>
          <w:sz w:val="28"/>
          <w:szCs w:val="28"/>
        </w:rPr>
        <w:t>11.</w:t>
      </w:r>
      <w:r>
        <w:rPr>
          <w:rFonts w:hint="eastAsia" w:ascii="宋体" w:hAnsi="宋体" w:eastAsia="宋体"/>
          <w:sz w:val="28"/>
          <w:szCs w:val="28"/>
        </w:rPr>
        <w:t>比赛过程中，选手须严格遵守安全操作规程，并接受裁判员</w:t>
      </w:r>
      <w:r>
        <w:rPr>
          <w:rFonts w:hint="eastAsia" w:ascii="宋体" w:hAnsi="宋体" w:eastAsia="宋体"/>
          <w:spacing w:val="-5"/>
          <w:sz w:val="28"/>
          <w:szCs w:val="28"/>
        </w:rPr>
        <w:t>的监督和警示，以确保人身及设备安全。选手因个人误操作造成人身</w:t>
      </w:r>
      <w:r>
        <w:rPr>
          <w:rFonts w:ascii="宋体" w:hAnsi="宋体" w:eastAsia="宋体"/>
          <w:spacing w:val="-103"/>
          <w:sz w:val="28"/>
          <w:szCs w:val="28"/>
        </w:rPr>
        <w:t xml:space="preserve"> </w:t>
      </w:r>
      <w:r>
        <w:rPr>
          <w:rFonts w:hint="eastAsia" w:ascii="宋体" w:hAnsi="宋体" w:eastAsia="宋体"/>
          <w:spacing w:val="-5"/>
          <w:sz w:val="28"/>
          <w:szCs w:val="28"/>
        </w:rPr>
        <w:t>安全事故和设备故障时，裁判长有权中止该队比赛；如非选手个人原</w:t>
      </w:r>
      <w:r>
        <w:rPr>
          <w:rFonts w:ascii="宋体" w:hAnsi="宋体" w:eastAsia="宋体"/>
          <w:spacing w:val="-103"/>
          <w:sz w:val="28"/>
          <w:szCs w:val="28"/>
        </w:rPr>
        <w:t xml:space="preserve"> </w:t>
      </w:r>
      <w:r>
        <w:rPr>
          <w:rFonts w:hint="eastAsia" w:ascii="宋体" w:hAnsi="宋体" w:eastAsia="宋体"/>
          <w:sz w:val="28"/>
          <w:szCs w:val="28"/>
        </w:rPr>
        <w:t>因出现设备故障而无法比赛，由裁判长视具体情况做出裁决</w:t>
      </w:r>
      <w:r>
        <w:rPr>
          <w:rFonts w:ascii="宋体" w:hAnsi="宋体" w:eastAsia="宋体"/>
          <w:sz w:val="28"/>
          <w:szCs w:val="28"/>
        </w:rPr>
        <w:t>(</w:t>
      </w:r>
      <w:r>
        <w:rPr>
          <w:rFonts w:hint="eastAsia" w:ascii="宋体" w:hAnsi="宋体" w:eastAsia="宋体"/>
          <w:sz w:val="28"/>
          <w:szCs w:val="28"/>
        </w:rPr>
        <w:t>调换到备份赛位或调整至最后一场次参加比赛</w:t>
      </w:r>
      <w:r>
        <w:rPr>
          <w:rFonts w:ascii="宋体" w:hAnsi="宋体" w:eastAsia="宋体"/>
          <w:sz w:val="28"/>
          <w:szCs w:val="28"/>
        </w:rPr>
        <w:t>)</w:t>
      </w:r>
      <w:r>
        <w:rPr>
          <w:rFonts w:hint="eastAsia" w:ascii="宋体" w:hAnsi="宋体" w:eastAsia="宋体"/>
          <w:sz w:val="28"/>
          <w:szCs w:val="28"/>
        </w:rPr>
        <w:t>；如裁判长确定设备故障可</w:t>
      </w:r>
      <w:r>
        <w:rPr>
          <w:rFonts w:ascii="宋体" w:hAnsi="宋体" w:eastAsia="宋体"/>
          <w:spacing w:val="-111"/>
          <w:sz w:val="28"/>
          <w:szCs w:val="28"/>
        </w:rPr>
        <w:t xml:space="preserve"> </w:t>
      </w:r>
      <w:r>
        <w:rPr>
          <w:rFonts w:hint="eastAsia" w:ascii="宋体" w:hAnsi="宋体" w:eastAsia="宋体"/>
          <w:spacing w:val="-5"/>
          <w:sz w:val="28"/>
          <w:szCs w:val="28"/>
        </w:rPr>
        <w:t>由技术支持人员排除故障后继续比赛，将给参赛队补足所耽误的比赛</w:t>
      </w:r>
      <w:r>
        <w:rPr>
          <w:rFonts w:ascii="宋体" w:hAnsi="宋体" w:eastAsia="宋体"/>
          <w:spacing w:val="-103"/>
          <w:sz w:val="28"/>
          <w:szCs w:val="28"/>
        </w:rPr>
        <w:t xml:space="preserve"> </w:t>
      </w:r>
      <w:r>
        <w:rPr>
          <w:rFonts w:hint="eastAsia" w:ascii="宋体" w:hAnsi="宋体" w:eastAsia="宋体"/>
          <w:sz w:val="28"/>
          <w:szCs w:val="28"/>
        </w:rPr>
        <w:t>时间；</w:t>
      </w:r>
    </w:p>
    <w:p w14:paraId="14E9AF2C">
      <w:pPr>
        <w:spacing w:line="500" w:lineRule="exact"/>
        <w:ind w:firstLine="560" w:firstLineChars="200"/>
        <w:rPr>
          <w:rFonts w:ascii="宋体" w:hAnsi="宋体" w:eastAsia="宋体"/>
          <w:sz w:val="28"/>
          <w:szCs w:val="28"/>
        </w:rPr>
      </w:pPr>
      <w:r>
        <w:rPr>
          <w:rFonts w:ascii="宋体" w:hAnsi="宋体" w:eastAsia="宋体"/>
          <w:sz w:val="28"/>
          <w:szCs w:val="28"/>
        </w:rPr>
        <w:t>12.</w:t>
      </w:r>
      <w:r>
        <w:rPr>
          <w:rFonts w:hint="eastAsia" w:ascii="宋体" w:hAnsi="宋体" w:eastAsia="宋体"/>
          <w:sz w:val="28"/>
          <w:szCs w:val="28"/>
        </w:rPr>
        <w:t>参赛队若要提前结束竞赛，应举手向裁判员示意，比赛结束时间由裁判员记录，参赛队结束比赛后不得再进行任何操作；</w:t>
      </w:r>
    </w:p>
    <w:p w14:paraId="63F1EEB8">
      <w:pPr>
        <w:spacing w:line="500" w:lineRule="exact"/>
        <w:ind w:firstLine="540" w:firstLineChars="200"/>
        <w:rPr>
          <w:rFonts w:ascii="宋体" w:hAnsi="宋体" w:eastAsia="宋体"/>
          <w:sz w:val="28"/>
          <w:szCs w:val="28"/>
        </w:rPr>
      </w:pPr>
      <w:r>
        <w:rPr>
          <w:rFonts w:ascii="宋体" w:hAnsi="宋体" w:eastAsia="宋体"/>
          <w:spacing w:val="-5"/>
          <w:sz w:val="28"/>
          <w:szCs w:val="28"/>
        </w:rPr>
        <w:t>1</w:t>
      </w:r>
      <w:r>
        <w:rPr>
          <w:rFonts w:hint="eastAsia" w:ascii="宋体" w:hAnsi="宋体" w:eastAsia="宋体"/>
          <w:spacing w:val="-5"/>
          <w:sz w:val="28"/>
          <w:szCs w:val="28"/>
        </w:rPr>
        <w:t>3</w:t>
      </w:r>
      <w:r>
        <w:rPr>
          <w:rFonts w:ascii="宋体" w:hAnsi="宋体" w:eastAsia="宋体"/>
          <w:spacing w:val="-5"/>
          <w:sz w:val="28"/>
          <w:szCs w:val="28"/>
        </w:rPr>
        <w:t>.</w:t>
      </w:r>
      <w:r>
        <w:rPr>
          <w:rFonts w:hint="eastAsia" w:ascii="宋体" w:hAnsi="宋体" w:eastAsia="宋体"/>
          <w:spacing w:val="-5"/>
          <w:sz w:val="28"/>
          <w:szCs w:val="28"/>
        </w:rPr>
        <w:t>选手须按照程序提交比赛结果，配合裁判做好赛场情况记录，</w:t>
      </w:r>
      <w:r>
        <w:rPr>
          <w:rFonts w:hint="eastAsia" w:ascii="宋体" w:hAnsi="宋体" w:eastAsia="宋体"/>
          <w:sz w:val="28"/>
          <w:szCs w:val="28"/>
        </w:rPr>
        <w:t>与裁判一起签字确认，裁判要求签名时不得拒绝；</w:t>
      </w:r>
    </w:p>
    <w:p w14:paraId="535FEA79">
      <w:pPr>
        <w:spacing w:line="500" w:lineRule="exact"/>
        <w:ind w:firstLine="560" w:firstLineChars="200"/>
        <w:rPr>
          <w:rFonts w:ascii="宋体" w:hAnsi="宋体" w:eastAsia="宋体"/>
          <w:sz w:val="28"/>
          <w:szCs w:val="28"/>
        </w:rPr>
      </w:pPr>
      <w:r>
        <w:rPr>
          <w:rFonts w:ascii="宋体" w:hAnsi="宋体" w:eastAsia="宋体"/>
          <w:sz w:val="28"/>
          <w:szCs w:val="28"/>
        </w:rPr>
        <w:t>1</w:t>
      </w:r>
      <w:r>
        <w:rPr>
          <w:rFonts w:hint="eastAsia" w:ascii="宋体" w:hAnsi="宋体" w:eastAsia="宋体"/>
          <w:sz w:val="28"/>
          <w:szCs w:val="28"/>
        </w:rPr>
        <w:t>4</w:t>
      </w:r>
      <w:r>
        <w:rPr>
          <w:rFonts w:ascii="宋体" w:hAnsi="宋体" w:eastAsia="宋体"/>
          <w:sz w:val="28"/>
          <w:szCs w:val="28"/>
        </w:rPr>
        <w:t>.</w:t>
      </w:r>
      <w:r>
        <w:rPr>
          <w:rFonts w:hint="eastAsia" w:ascii="宋体" w:hAnsi="宋体" w:eastAsia="宋体"/>
          <w:sz w:val="28"/>
          <w:szCs w:val="28"/>
        </w:rPr>
        <w:t>完成赛项任务及交接事宜或竞赛时间结束，应到指定地点，待工作人员宣布竞赛结束，方可离开；</w:t>
      </w:r>
    </w:p>
    <w:p w14:paraId="21B317CC">
      <w:pPr>
        <w:spacing w:line="500" w:lineRule="exact"/>
        <w:ind w:firstLine="560" w:firstLineChars="200"/>
        <w:rPr>
          <w:rFonts w:ascii="宋体" w:hAnsi="宋体" w:eastAsia="宋体"/>
          <w:sz w:val="28"/>
          <w:szCs w:val="28"/>
        </w:rPr>
      </w:pPr>
      <w:r>
        <w:rPr>
          <w:rFonts w:ascii="宋体" w:hAnsi="宋体" w:eastAsia="宋体"/>
          <w:sz w:val="28"/>
          <w:szCs w:val="28"/>
        </w:rPr>
        <w:t>1</w:t>
      </w:r>
      <w:r>
        <w:rPr>
          <w:rFonts w:hint="eastAsia" w:ascii="宋体" w:hAnsi="宋体" w:eastAsia="宋体"/>
          <w:sz w:val="28"/>
          <w:szCs w:val="28"/>
        </w:rPr>
        <w:t>5</w:t>
      </w:r>
      <w:r>
        <w:rPr>
          <w:rFonts w:ascii="宋体" w:hAnsi="宋体" w:eastAsia="宋体"/>
          <w:sz w:val="28"/>
          <w:szCs w:val="28"/>
        </w:rPr>
        <w:t>.</w:t>
      </w:r>
      <w:r>
        <w:rPr>
          <w:rFonts w:hint="eastAsia" w:ascii="宋体" w:hAnsi="宋体" w:eastAsia="宋体"/>
          <w:sz w:val="28"/>
          <w:szCs w:val="28"/>
        </w:rPr>
        <w:t>选手在比赛过程中遇到程序编写等内容不能自行完成，可以</w:t>
      </w:r>
      <w:r>
        <w:rPr>
          <w:rFonts w:hint="eastAsia" w:ascii="宋体" w:hAnsi="宋体" w:eastAsia="宋体"/>
          <w:spacing w:val="-5"/>
          <w:sz w:val="28"/>
          <w:szCs w:val="28"/>
        </w:rPr>
        <w:t>提出弃权，由技术保障人员帮助完成，参赛队弃权部分不得分。技术</w:t>
      </w:r>
      <w:r>
        <w:rPr>
          <w:rFonts w:ascii="宋体" w:hAnsi="宋体" w:eastAsia="宋体"/>
          <w:spacing w:val="-99"/>
          <w:sz w:val="28"/>
          <w:szCs w:val="28"/>
        </w:rPr>
        <w:t xml:space="preserve"> </w:t>
      </w:r>
      <w:r>
        <w:rPr>
          <w:rFonts w:hint="eastAsia" w:ascii="宋体" w:hAnsi="宋体" w:eastAsia="宋体"/>
          <w:sz w:val="28"/>
          <w:szCs w:val="28"/>
        </w:rPr>
        <w:t>保障人员帮助完成相关任务的时间，计入总的比赛时间；</w:t>
      </w:r>
    </w:p>
    <w:p w14:paraId="6EA4BFE7">
      <w:pPr>
        <w:spacing w:line="500" w:lineRule="exact"/>
        <w:ind w:firstLine="560" w:firstLineChars="200"/>
        <w:rPr>
          <w:rFonts w:ascii="宋体" w:hAnsi="宋体" w:eastAsia="宋体"/>
          <w:sz w:val="28"/>
          <w:szCs w:val="28"/>
        </w:rPr>
      </w:pPr>
      <w:r>
        <w:rPr>
          <w:rFonts w:ascii="宋体" w:hAnsi="宋体" w:eastAsia="宋体"/>
          <w:sz w:val="28"/>
          <w:szCs w:val="28"/>
        </w:rPr>
        <w:t>1</w:t>
      </w:r>
      <w:r>
        <w:rPr>
          <w:rFonts w:hint="eastAsia" w:ascii="宋体" w:hAnsi="宋体" w:eastAsia="宋体"/>
          <w:sz w:val="28"/>
          <w:szCs w:val="28"/>
        </w:rPr>
        <w:t>6</w:t>
      </w:r>
      <w:r>
        <w:rPr>
          <w:rFonts w:ascii="宋体" w:hAnsi="宋体" w:eastAsia="宋体"/>
          <w:sz w:val="28"/>
          <w:szCs w:val="28"/>
        </w:rPr>
        <w:t>.</w:t>
      </w:r>
      <w:r>
        <w:rPr>
          <w:rFonts w:hint="eastAsia" w:ascii="宋体" w:hAnsi="宋体" w:eastAsia="宋体"/>
          <w:sz w:val="28"/>
          <w:szCs w:val="28"/>
        </w:rPr>
        <w:t>不乱摆放工具，不乱丢杂物，完成工作任务后清洁赛位，清点工具。线头、废弃物品及工具，不得遗留在赛位上；</w:t>
      </w:r>
    </w:p>
    <w:p w14:paraId="4162F61B">
      <w:pPr>
        <w:spacing w:line="500" w:lineRule="exact"/>
        <w:ind w:firstLine="560" w:firstLineChars="200"/>
        <w:rPr>
          <w:rFonts w:ascii="宋体" w:hAnsi="宋体" w:eastAsia="宋体"/>
          <w:sz w:val="28"/>
          <w:szCs w:val="28"/>
        </w:rPr>
      </w:pPr>
      <w:r>
        <w:rPr>
          <w:rFonts w:ascii="宋体" w:hAnsi="宋体" w:eastAsia="宋体"/>
          <w:sz w:val="28"/>
          <w:szCs w:val="28"/>
        </w:rPr>
        <w:t>1</w:t>
      </w:r>
      <w:r>
        <w:rPr>
          <w:rFonts w:hint="eastAsia" w:ascii="宋体" w:hAnsi="宋体" w:eastAsia="宋体"/>
          <w:sz w:val="28"/>
          <w:szCs w:val="28"/>
        </w:rPr>
        <w:t>7</w:t>
      </w:r>
      <w:r>
        <w:rPr>
          <w:rFonts w:ascii="宋体" w:hAnsi="宋体" w:eastAsia="宋体"/>
          <w:sz w:val="28"/>
          <w:szCs w:val="28"/>
        </w:rPr>
        <w:t>.</w:t>
      </w:r>
      <w:r>
        <w:rPr>
          <w:rFonts w:hint="eastAsia" w:ascii="宋体" w:hAnsi="宋体" w:eastAsia="宋体"/>
          <w:sz w:val="28"/>
          <w:szCs w:val="28"/>
        </w:rPr>
        <w:t>使用文明用语，尊重裁判和其他选手，不得辱骂裁判和赛场工作人员，不得打架斗殴；</w:t>
      </w:r>
    </w:p>
    <w:p w14:paraId="0C8846F3">
      <w:pPr>
        <w:spacing w:line="500" w:lineRule="exact"/>
        <w:ind w:firstLine="560" w:firstLineChars="200"/>
        <w:rPr>
          <w:rFonts w:ascii="宋体" w:hAnsi="宋体" w:eastAsia="宋体"/>
          <w:sz w:val="28"/>
          <w:szCs w:val="28"/>
        </w:rPr>
      </w:pPr>
      <w:r>
        <w:rPr>
          <w:rFonts w:ascii="宋体" w:hAnsi="宋体" w:eastAsia="宋体"/>
          <w:sz w:val="28"/>
          <w:szCs w:val="28"/>
        </w:rPr>
        <w:t>1</w:t>
      </w:r>
      <w:r>
        <w:rPr>
          <w:rFonts w:hint="eastAsia" w:ascii="宋体" w:hAnsi="宋体" w:eastAsia="宋体"/>
          <w:sz w:val="28"/>
          <w:szCs w:val="28"/>
        </w:rPr>
        <w:t>8</w:t>
      </w:r>
      <w:r>
        <w:rPr>
          <w:rFonts w:ascii="宋体" w:hAnsi="宋体" w:eastAsia="宋体"/>
          <w:sz w:val="28"/>
          <w:szCs w:val="28"/>
        </w:rPr>
        <w:t>.</w:t>
      </w:r>
      <w:r>
        <w:rPr>
          <w:rFonts w:hint="eastAsia" w:ascii="宋体" w:hAnsi="宋体" w:eastAsia="宋体"/>
          <w:sz w:val="28"/>
          <w:szCs w:val="28"/>
        </w:rPr>
        <w:t>任何人不得以任何方式暗示、指导、帮助参赛选手，对造成后果的，视情节轻重酌情扣除参赛选手成绩；</w:t>
      </w:r>
    </w:p>
    <w:p w14:paraId="63168349">
      <w:pPr>
        <w:spacing w:line="500" w:lineRule="exact"/>
        <w:ind w:firstLine="560" w:firstLineChars="200"/>
        <w:rPr>
          <w:rFonts w:ascii="宋体" w:hAnsi="宋体" w:eastAsia="宋体"/>
          <w:sz w:val="28"/>
          <w:szCs w:val="28"/>
        </w:rPr>
      </w:pPr>
      <w:r>
        <w:rPr>
          <w:rFonts w:hint="eastAsia" w:ascii="宋体" w:hAnsi="宋体" w:eastAsia="宋体"/>
          <w:sz w:val="28"/>
          <w:szCs w:val="28"/>
        </w:rPr>
        <w:t>19</w:t>
      </w:r>
      <w:r>
        <w:rPr>
          <w:rFonts w:ascii="宋体" w:hAnsi="宋体" w:eastAsia="宋体"/>
          <w:sz w:val="28"/>
          <w:szCs w:val="28"/>
        </w:rPr>
        <w:t>.</w:t>
      </w:r>
      <w:r>
        <w:rPr>
          <w:rFonts w:hint="eastAsia" w:ascii="宋体" w:hAnsi="宋体" w:eastAsia="宋体"/>
          <w:sz w:val="28"/>
          <w:szCs w:val="28"/>
        </w:rPr>
        <w:t>比赛过程中，除参加当场次比赛的选手、执行裁判员、现场</w:t>
      </w:r>
      <w:r>
        <w:rPr>
          <w:rFonts w:hint="eastAsia" w:ascii="宋体" w:hAnsi="宋体" w:eastAsia="宋体"/>
          <w:spacing w:val="-5"/>
          <w:sz w:val="28"/>
          <w:szCs w:val="28"/>
        </w:rPr>
        <w:t>工作人员和经批准的人员外，其他人员一律不得进入比赛现场；比赛</w:t>
      </w:r>
      <w:r>
        <w:rPr>
          <w:rFonts w:ascii="宋体" w:hAnsi="宋体" w:eastAsia="宋体"/>
          <w:spacing w:val="-103"/>
          <w:sz w:val="28"/>
          <w:szCs w:val="28"/>
        </w:rPr>
        <w:t xml:space="preserve"> </w:t>
      </w:r>
      <w:r>
        <w:rPr>
          <w:rFonts w:hint="eastAsia" w:ascii="宋体" w:hAnsi="宋体" w:eastAsia="宋体"/>
          <w:spacing w:val="-5"/>
          <w:sz w:val="28"/>
          <w:szCs w:val="28"/>
        </w:rPr>
        <w:t>结束后，参赛人员应根据指令及时退出比赛现场。对不听劝阻、无理</w:t>
      </w:r>
      <w:r>
        <w:rPr>
          <w:rFonts w:ascii="宋体" w:hAnsi="宋体" w:eastAsia="宋体"/>
          <w:spacing w:val="-100"/>
          <w:sz w:val="28"/>
          <w:szCs w:val="28"/>
        </w:rPr>
        <w:t xml:space="preserve"> </w:t>
      </w:r>
      <w:r>
        <w:rPr>
          <w:rFonts w:hint="eastAsia" w:ascii="宋体" w:hAnsi="宋体" w:eastAsia="宋体"/>
          <w:sz w:val="28"/>
          <w:szCs w:val="28"/>
        </w:rPr>
        <w:t>取闹者追究责任，并通报批评；</w:t>
      </w:r>
    </w:p>
    <w:p w14:paraId="71B76B65">
      <w:pPr>
        <w:spacing w:line="500" w:lineRule="exact"/>
        <w:ind w:firstLine="560" w:firstLineChars="200"/>
        <w:rPr>
          <w:rFonts w:ascii="宋体" w:hAnsi="宋体" w:eastAsia="宋体"/>
          <w:sz w:val="28"/>
          <w:szCs w:val="28"/>
        </w:rPr>
      </w:pPr>
      <w:r>
        <w:rPr>
          <w:rFonts w:ascii="宋体" w:hAnsi="宋体" w:eastAsia="宋体"/>
          <w:sz w:val="28"/>
          <w:szCs w:val="28"/>
        </w:rPr>
        <w:t>2</w:t>
      </w:r>
      <w:r>
        <w:rPr>
          <w:rFonts w:hint="eastAsia" w:ascii="宋体" w:hAnsi="宋体" w:eastAsia="宋体"/>
          <w:sz w:val="28"/>
          <w:szCs w:val="28"/>
        </w:rPr>
        <w:t>0</w:t>
      </w:r>
      <w:r>
        <w:rPr>
          <w:rFonts w:ascii="宋体" w:hAnsi="宋体" w:eastAsia="宋体"/>
          <w:sz w:val="28"/>
          <w:szCs w:val="28"/>
        </w:rPr>
        <w:t>.</w:t>
      </w:r>
      <w:r>
        <w:rPr>
          <w:rFonts w:hint="eastAsia" w:ascii="宋体" w:hAnsi="宋体" w:eastAsia="宋体"/>
          <w:sz w:val="28"/>
          <w:szCs w:val="28"/>
        </w:rPr>
        <w:t>裁判长在比赛结束前有</w:t>
      </w:r>
      <w:r>
        <w:rPr>
          <w:rFonts w:ascii="宋体" w:hAnsi="宋体" w:eastAsia="宋体"/>
          <w:sz w:val="28"/>
          <w:szCs w:val="28"/>
        </w:rPr>
        <w:t>2</w:t>
      </w:r>
      <w:r>
        <w:rPr>
          <w:rFonts w:ascii="宋体" w:hAnsi="宋体" w:eastAsia="宋体"/>
          <w:spacing w:val="-112"/>
          <w:sz w:val="28"/>
          <w:szCs w:val="28"/>
        </w:rPr>
        <w:t xml:space="preserve"> </w:t>
      </w:r>
      <w:r>
        <w:rPr>
          <w:rFonts w:hint="eastAsia" w:ascii="宋体" w:hAnsi="宋体" w:eastAsia="宋体"/>
          <w:sz w:val="28"/>
          <w:szCs w:val="28"/>
        </w:rPr>
        <w:t>次时间提醒，裁判长发布比赛结束</w:t>
      </w:r>
      <w:r>
        <w:rPr>
          <w:rFonts w:hint="eastAsia" w:ascii="宋体" w:hAnsi="宋体" w:eastAsia="宋体"/>
          <w:spacing w:val="-5"/>
          <w:sz w:val="28"/>
          <w:szCs w:val="28"/>
        </w:rPr>
        <w:t>指令后所有未完成任务参赛队立即停止操作，按要求清理赛位，不得</w:t>
      </w:r>
      <w:r>
        <w:rPr>
          <w:rFonts w:ascii="宋体" w:hAnsi="宋体" w:eastAsia="宋体"/>
          <w:spacing w:val="-103"/>
          <w:sz w:val="28"/>
          <w:szCs w:val="28"/>
        </w:rPr>
        <w:t xml:space="preserve"> </w:t>
      </w:r>
      <w:r>
        <w:rPr>
          <w:rFonts w:hint="eastAsia" w:ascii="宋体" w:hAnsi="宋体" w:eastAsia="宋体"/>
          <w:sz w:val="28"/>
          <w:szCs w:val="28"/>
        </w:rPr>
        <w:t>以任何理由拖延竞赛时间；</w:t>
      </w:r>
    </w:p>
    <w:p w14:paraId="24A006C4">
      <w:pPr>
        <w:spacing w:line="500" w:lineRule="exact"/>
        <w:ind w:firstLine="560" w:firstLineChars="200"/>
        <w:rPr>
          <w:rFonts w:ascii="宋体" w:hAnsi="宋体" w:eastAsia="宋体"/>
          <w:sz w:val="28"/>
          <w:szCs w:val="28"/>
        </w:rPr>
      </w:pPr>
      <w:r>
        <w:rPr>
          <w:rFonts w:ascii="宋体" w:hAnsi="宋体" w:eastAsia="宋体"/>
          <w:sz w:val="28"/>
          <w:szCs w:val="28"/>
        </w:rPr>
        <w:t>2</w:t>
      </w:r>
      <w:r>
        <w:rPr>
          <w:rFonts w:hint="eastAsia" w:ascii="宋体" w:hAnsi="宋体" w:eastAsia="宋体"/>
          <w:sz w:val="28"/>
          <w:szCs w:val="28"/>
        </w:rPr>
        <w:t>1</w:t>
      </w:r>
      <w:r>
        <w:rPr>
          <w:rFonts w:ascii="宋体" w:hAnsi="宋体" w:eastAsia="宋体"/>
          <w:sz w:val="28"/>
          <w:szCs w:val="28"/>
        </w:rPr>
        <w:t>.</w:t>
      </w:r>
      <w:r>
        <w:rPr>
          <w:rFonts w:hint="eastAsia" w:ascii="宋体" w:hAnsi="宋体" w:eastAsia="宋体"/>
          <w:sz w:val="28"/>
          <w:szCs w:val="28"/>
        </w:rPr>
        <w:t>参赛选手不得将竞赛任务书、图纸、草稿纸和工具等与比赛</w:t>
      </w:r>
      <w:r>
        <w:rPr>
          <w:rFonts w:hint="eastAsia" w:ascii="宋体" w:hAnsi="宋体" w:eastAsia="宋体"/>
          <w:spacing w:val="-5"/>
          <w:sz w:val="28"/>
          <w:szCs w:val="28"/>
        </w:rPr>
        <w:t>有关的物品带离赛场，选手必须经现场裁判员检查许可后方能离开赛</w:t>
      </w:r>
      <w:r>
        <w:rPr>
          <w:rFonts w:ascii="宋体" w:hAnsi="宋体" w:eastAsia="宋体"/>
          <w:spacing w:val="-103"/>
          <w:sz w:val="28"/>
          <w:szCs w:val="28"/>
        </w:rPr>
        <w:t xml:space="preserve"> </w:t>
      </w:r>
      <w:r>
        <w:rPr>
          <w:rFonts w:hint="eastAsia" w:ascii="宋体" w:hAnsi="宋体" w:eastAsia="宋体"/>
          <w:sz w:val="28"/>
          <w:szCs w:val="28"/>
        </w:rPr>
        <w:t>场；</w:t>
      </w:r>
    </w:p>
    <w:p w14:paraId="2A305775">
      <w:pPr>
        <w:spacing w:line="500" w:lineRule="exact"/>
        <w:ind w:firstLine="560" w:firstLineChars="200"/>
        <w:rPr>
          <w:rFonts w:ascii="宋体" w:hAnsi="宋体" w:eastAsia="宋体"/>
          <w:sz w:val="28"/>
          <w:szCs w:val="28"/>
        </w:rPr>
      </w:pPr>
      <w:r>
        <w:rPr>
          <w:rFonts w:ascii="宋体" w:hAnsi="宋体" w:eastAsia="宋体"/>
          <w:sz w:val="28"/>
          <w:szCs w:val="28"/>
        </w:rPr>
        <w:t>2</w:t>
      </w:r>
      <w:r>
        <w:rPr>
          <w:rFonts w:hint="eastAsia" w:ascii="宋体" w:hAnsi="宋体" w:eastAsia="宋体"/>
          <w:sz w:val="28"/>
          <w:szCs w:val="28"/>
        </w:rPr>
        <w:t>2</w:t>
      </w:r>
      <w:r>
        <w:rPr>
          <w:rFonts w:ascii="宋体" w:hAnsi="宋体" w:eastAsia="宋体"/>
          <w:sz w:val="28"/>
          <w:szCs w:val="28"/>
        </w:rPr>
        <w:t>.</w:t>
      </w:r>
      <w:r>
        <w:rPr>
          <w:rFonts w:hint="eastAsia" w:ascii="宋体" w:hAnsi="宋体" w:eastAsia="宋体"/>
          <w:sz w:val="28"/>
          <w:szCs w:val="28"/>
        </w:rPr>
        <w:t>参赛队需按照竞赛要求提交竞赛结果，裁判员与参赛选手一起签字确认。</w:t>
      </w:r>
    </w:p>
    <w:p w14:paraId="1B97FD92">
      <w:pPr>
        <w:spacing w:line="500" w:lineRule="exact"/>
        <w:ind w:firstLine="560" w:firstLineChars="200"/>
        <w:rPr>
          <w:rFonts w:ascii="宋体" w:hAnsi="宋体" w:eastAsia="宋体"/>
          <w:sz w:val="28"/>
          <w:szCs w:val="28"/>
        </w:rPr>
      </w:pPr>
      <w:r>
        <w:rPr>
          <w:rFonts w:hint="eastAsia" w:ascii="宋体" w:hAnsi="宋体" w:eastAsia="宋体"/>
          <w:sz w:val="28"/>
          <w:szCs w:val="28"/>
        </w:rPr>
        <w:t>（五）成绩公布</w:t>
      </w:r>
    </w:p>
    <w:p w14:paraId="30E78A41">
      <w:pPr>
        <w:spacing w:line="500" w:lineRule="exact"/>
        <w:ind w:firstLine="560" w:firstLineChars="200"/>
        <w:rPr>
          <w:rFonts w:ascii="宋体" w:hAnsi="宋体" w:eastAsia="宋体"/>
          <w:sz w:val="28"/>
          <w:szCs w:val="28"/>
        </w:rPr>
      </w:pPr>
      <w:r>
        <w:rPr>
          <w:rFonts w:ascii="宋体" w:hAnsi="宋体" w:eastAsia="宋体"/>
          <w:sz w:val="28"/>
          <w:szCs w:val="28"/>
        </w:rPr>
        <w:t>1.</w:t>
      </w:r>
      <w:r>
        <w:rPr>
          <w:rFonts w:hint="eastAsia" w:ascii="宋体" w:hAnsi="宋体" w:eastAsia="宋体"/>
          <w:sz w:val="28"/>
          <w:szCs w:val="28"/>
        </w:rPr>
        <w:t>组织分工</w:t>
      </w:r>
      <w:r>
        <w:rPr>
          <w:rFonts w:hint="eastAsia" w:ascii="宋体" w:hAnsi="宋体" w:eastAsia="宋体"/>
          <w:spacing w:val="-5"/>
          <w:sz w:val="28"/>
          <w:szCs w:val="28"/>
        </w:rPr>
        <w:t>在赛项执委会的领导下成立由检录组、裁判组、监督仲裁组组成</w:t>
      </w:r>
      <w:r>
        <w:rPr>
          <w:rFonts w:hint="eastAsia" w:ascii="宋体" w:hAnsi="宋体" w:eastAsia="宋体"/>
          <w:sz w:val="28"/>
          <w:szCs w:val="28"/>
        </w:rPr>
        <w:t>的成绩管理组织机构。具体要求与分工如下：</w:t>
      </w:r>
    </w:p>
    <w:p w14:paraId="3DAFACA4">
      <w:pPr>
        <w:spacing w:line="500" w:lineRule="exact"/>
        <w:ind w:firstLine="568" w:firstLineChars="200"/>
        <w:rPr>
          <w:rFonts w:ascii="宋体" w:hAnsi="宋体" w:eastAsia="宋体"/>
          <w:sz w:val="28"/>
          <w:szCs w:val="28"/>
        </w:rPr>
      </w:pPr>
      <w:r>
        <w:rPr>
          <w:rFonts w:hint="eastAsia" w:ascii="宋体" w:hAnsi="宋体" w:eastAsia="宋体"/>
          <w:spacing w:val="2"/>
          <w:sz w:val="28"/>
          <w:szCs w:val="28"/>
        </w:rPr>
        <w:t>（</w:t>
      </w:r>
      <w:r>
        <w:rPr>
          <w:rFonts w:ascii="宋体" w:hAnsi="宋体" w:eastAsia="宋体"/>
          <w:spacing w:val="2"/>
          <w:sz w:val="28"/>
          <w:szCs w:val="28"/>
        </w:rPr>
        <w:t>1</w:t>
      </w:r>
      <w:r>
        <w:rPr>
          <w:rFonts w:hint="eastAsia" w:ascii="宋体" w:hAnsi="宋体" w:eastAsia="宋体"/>
          <w:spacing w:val="2"/>
          <w:sz w:val="28"/>
          <w:szCs w:val="28"/>
        </w:rPr>
        <w:t>）检录工作人员负责对参赛队伍（选手）进行点名登记、身份</w:t>
      </w:r>
      <w:r>
        <w:rPr>
          <w:rFonts w:hint="eastAsia" w:ascii="宋体" w:hAnsi="宋体" w:eastAsia="宋体"/>
          <w:sz w:val="28"/>
          <w:szCs w:val="28"/>
        </w:rPr>
        <w:t>核对等工作。检录工作由赛项承办院校工作人员承担。</w:t>
      </w:r>
    </w:p>
    <w:p w14:paraId="177EDEEE">
      <w:pPr>
        <w:spacing w:line="500" w:lineRule="exact"/>
        <w:ind w:firstLine="568" w:firstLineChars="200"/>
        <w:rPr>
          <w:rFonts w:ascii="宋体" w:hAnsi="宋体" w:eastAsia="宋体"/>
          <w:sz w:val="28"/>
          <w:szCs w:val="28"/>
        </w:rPr>
      </w:pPr>
      <w:r>
        <w:rPr>
          <w:rFonts w:hint="eastAsia" w:ascii="宋体" w:hAnsi="宋体" w:eastAsia="宋体"/>
          <w:spacing w:val="2"/>
          <w:sz w:val="28"/>
          <w:szCs w:val="28"/>
        </w:rPr>
        <w:t>（</w:t>
      </w:r>
      <w:r>
        <w:rPr>
          <w:rFonts w:ascii="宋体" w:hAnsi="宋体" w:eastAsia="宋体"/>
          <w:spacing w:val="2"/>
          <w:sz w:val="28"/>
          <w:szCs w:val="28"/>
        </w:rPr>
        <w:t>2</w:t>
      </w:r>
      <w:r>
        <w:rPr>
          <w:rFonts w:hint="eastAsia" w:ascii="宋体" w:hAnsi="宋体" w:eastAsia="宋体"/>
          <w:spacing w:val="2"/>
          <w:sz w:val="28"/>
          <w:szCs w:val="28"/>
        </w:rPr>
        <w:t>）裁判组实行</w:t>
      </w:r>
      <w:r>
        <w:rPr>
          <w:rFonts w:hint="eastAsia" w:ascii="宋体" w:hAnsi="宋体" w:eastAsia="宋体" w:cs="仿宋"/>
          <w:spacing w:val="2"/>
          <w:sz w:val="28"/>
          <w:szCs w:val="28"/>
        </w:rPr>
        <w:t>“</w:t>
      </w:r>
      <w:r>
        <w:rPr>
          <w:rFonts w:hint="eastAsia" w:ascii="宋体" w:hAnsi="宋体" w:eastAsia="宋体"/>
          <w:spacing w:val="2"/>
          <w:sz w:val="28"/>
          <w:szCs w:val="28"/>
        </w:rPr>
        <w:t>裁判长负责制</w:t>
      </w:r>
      <w:r>
        <w:rPr>
          <w:rFonts w:hint="eastAsia" w:ascii="宋体" w:hAnsi="宋体" w:eastAsia="宋体" w:cs="仿宋"/>
          <w:spacing w:val="2"/>
          <w:sz w:val="28"/>
          <w:szCs w:val="28"/>
        </w:rPr>
        <w:t>”</w:t>
      </w:r>
      <w:r>
        <w:rPr>
          <w:rFonts w:hint="eastAsia" w:ascii="宋体" w:hAnsi="宋体" w:eastAsia="宋体"/>
          <w:spacing w:val="2"/>
          <w:sz w:val="28"/>
          <w:szCs w:val="28"/>
        </w:rPr>
        <w:t>，设裁判长</w:t>
      </w:r>
      <w:r>
        <w:rPr>
          <w:rFonts w:ascii="宋体" w:hAnsi="宋体" w:eastAsia="宋体"/>
          <w:sz w:val="28"/>
          <w:szCs w:val="28"/>
        </w:rPr>
        <w:t>1</w:t>
      </w:r>
      <w:r>
        <w:rPr>
          <w:rFonts w:ascii="宋体" w:hAnsi="宋体" w:eastAsia="宋体"/>
          <w:spacing w:val="-84"/>
          <w:sz w:val="28"/>
          <w:szCs w:val="28"/>
        </w:rPr>
        <w:t xml:space="preserve"> </w:t>
      </w:r>
      <w:r>
        <w:rPr>
          <w:rFonts w:hint="eastAsia" w:ascii="宋体" w:hAnsi="宋体" w:eastAsia="宋体"/>
          <w:spacing w:val="2"/>
          <w:sz w:val="28"/>
          <w:szCs w:val="28"/>
        </w:rPr>
        <w:t>名，全面负责赛</w:t>
      </w:r>
      <w:r>
        <w:rPr>
          <w:rFonts w:hint="eastAsia" w:ascii="宋体" w:hAnsi="宋体" w:eastAsia="宋体"/>
          <w:sz w:val="28"/>
          <w:szCs w:val="28"/>
        </w:rPr>
        <w:t>项的裁判管理工作并处理比赛中出现的争议问题。</w:t>
      </w:r>
    </w:p>
    <w:p w14:paraId="793B11A5">
      <w:pPr>
        <w:spacing w:line="500" w:lineRule="exact"/>
        <w:ind w:firstLine="560" w:firstLineChars="200"/>
        <w:rPr>
          <w:rFonts w:ascii="宋体" w:hAnsi="宋体" w:eastAsia="宋体"/>
          <w:spacing w:val="-10"/>
          <w:sz w:val="28"/>
          <w:szCs w:val="28"/>
        </w:rPr>
      </w:pPr>
      <w:r>
        <w:rPr>
          <w:rFonts w:hint="eastAsia" w:ascii="宋体" w:hAnsi="宋体" w:eastAsia="宋体"/>
          <w:sz w:val="28"/>
          <w:szCs w:val="28"/>
        </w:rPr>
        <w:t>（</w:t>
      </w:r>
      <w:r>
        <w:rPr>
          <w:rFonts w:ascii="宋体" w:hAnsi="宋体" w:eastAsia="宋体"/>
          <w:sz w:val="28"/>
          <w:szCs w:val="28"/>
        </w:rPr>
        <w:t>3</w:t>
      </w:r>
      <w:r>
        <w:rPr>
          <w:rFonts w:hint="eastAsia" w:ascii="宋体" w:hAnsi="宋体" w:eastAsia="宋体"/>
          <w:sz w:val="28"/>
          <w:szCs w:val="28"/>
        </w:rPr>
        <w:t>）裁判员根据比赛需要分为加密裁判、现场裁判和评分裁判。</w:t>
      </w:r>
      <w:r>
        <w:rPr>
          <w:rFonts w:hint="eastAsia" w:ascii="宋体" w:hAnsi="宋体" w:eastAsia="宋体"/>
          <w:spacing w:val="-5"/>
          <w:sz w:val="28"/>
          <w:szCs w:val="28"/>
        </w:rPr>
        <w:t>加密裁判：负责组织参赛队伍（选手）抽签，对参赛队信息、抽</w:t>
      </w:r>
      <w:r>
        <w:rPr>
          <w:rFonts w:hint="eastAsia" w:ascii="宋体" w:hAnsi="宋体" w:eastAsia="宋体"/>
          <w:spacing w:val="4"/>
          <w:sz w:val="28"/>
          <w:szCs w:val="28"/>
        </w:rPr>
        <w:t>签代码等进行加密；各赛项加密裁判由赛区执委会根据赛项要求确</w:t>
      </w:r>
      <w:r>
        <w:rPr>
          <w:rFonts w:ascii="宋体" w:hAnsi="宋体" w:eastAsia="宋体"/>
          <w:spacing w:val="-80"/>
          <w:sz w:val="28"/>
          <w:szCs w:val="28"/>
        </w:rPr>
        <w:t xml:space="preserve"> </w:t>
      </w:r>
      <w:r>
        <w:rPr>
          <w:rFonts w:hint="eastAsia" w:ascii="宋体" w:hAnsi="宋体" w:eastAsia="宋体"/>
          <w:spacing w:val="-10"/>
          <w:sz w:val="28"/>
          <w:szCs w:val="28"/>
        </w:rPr>
        <w:t>定。同一赛项的加密裁判来自不同单位。加密裁判不得参与评分工作。</w:t>
      </w:r>
    </w:p>
    <w:p w14:paraId="6A20E831">
      <w:pPr>
        <w:spacing w:line="500" w:lineRule="exact"/>
        <w:ind w:firstLine="540" w:firstLineChars="200"/>
        <w:rPr>
          <w:rFonts w:ascii="宋体" w:hAnsi="宋体" w:eastAsia="宋体"/>
          <w:sz w:val="28"/>
          <w:szCs w:val="28"/>
        </w:rPr>
      </w:pPr>
      <w:r>
        <w:rPr>
          <w:rFonts w:hint="eastAsia" w:ascii="宋体" w:hAnsi="宋体" w:eastAsia="宋体"/>
          <w:spacing w:val="-5"/>
          <w:sz w:val="28"/>
          <w:szCs w:val="28"/>
        </w:rPr>
        <w:t>现场裁判：按规定做好赛场记录，维护赛场纪律，评定参赛队的</w:t>
      </w:r>
      <w:r>
        <w:rPr>
          <w:rFonts w:hint="eastAsia" w:ascii="宋体" w:hAnsi="宋体" w:eastAsia="宋体"/>
          <w:sz w:val="28"/>
          <w:szCs w:val="28"/>
        </w:rPr>
        <w:t>现场得分。</w:t>
      </w:r>
    </w:p>
    <w:p w14:paraId="0B788662">
      <w:pPr>
        <w:spacing w:line="500" w:lineRule="exact"/>
        <w:ind w:firstLine="540" w:firstLineChars="200"/>
        <w:rPr>
          <w:rFonts w:ascii="宋体" w:hAnsi="宋体" w:eastAsia="宋体"/>
          <w:sz w:val="28"/>
          <w:szCs w:val="28"/>
        </w:rPr>
      </w:pPr>
      <w:r>
        <w:rPr>
          <w:rFonts w:hint="eastAsia" w:ascii="宋体" w:hAnsi="宋体" w:eastAsia="宋体"/>
          <w:spacing w:val="-5"/>
          <w:sz w:val="28"/>
          <w:szCs w:val="28"/>
        </w:rPr>
        <w:t>评分裁判：负责对参赛队伍（选手）的比赛任务完成、比赛表现</w:t>
      </w:r>
      <w:r>
        <w:rPr>
          <w:rFonts w:hint="eastAsia" w:ascii="宋体" w:hAnsi="宋体" w:eastAsia="宋体"/>
          <w:sz w:val="28"/>
          <w:szCs w:val="28"/>
        </w:rPr>
        <w:t>按赛项评分标准进行评定。</w:t>
      </w:r>
    </w:p>
    <w:p w14:paraId="29C80444">
      <w:pPr>
        <w:spacing w:line="500" w:lineRule="exact"/>
        <w:ind w:firstLine="568" w:firstLineChars="200"/>
        <w:rPr>
          <w:rFonts w:ascii="宋体" w:hAnsi="宋体" w:eastAsia="宋体"/>
          <w:sz w:val="28"/>
          <w:szCs w:val="28"/>
        </w:rPr>
      </w:pPr>
      <w:r>
        <w:rPr>
          <w:rFonts w:hint="eastAsia" w:ascii="宋体" w:hAnsi="宋体" w:eastAsia="宋体"/>
          <w:spacing w:val="2"/>
          <w:sz w:val="28"/>
          <w:szCs w:val="28"/>
        </w:rPr>
        <w:t>（</w:t>
      </w:r>
      <w:r>
        <w:rPr>
          <w:rFonts w:ascii="宋体" w:hAnsi="宋体" w:eastAsia="宋体"/>
          <w:spacing w:val="2"/>
          <w:sz w:val="28"/>
          <w:szCs w:val="28"/>
        </w:rPr>
        <w:t>4</w:t>
      </w:r>
      <w:r>
        <w:rPr>
          <w:rFonts w:hint="eastAsia" w:ascii="宋体" w:hAnsi="宋体" w:eastAsia="宋体"/>
          <w:spacing w:val="2"/>
          <w:sz w:val="28"/>
          <w:szCs w:val="28"/>
        </w:rPr>
        <w:t>）监督仲裁组对裁判组的工作进行全程监督，并对竞赛成绩抽</w:t>
      </w:r>
      <w:r>
        <w:rPr>
          <w:rFonts w:hint="eastAsia" w:ascii="宋体" w:hAnsi="宋体" w:eastAsia="宋体"/>
          <w:spacing w:val="-5"/>
          <w:sz w:val="28"/>
          <w:szCs w:val="28"/>
        </w:rPr>
        <w:t>检复核；负责接受由参赛队领队提出的对裁判结果的申诉，组织复议</w:t>
      </w:r>
      <w:r>
        <w:rPr>
          <w:rFonts w:ascii="宋体" w:hAnsi="宋体" w:eastAsia="宋体"/>
          <w:spacing w:val="-103"/>
          <w:sz w:val="28"/>
          <w:szCs w:val="28"/>
        </w:rPr>
        <w:t xml:space="preserve"> </w:t>
      </w:r>
      <w:r>
        <w:rPr>
          <w:rFonts w:hint="eastAsia" w:ascii="宋体" w:hAnsi="宋体" w:eastAsia="宋体"/>
          <w:sz w:val="28"/>
          <w:szCs w:val="28"/>
        </w:rPr>
        <w:t>并及时反馈复议结果。</w:t>
      </w:r>
    </w:p>
    <w:p w14:paraId="7958740D">
      <w:pPr>
        <w:spacing w:line="500" w:lineRule="exact"/>
        <w:ind w:firstLine="560" w:firstLineChars="200"/>
        <w:rPr>
          <w:rFonts w:ascii="宋体" w:hAnsi="宋体" w:eastAsia="宋体"/>
          <w:sz w:val="28"/>
          <w:szCs w:val="28"/>
        </w:rPr>
      </w:pPr>
      <w:r>
        <w:rPr>
          <w:rFonts w:ascii="宋体" w:hAnsi="宋体" w:eastAsia="宋体"/>
          <w:sz w:val="28"/>
          <w:szCs w:val="28"/>
        </w:rPr>
        <w:t>2.</w:t>
      </w:r>
      <w:r>
        <w:rPr>
          <w:rFonts w:hint="eastAsia" w:ascii="宋体" w:hAnsi="宋体" w:eastAsia="宋体"/>
          <w:sz w:val="28"/>
          <w:szCs w:val="28"/>
        </w:rPr>
        <w:t>成绩管理程序</w:t>
      </w:r>
      <w:r>
        <w:rPr>
          <w:rFonts w:hint="eastAsia" w:ascii="宋体" w:hAnsi="宋体" w:eastAsia="宋体"/>
          <w:spacing w:val="-5"/>
          <w:sz w:val="28"/>
          <w:szCs w:val="28"/>
        </w:rPr>
        <w:t>按照相关制度要求，参赛队伍的成绩评定与管理按照严密的程序</w:t>
      </w:r>
      <w:r>
        <w:rPr>
          <w:rFonts w:hint="eastAsia" w:ascii="宋体" w:hAnsi="宋体" w:eastAsia="宋体"/>
          <w:sz w:val="28"/>
          <w:szCs w:val="28"/>
        </w:rPr>
        <w:t>进行。</w:t>
      </w:r>
    </w:p>
    <w:p w14:paraId="5168FE46">
      <w:pPr>
        <w:spacing w:line="500" w:lineRule="exact"/>
        <w:ind w:firstLine="560" w:firstLineChars="200"/>
        <w:rPr>
          <w:rFonts w:ascii="宋体" w:hAnsi="宋体" w:eastAsia="宋体"/>
          <w:sz w:val="28"/>
          <w:szCs w:val="28"/>
        </w:rPr>
      </w:pPr>
      <w:r>
        <w:rPr>
          <w:rFonts w:ascii="宋体" w:hAnsi="宋体" w:eastAsia="宋体"/>
          <w:sz w:val="28"/>
          <w:szCs w:val="28"/>
        </w:rPr>
        <w:t>3.</w:t>
      </w:r>
      <w:r>
        <w:rPr>
          <w:rFonts w:hint="eastAsia" w:ascii="宋体" w:hAnsi="宋体" w:eastAsia="宋体"/>
          <w:sz w:val="28"/>
          <w:szCs w:val="28"/>
        </w:rPr>
        <w:t>成绩评分</w:t>
      </w:r>
    </w:p>
    <w:p w14:paraId="43EF9E78">
      <w:pPr>
        <w:spacing w:line="500" w:lineRule="exact"/>
        <w:ind w:firstLine="560" w:firstLineChars="200"/>
        <w:rPr>
          <w:rFonts w:ascii="宋体" w:hAnsi="宋体" w:eastAsia="宋体"/>
          <w:sz w:val="28"/>
          <w:szCs w:val="28"/>
        </w:rPr>
      </w:pPr>
      <w:r>
        <w:rPr>
          <w:rFonts w:hint="eastAsia" w:ascii="宋体" w:hAnsi="宋体" w:eastAsia="宋体"/>
          <w:sz w:val="28"/>
          <w:szCs w:val="28"/>
        </w:rPr>
        <w:t>（</w:t>
      </w:r>
      <w:r>
        <w:rPr>
          <w:rFonts w:ascii="宋体" w:hAnsi="宋体" w:eastAsia="宋体"/>
          <w:sz w:val="28"/>
          <w:szCs w:val="28"/>
        </w:rPr>
        <w:t>1</w:t>
      </w:r>
      <w:r>
        <w:rPr>
          <w:rFonts w:hint="eastAsia" w:ascii="宋体" w:hAnsi="宋体" w:eastAsia="宋体"/>
          <w:sz w:val="28"/>
          <w:szCs w:val="28"/>
        </w:rPr>
        <w:t>）现场评分</w:t>
      </w:r>
      <w:r>
        <w:rPr>
          <w:rFonts w:hint="eastAsia" w:ascii="宋体" w:hAnsi="宋体" w:eastAsia="宋体"/>
          <w:spacing w:val="-5"/>
          <w:sz w:val="28"/>
          <w:szCs w:val="28"/>
        </w:rPr>
        <w:t>现场裁判依据现场打分表，对参赛队的操作规范、现场表现等进行评分。根据参赛选手在分步操作过程中的规范性、合理性以及完成</w:t>
      </w:r>
      <w:r>
        <w:rPr>
          <w:rFonts w:ascii="宋体" w:hAnsi="宋体" w:eastAsia="宋体"/>
          <w:spacing w:val="-103"/>
          <w:sz w:val="28"/>
          <w:szCs w:val="28"/>
        </w:rPr>
        <w:t xml:space="preserve"> </w:t>
      </w:r>
      <w:r>
        <w:rPr>
          <w:rFonts w:hint="eastAsia" w:ascii="宋体" w:hAnsi="宋体" w:eastAsia="宋体"/>
          <w:spacing w:val="-10"/>
          <w:sz w:val="28"/>
          <w:szCs w:val="28"/>
        </w:rPr>
        <w:t>质量等，裁判依据评分标准按步给分。评分结果由参赛选手、裁判员、</w:t>
      </w:r>
      <w:r>
        <w:rPr>
          <w:rFonts w:ascii="宋体" w:hAnsi="宋体" w:eastAsia="宋体"/>
          <w:spacing w:val="-84"/>
          <w:sz w:val="28"/>
          <w:szCs w:val="28"/>
        </w:rPr>
        <w:t xml:space="preserve"> </w:t>
      </w:r>
      <w:r>
        <w:rPr>
          <w:rFonts w:hint="eastAsia" w:ascii="宋体" w:hAnsi="宋体" w:eastAsia="宋体"/>
          <w:sz w:val="28"/>
          <w:szCs w:val="28"/>
        </w:rPr>
        <w:t>裁判长签字确认。</w:t>
      </w:r>
    </w:p>
    <w:p w14:paraId="5A9F2FAB">
      <w:pPr>
        <w:spacing w:line="500" w:lineRule="exact"/>
        <w:ind w:firstLine="560" w:firstLineChars="200"/>
        <w:rPr>
          <w:rFonts w:ascii="宋体" w:hAnsi="宋体" w:eastAsia="宋体"/>
          <w:sz w:val="28"/>
          <w:szCs w:val="28"/>
        </w:rPr>
      </w:pPr>
      <w:r>
        <w:rPr>
          <w:rFonts w:hint="eastAsia" w:ascii="宋体" w:hAnsi="宋体" w:eastAsia="宋体"/>
          <w:sz w:val="28"/>
          <w:szCs w:val="28"/>
        </w:rPr>
        <w:t>（</w:t>
      </w:r>
      <w:r>
        <w:rPr>
          <w:rFonts w:ascii="宋体" w:hAnsi="宋体" w:eastAsia="宋体"/>
          <w:sz w:val="28"/>
          <w:szCs w:val="28"/>
        </w:rPr>
        <w:t>2</w:t>
      </w:r>
      <w:r>
        <w:rPr>
          <w:rFonts w:hint="eastAsia" w:ascii="宋体" w:hAnsi="宋体" w:eastAsia="宋体"/>
          <w:sz w:val="28"/>
          <w:szCs w:val="28"/>
        </w:rPr>
        <w:t>）过程评分抽检复核</w:t>
      </w:r>
      <w:r>
        <w:rPr>
          <w:rFonts w:ascii="宋体" w:hAnsi="宋体" w:eastAsia="宋体"/>
          <w:sz w:val="28"/>
          <w:szCs w:val="28"/>
        </w:rPr>
        <w:t xml:space="preserve"> </w:t>
      </w:r>
    </w:p>
    <w:p w14:paraId="27F4974D">
      <w:pPr>
        <w:spacing w:line="500" w:lineRule="exact"/>
        <w:ind w:firstLine="548" w:firstLineChars="200"/>
        <w:rPr>
          <w:rFonts w:ascii="宋体" w:hAnsi="宋体" w:eastAsia="宋体"/>
          <w:sz w:val="28"/>
          <w:szCs w:val="28"/>
        </w:rPr>
      </w:pPr>
      <w:r>
        <w:rPr>
          <w:rFonts w:hint="eastAsia" w:ascii="宋体" w:hAnsi="宋体" w:eastAsia="宋体"/>
          <w:spacing w:val="-3"/>
          <w:sz w:val="28"/>
          <w:szCs w:val="28"/>
        </w:rPr>
        <w:t>为保障成绩统计的准确性，监督仲裁组对赛项总成绩排名前</w:t>
      </w:r>
      <w:r>
        <w:rPr>
          <w:rFonts w:ascii="宋体" w:hAnsi="宋体" w:eastAsia="宋体"/>
          <w:spacing w:val="-32"/>
          <w:sz w:val="28"/>
          <w:szCs w:val="28"/>
        </w:rPr>
        <w:t xml:space="preserve"> </w:t>
      </w:r>
      <w:r>
        <w:rPr>
          <w:rFonts w:ascii="宋体" w:hAnsi="宋体" w:eastAsia="宋体"/>
          <w:sz w:val="28"/>
          <w:szCs w:val="28"/>
        </w:rPr>
        <w:t>30%</w:t>
      </w:r>
      <w:r>
        <w:rPr>
          <w:rFonts w:hint="eastAsia" w:ascii="宋体" w:hAnsi="宋体" w:eastAsia="宋体"/>
          <w:spacing w:val="-5"/>
          <w:sz w:val="28"/>
          <w:szCs w:val="28"/>
        </w:rPr>
        <w:t>的所有参赛队伍的成绩进行复核；对其余成绩进行抽检复核，抽检覆</w:t>
      </w:r>
      <w:r>
        <w:rPr>
          <w:rFonts w:ascii="宋体" w:hAnsi="宋体" w:eastAsia="宋体"/>
          <w:spacing w:val="-103"/>
          <w:sz w:val="28"/>
          <w:szCs w:val="28"/>
        </w:rPr>
        <w:t xml:space="preserve"> </w:t>
      </w:r>
      <w:r>
        <w:rPr>
          <w:rFonts w:hint="eastAsia" w:ascii="宋体" w:hAnsi="宋体" w:eastAsia="宋体"/>
          <w:sz w:val="28"/>
          <w:szCs w:val="28"/>
        </w:rPr>
        <w:t>盖率不得低于</w:t>
      </w:r>
      <w:r>
        <w:rPr>
          <w:rFonts w:ascii="宋体" w:hAnsi="宋体" w:eastAsia="宋体"/>
          <w:spacing w:val="-3"/>
          <w:sz w:val="28"/>
          <w:szCs w:val="28"/>
        </w:rPr>
        <w:t>15%</w:t>
      </w:r>
      <w:r>
        <w:rPr>
          <w:rFonts w:hint="eastAsia" w:ascii="宋体" w:hAnsi="宋体" w:eastAsia="宋体"/>
          <w:spacing w:val="-3"/>
          <w:sz w:val="28"/>
          <w:szCs w:val="28"/>
        </w:rPr>
        <w:t>。监督仲裁组将复检中发现的错误通过书面方式及</w:t>
      </w:r>
      <w:r>
        <w:rPr>
          <w:rFonts w:hint="eastAsia" w:ascii="宋体" w:hAnsi="宋体" w:eastAsia="宋体"/>
          <w:spacing w:val="2"/>
          <w:sz w:val="28"/>
          <w:szCs w:val="28"/>
        </w:rPr>
        <w:t>时告知裁判长，由裁判长更正成绩并签字确认。错误率超过</w:t>
      </w:r>
      <w:r>
        <w:rPr>
          <w:rFonts w:ascii="宋体" w:hAnsi="宋体" w:eastAsia="宋体"/>
          <w:spacing w:val="-27"/>
          <w:sz w:val="28"/>
          <w:szCs w:val="28"/>
        </w:rPr>
        <w:t xml:space="preserve"> </w:t>
      </w:r>
      <w:r>
        <w:rPr>
          <w:rFonts w:ascii="宋体" w:hAnsi="宋体" w:eastAsia="宋体"/>
          <w:sz w:val="28"/>
          <w:szCs w:val="28"/>
        </w:rPr>
        <w:t>5%</w:t>
      </w:r>
      <w:r>
        <w:rPr>
          <w:rFonts w:hint="eastAsia" w:ascii="宋体" w:hAnsi="宋体" w:eastAsia="宋体"/>
          <w:sz w:val="28"/>
          <w:szCs w:val="28"/>
        </w:rPr>
        <w:t>的，</w:t>
      </w:r>
      <w:r>
        <w:rPr>
          <w:rFonts w:ascii="宋体" w:hAnsi="宋体" w:eastAsia="宋体"/>
          <w:spacing w:val="-131"/>
          <w:sz w:val="28"/>
          <w:szCs w:val="28"/>
        </w:rPr>
        <w:t xml:space="preserve"> </w:t>
      </w:r>
      <w:r>
        <w:rPr>
          <w:rFonts w:hint="eastAsia" w:ascii="宋体" w:hAnsi="宋体" w:eastAsia="宋体"/>
          <w:sz w:val="28"/>
          <w:szCs w:val="28"/>
        </w:rPr>
        <w:t>则认定为非小概率事件，裁判组需对所有成绩进行复核。</w:t>
      </w:r>
    </w:p>
    <w:p w14:paraId="6D5D3931">
      <w:pPr>
        <w:spacing w:line="500" w:lineRule="exact"/>
        <w:ind w:firstLine="560" w:firstLineChars="200"/>
        <w:rPr>
          <w:rFonts w:ascii="宋体" w:hAnsi="宋体" w:eastAsia="宋体"/>
          <w:sz w:val="28"/>
          <w:szCs w:val="28"/>
        </w:rPr>
      </w:pPr>
      <w:r>
        <w:rPr>
          <w:rFonts w:ascii="宋体" w:hAnsi="宋体" w:eastAsia="宋体"/>
          <w:sz w:val="28"/>
          <w:szCs w:val="28"/>
        </w:rPr>
        <w:t>4.</w:t>
      </w:r>
      <w:r>
        <w:rPr>
          <w:rFonts w:hint="eastAsia" w:ascii="宋体" w:hAnsi="宋体" w:eastAsia="宋体"/>
          <w:sz w:val="28"/>
          <w:szCs w:val="28"/>
        </w:rPr>
        <w:t>成绩公布</w:t>
      </w:r>
    </w:p>
    <w:p w14:paraId="2C67ECEF">
      <w:pPr>
        <w:spacing w:line="500" w:lineRule="exact"/>
        <w:ind w:firstLine="568" w:firstLineChars="200"/>
        <w:rPr>
          <w:rFonts w:ascii="宋体" w:hAnsi="宋体" w:eastAsia="宋体"/>
          <w:sz w:val="28"/>
          <w:szCs w:val="28"/>
        </w:rPr>
      </w:pPr>
      <w:r>
        <w:rPr>
          <w:rFonts w:hint="eastAsia" w:ascii="宋体" w:hAnsi="宋体" w:eastAsia="宋体"/>
          <w:spacing w:val="2"/>
          <w:sz w:val="28"/>
          <w:szCs w:val="28"/>
        </w:rPr>
        <w:t>（</w:t>
      </w:r>
      <w:r>
        <w:rPr>
          <w:rFonts w:ascii="宋体" w:hAnsi="宋体" w:eastAsia="宋体"/>
          <w:spacing w:val="2"/>
          <w:sz w:val="28"/>
          <w:szCs w:val="28"/>
        </w:rPr>
        <w:t>1</w:t>
      </w:r>
      <w:r>
        <w:rPr>
          <w:rFonts w:hint="eastAsia" w:ascii="宋体" w:hAnsi="宋体" w:eastAsia="宋体"/>
          <w:spacing w:val="2"/>
          <w:sz w:val="28"/>
          <w:szCs w:val="28"/>
        </w:rPr>
        <w:t>）录入。由承办单位信息员将裁判长提交的赛项总成绩的最终</w:t>
      </w:r>
      <w:r>
        <w:rPr>
          <w:rFonts w:hint="eastAsia" w:ascii="宋体" w:hAnsi="宋体" w:eastAsia="宋体"/>
          <w:sz w:val="28"/>
          <w:szCs w:val="28"/>
        </w:rPr>
        <w:t>结果录入赛务管理系统。</w:t>
      </w:r>
    </w:p>
    <w:p w14:paraId="29F96877">
      <w:pPr>
        <w:spacing w:line="500" w:lineRule="exact"/>
        <w:ind w:firstLine="568" w:firstLineChars="200"/>
        <w:rPr>
          <w:rFonts w:ascii="宋体" w:hAnsi="宋体" w:eastAsia="宋体"/>
          <w:sz w:val="28"/>
          <w:szCs w:val="28"/>
        </w:rPr>
      </w:pPr>
      <w:r>
        <w:rPr>
          <w:rFonts w:hint="eastAsia" w:ascii="宋体" w:hAnsi="宋体" w:eastAsia="宋体"/>
          <w:spacing w:val="2"/>
          <w:sz w:val="28"/>
          <w:szCs w:val="28"/>
        </w:rPr>
        <w:t>（</w:t>
      </w:r>
      <w:r>
        <w:rPr>
          <w:rFonts w:ascii="宋体" w:hAnsi="宋体" w:eastAsia="宋体"/>
          <w:spacing w:val="2"/>
          <w:sz w:val="28"/>
          <w:szCs w:val="28"/>
        </w:rPr>
        <w:t>2</w:t>
      </w:r>
      <w:r>
        <w:rPr>
          <w:rFonts w:hint="eastAsia" w:ascii="宋体" w:hAnsi="宋体" w:eastAsia="宋体"/>
          <w:spacing w:val="2"/>
          <w:sz w:val="28"/>
          <w:szCs w:val="28"/>
        </w:rPr>
        <w:t>）审核。承办单位信息员对成绩数据审核后，将赛务系统中录</w:t>
      </w:r>
      <w:r>
        <w:rPr>
          <w:rFonts w:hint="eastAsia" w:ascii="宋体" w:hAnsi="宋体" w:eastAsia="宋体"/>
          <w:spacing w:val="-5"/>
          <w:sz w:val="28"/>
          <w:szCs w:val="28"/>
        </w:rPr>
        <w:t>入的成绩导出打印，经赛项裁判长、监督仲裁组和赛项执委会审核无</w:t>
      </w:r>
      <w:r>
        <w:rPr>
          <w:rFonts w:ascii="宋体" w:hAnsi="宋体" w:eastAsia="宋体"/>
          <w:spacing w:val="-103"/>
          <w:sz w:val="28"/>
          <w:szCs w:val="28"/>
        </w:rPr>
        <w:t xml:space="preserve"> </w:t>
      </w:r>
      <w:r>
        <w:rPr>
          <w:rFonts w:hint="eastAsia" w:ascii="宋体" w:hAnsi="宋体" w:eastAsia="宋体"/>
          <w:sz w:val="28"/>
          <w:szCs w:val="28"/>
        </w:rPr>
        <w:t>误后签字。</w:t>
      </w:r>
    </w:p>
    <w:p w14:paraId="60295653">
      <w:pPr>
        <w:spacing w:line="500" w:lineRule="exact"/>
        <w:ind w:firstLine="568" w:firstLineChars="200"/>
        <w:rPr>
          <w:rFonts w:ascii="宋体" w:hAnsi="宋体" w:eastAsia="宋体"/>
          <w:sz w:val="28"/>
          <w:szCs w:val="28"/>
        </w:rPr>
      </w:pPr>
      <w:r>
        <w:rPr>
          <w:rFonts w:hint="eastAsia" w:ascii="宋体" w:hAnsi="宋体" w:eastAsia="宋体"/>
          <w:spacing w:val="2"/>
          <w:sz w:val="28"/>
          <w:szCs w:val="28"/>
        </w:rPr>
        <w:t>（</w:t>
      </w:r>
      <w:r>
        <w:rPr>
          <w:rFonts w:ascii="宋体" w:hAnsi="宋体" w:eastAsia="宋体"/>
          <w:spacing w:val="2"/>
          <w:sz w:val="28"/>
          <w:szCs w:val="28"/>
        </w:rPr>
        <w:t>3</w:t>
      </w:r>
      <w:r>
        <w:rPr>
          <w:rFonts w:hint="eastAsia" w:ascii="宋体" w:hAnsi="宋体" w:eastAsia="宋体"/>
          <w:spacing w:val="2"/>
          <w:sz w:val="28"/>
          <w:szCs w:val="28"/>
        </w:rPr>
        <w:t>）报送。由承办单位信息员将确认的电子版赛项成绩信息上传</w:t>
      </w:r>
      <w:r>
        <w:rPr>
          <w:rFonts w:hint="eastAsia" w:ascii="宋体" w:hAnsi="宋体" w:eastAsia="宋体"/>
          <w:spacing w:val="-5"/>
          <w:sz w:val="28"/>
          <w:szCs w:val="28"/>
        </w:rPr>
        <w:t>赛务管理系统。同时将裁判长、监督仲裁组签字的纸质打印成绩单报</w:t>
      </w:r>
      <w:r>
        <w:rPr>
          <w:rFonts w:ascii="宋体" w:hAnsi="宋体" w:eastAsia="宋体"/>
          <w:spacing w:val="-103"/>
          <w:sz w:val="28"/>
          <w:szCs w:val="28"/>
        </w:rPr>
        <w:t xml:space="preserve"> </w:t>
      </w:r>
      <w:r>
        <w:rPr>
          <w:rFonts w:hint="eastAsia" w:ascii="宋体" w:hAnsi="宋体" w:eastAsia="宋体"/>
          <w:sz w:val="28"/>
          <w:szCs w:val="28"/>
        </w:rPr>
        <w:t>送赛项执委会和大赛执委会办公室。</w:t>
      </w:r>
    </w:p>
    <w:p w14:paraId="2CE197BA">
      <w:pPr>
        <w:spacing w:line="500" w:lineRule="exact"/>
        <w:ind w:firstLine="540" w:firstLineChars="200"/>
        <w:rPr>
          <w:rFonts w:ascii="宋体" w:hAnsi="宋体" w:eastAsia="宋体"/>
          <w:spacing w:val="-5"/>
          <w:sz w:val="28"/>
          <w:szCs w:val="28"/>
        </w:rPr>
      </w:pPr>
      <w:r>
        <w:rPr>
          <w:rFonts w:hint="eastAsia" w:ascii="宋体" w:hAnsi="宋体" w:eastAsia="宋体"/>
          <w:spacing w:val="-5"/>
          <w:sz w:val="28"/>
          <w:szCs w:val="28"/>
        </w:rPr>
        <w:t>（</w:t>
      </w:r>
      <w:r>
        <w:rPr>
          <w:rFonts w:ascii="宋体" w:hAnsi="宋体" w:eastAsia="宋体"/>
          <w:spacing w:val="-5"/>
          <w:sz w:val="28"/>
          <w:szCs w:val="28"/>
        </w:rPr>
        <w:t>4</w:t>
      </w:r>
      <w:r>
        <w:rPr>
          <w:rFonts w:hint="eastAsia" w:ascii="宋体" w:hAnsi="宋体" w:eastAsia="宋体"/>
          <w:spacing w:val="-5"/>
          <w:sz w:val="28"/>
          <w:szCs w:val="28"/>
        </w:rPr>
        <w:t>）公布。记分员将解密后的各参赛队伍（选手）成绩汇总成最终成绩单，经裁判长、监督仲裁组签字后进行公布，公布时间为</w:t>
      </w:r>
      <w:r>
        <w:rPr>
          <w:rFonts w:ascii="宋体" w:hAnsi="宋体" w:eastAsia="宋体"/>
          <w:spacing w:val="-5"/>
          <w:sz w:val="28"/>
          <w:szCs w:val="28"/>
        </w:rPr>
        <w:t>1</w:t>
      </w:r>
      <w:r>
        <w:rPr>
          <w:rFonts w:hint="eastAsia" w:ascii="宋体" w:hAnsi="宋体" w:eastAsia="宋体"/>
          <w:spacing w:val="-5"/>
          <w:sz w:val="28"/>
          <w:szCs w:val="28"/>
        </w:rPr>
        <w:t>小时。成绩公布无异议后，由监督仲裁组长在成绩单上签字，并在闭赛式上公布竞赛成绩。</w:t>
      </w:r>
    </w:p>
    <w:p w14:paraId="658691C9">
      <w:pPr>
        <w:pStyle w:val="5"/>
        <w:kinsoku w:val="0"/>
        <w:overflowPunct w:val="0"/>
        <w:spacing w:before="0" w:line="500" w:lineRule="exact"/>
        <w:ind w:left="0" w:firstLine="0"/>
        <w:rPr>
          <w:b/>
          <w:bCs/>
          <w:spacing w:val="-5"/>
        </w:rPr>
      </w:pPr>
      <w:r>
        <w:rPr>
          <w:rFonts w:hint="eastAsia"/>
          <w:b/>
          <w:bCs/>
        </w:rPr>
        <w:t>八、竞赛环境</w:t>
      </w:r>
    </w:p>
    <w:p w14:paraId="7693B657">
      <w:pPr>
        <w:pStyle w:val="5"/>
        <w:kinsoku w:val="0"/>
        <w:overflowPunct w:val="0"/>
        <w:spacing w:before="0" w:line="500" w:lineRule="exact"/>
        <w:ind w:left="0" w:firstLine="560" w:firstLineChars="200"/>
        <w:jc w:val="both"/>
      </w:pPr>
      <w:r>
        <w:rPr>
          <w:rFonts w:hint="eastAsia"/>
        </w:rPr>
        <w:t>1.比赛区域总面积约</w:t>
      </w:r>
      <w:r>
        <w:rPr>
          <w:rFonts w:hint="eastAsia"/>
          <w:spacing w:val="-64"/>
        </w:rPr>
        <w:t xml:space="preserve"> </w:t>
      </w:r>
      <w:r>
        <w:rPr>
          <w:spacing w:val="-3"/>
        </w:rPr>
        <w:t>600</w:t>
      </w:r>
      <w:r>
        <w:rPr>
          <w:rFonts w:hint="eastAsia"/>
          <w:spacing w:val="-3"/>
        </w:rPr>
        <w:t>m</w:t>
      </w:r>
      <w:r>
        <w:rPr>
          <w:rFonts w:hint="eastAsia"/>
          <w:spacing w:val="-3"/>
          <w:position w:val="14"/>
        </w:rPr>
        <w:t>2</w:t>
      </w:r>
      <w:r>
        <w:rPr>
          <w:rFonts w:hint="eastAsia"/>
          <w:spacing w:val="-3"/>
        </w:rPr>
        <w:t>。净空高度不低于</w:t>
      </w:r>
      <w:r>
        <w:rPr>
          <w:rFonts w:hint="eastAsia"/>
          <w:spacing w:val="-62"/>
        </w:rPr>
        <w:t xml:space="preserve"> </w:t>
      </w:r>
      <w:r>
        <w:rPr>
          <w:rFonts w:hint="eastAsia"/>
          <w:spacing w:val="-7"/>
        </w:rPr>
        <w:t>3.5m，采光、照明和</w:t>
      </w:r>
      <w:r>
        <w:rPr>
          <w:rFonts w:hint="eastAsia"/>
          <w:spacing w:val="-5"/>
        </w:rPr>
        <w:t>通风良好，环境温度、湿度符合设备使用规定，同时满足选手的正常</w:t>
      </w:r>
      <w:r>
        <w:rPr>
          <w:rFonts w:hint="eastAsia"/>
          <w:spacing w:val="-100"/>
        </w:rPr>
        <w:t xml:space="preserve"> </w:t>
      </w:r>
      <w:r>
        <w:rPr>
          <w:rFonts w:hint="eastAsia"/>
        </w:rPr>
        <w:t>竞赛要求。</w:t>
      </w:r>
    </w:p>
    <w:p w14:paraId="1BC71E25">
      <w:pPr>
        <w:pStyle w:val="5"/>
        <w:kinsoku w:val="0"/>
        <w:overflowPunct w:val="0"/>
        <w:spacing w:before="0" w:line="500" w:lineRule="exact"/>
        <w:ind w:left="0" w:firstLine="560" w:firstLineChars="200"/>
      </w:pPr>
      <w:r>
        <w:rPr>
          <w:rFonts w:hint="eastAsia"/>
        </w:rPr>
        <w:t>2.赛场主通道宽</w:t>
      </w:r>
      <w:r>
        <w:rPr>
          <w:rFonts w:hint="eastAsia"/>
          <w:spacing w:val="-79"/>
        </w:rPr>
        <w:t xml:space="preserve"> </w:t>
      </w:r>
      <w:r>
        <w:rPr>
          <w:rFonts w:hint="eastAsia"/>
        </w:rPr>
        <w:t>3m，符合紧急疏散要求。</w:t>
      </w:r>
    </w:p>
    <w:p w14:paraId="40DC32B4">
      <w:pPr>
        <w:pStyle w:val="5"/>
        <w:kinsoku w:val="0"/>
        <w:overflowPunct w:val="0"/>
        <w:spacing w:before="0" w:line="500" w:lineRule="exact"/>
        <w:ind w:left="0" w:firstLine="532" w:firstLineChars="200"/>
      </w:pPr>
      <w:r>
        <w:rPr>
          <w:rFonts w:hint="eastAsia"/>
          <w:spacing w:val="-7"/>
        </w:rPr>
        <w:t>3.赛场提供稳定的水、电、气源和供电应急设备，并有保安、公安、</w:t>
      </w:r>
      <w:r>
        <w:rPr>
          <w:rFonts w:hint="eastAsia"/>
        </w:rPr>
        <w:t>消防、设备维修和电力抢险人员待命，以防突发事件。</w:t>
      </w:r>
    </w:p>
    <w:p w14:paraId="5A92053F">
      <w:pPr>
        <w:pStyle w:val="5"/>
        <w:kinsoku w:val="0"/>
        <w:overflowPunct w:val="0"/>
        <w:spacing w:before="0" w:line="500" w:lineRule="exact"/>
        <w:ind w:left="0" w:firstLine="552" w:firstLineChars="200"/>
      </w:pPr>
      <w:r>
        <w:rPr>
          <w:rFonts w:hint="eastAsia"/>
          <w:spacing w:val="-2"/>
        </w:rPr>
        <w:t>4.根据赛项特点，用挡板隔离成竞赛区域构成竞赛单元，赛位面积</w:t>
      </w:r>
      <w:r>
        <w:rPr>
          <w:rFonts w:hint="eastAsia"/>
        </w:rPr>
        <w:t>在</w:t>
      </w:r>
      <w:r>
        <w:rPr>
          <w:rFonts w:hint="eastAsia"/>
          <w:spacing w:val="-73"/>
        </w:rPr>
        <w:t xml:space="preserve"> </w:t>
      </w:r>
      <w:r>
        <w:rPr>
          <w:rFonts w:hint="eastAsia"/>
        </w:rPr>
        <w:t>32</w:t>
      </w:r>
      <w:r>
        <w:rPr>
          <w:rFonts w:hint="eastAsia"/>
          <w:spacing w:val="-74"/>
        </w:rPr>
        <w:t xml:space="preserve"> </w:t>
      </w:r>
      <w:r>
        <w:rPr>
          <w:rFonts w:hint="eastAsia"/>
        </w:rPr>
        <w:t>㎡左右。每个工位间距不小于</w:t>
      </w:r>
      <w:r>
        <w:rPr>
          <w:rFonts w:hint="eastAsia"/>
          <w:spacing w:val="-73"/>
        </w:rPr>
        <w:t xml:space="preserve"> </w:t>
      </w:r>
      <w:r>
        <w:rPr>
          <w:rFonts w:hint="eastAsia"/>
        </w:rPr>
        <w:t>1.5m。</w:t>
      </w:r>
    </w:p>
    <w:p w14:paraId="2EE02445">
      <w:pPr>
        <w:pStyle w:val="5"/>
        <w:kinsoku w:val="0"/>
        <w:overflowPunct w:val="0"/>
        <w:spacing w:before="0" w:line="500" w:lineRule="exact"/>
        <w:ind w:left="0" w:firstLine="568" w:firstLineChars="200"/>
        <w:jc w:val="both"/>
      </w:pPr>
      <w:r>
        <w:rPr>
          <w:rFonts w:hint="eastAsia"/>
          <w:spacing w:val="2"/>
        </w:rPr>
        <w:t>5.</w:t>
      </w:r>
      <w:r>
        <w:rPr>
          <w:rFonts w:hint="eastAsia"/>
          <w:spacing w:val="-3"/>
        </w:rPr>
        <w:t>各单元均提供三相五</w:t>
      </w:r>
      <w:r>
        <w:rPr>
          <w:rFonts w:hint="eastAsia"/>
          <w:spacing w:val="-136"/>
        </w:rPr>
        <w:t xml:space="preserve"> </w:t>
      </w:r>
      <w:r>
        <w:rPr>
          <w:rFonts w:hint="eastAsia"/>
        </w:rPr>
        <w:t>线制交流</w:t>
      </w:r>
      <w:r>
        <w:rPr>
          <w:rFonts w:hint="eastAsia"/>
          <w:spacing w:val="-55"/>
        </w:rPr>
        <w:t xml:space="preserve"> </w:t>
      </w:r>
      <w:r>
        <w:rPr>
          <w:rFonts w:hint="eastAsia"/>
        </w:rPr>
        <w:t>380V、单相交流</w:t>
      </w:r>
      <w:r>
        <w:rPr>
          <w:rFonts w:hint="eastAsia"/>
          <w:spacing w:val="-59"/>
        </w:rPr>
        <w:t xml:space="preserve"> </w:t>
      </w:r>
      <w:r>
        <w:rPr>
          <w:rFonts w:hint="eastAsia"/>
        </w:rPr>
        <w:t>220V</w:t>
      </w:r>
      <w:r>
        <w:rPr>
          <w:rFonts w:hint="eastAsia"/>
          <w:spacing w:val="-54"/>
        </w:rPr>
        <w:t xml:space="preserve"> </w:t>
      </w:r>
      <w:r>
        <w:rPr>
          <w:rFonts w:hint="eastAsia"/>
          <w:spacing w:val="2"/>
        </w:rPr>
        <w:t>电源供电设备及</w:t>
      </w:r>
      <w:r>
        <w:rPr>
          <w:rFonts w:hint="eastAsia"/>
          <w:spacing w:val="-59"/>
        </w:rPr>
        <w:t xml:space="preserve"> </w:t>
      </w:r>
      <w:r>
        <w:rPr>
          <w:rFonts w:hint="eastAsia"/>
        </w:rPr>
        <w:t>0.8Mpa</w:t>
      </w:r>
      <w:r>
        <w:rPr>
          <w:rFonts w:hint="eastAsia"/>
          <w:spacing w:val="-54"/>
        </w:rPr>
        <w:t xml:space="preserve"> </w:t>
      </w:r>
      <w:r>
        <w:rPr>
          <w:rFonts w:hint="eastAsia"/>
          <w:spacing w:val="2"/>
        </w:rPr>
        <w:t>压缩空气气</w:t>
      </w:r>
      <w:r>
        <w:rPr>
          <w:rFonts w:hint="eastAsia"/>
          <w:spacing w:val="-137"/>
        </w:rPr>
        <w:t xml:space="preserve"> </w:t>
      </w:r>
      <w:r>
        <w:rPr>
          <w:rFonts w:hint="eastAsia"/>
        </w:rPr>
        <w:t>源。</w:t>
      </w:r>
    </w:p>
    <w:p w14:paraId="67DC317F">
      <w:pPr>
        <w:pStyle w:val="5"/>
        <w:kinsoku w:val="0"/>
        <w:overflowPunct w:val="0"/>
        <w:spacing w:before="0" w:line="500" w:lineRule="exact"/>
        <w:ind w:left="0" w:firstLine="552" w:firstLineChars="200"/>
        <w:jc w:val="both"/>
      </w:pPr>
      <w:r>
        <w:rPr>
          <w:rFonts w:hint="eastAsia"/>
          <w:spacing w:val="-2"/>
        </w:rPr>
        <w:t>6.赛场设维修服务、医疗、生活补给站等公共服务区，为选手和赛</w:t>
      </w:r>
      <w:r>
        <w:rPr>
          <w:rFonts w:hint="eastAsia"/>
          <w:spacing w:val="-5"/>
        </w:rPr>
        <w:t>场人员提供服务；设有安全</w:t>
      </w:r>
      <w:r>
        <w:rPr>
          <w:rFonts w:hint="eastAsia"/>
          <w:spacing w:val="-103"/>
        </w:rPr>
        <w:t xml:space="preserve"> </w:t>
      </w:r>
      <w:r>
        <w:rPr>
          <w:rFonts w:hint="eastAsia"/>
          <w:spacing w:val="-5"/>
        </w:rPr>
        <w:t>通道，大赛观摩、采访人员在安全通道内活动，保证大赛安全有序进</w:t>
      </w:r>
      <w:r>
        <w:rPr>
          <w:rFonts w:hint="eastAsia"/>
          <w:spacing w:val="-100"/>
        </w:rPr>
        <w:t xml:space="preserve"> </w:t>
      </w:r>
      <w:r>
        <w:rPr>
          <w:rFonts w:hint="eastAsia"/>
        </w:rPr>
        <w:t>行。</w:t>
      </w:r>
    </w:p>
    <w:p w14:paraId="0563CB74">
      <w:pPr>
        <w:pStyle w:val="5"/>
        <w:kinsoku w:val="0"/>
        <w:overflowPunct w:val="0"/>
        <w:spacing w:before="0" w:line="500" w:lineRule="exact"/>
        <w:ind w:left="0" w:firstLine="552" w:firstLineChars="200"/>
        <w:jc w:val="both"/>
        <w:rPr>
          <w:spacing w:val="-5"/>
        </w:rPr>
      </w:pPr>
      <w:r>
        <w:rPr>
          <w:spacing w:val="-2"/>
        </w:rPr>
        <w:t>7.</w:t>
      </w:r>
      <w:r>
        <w:rPr>
          <w:rFonts w:hint="eastAsia"/>
          <w:spacing w:val="-2"/>
        </w:rPr>
        <w:t>赛事单元相对独立，确保选手独立开展比赛，不受外界影响；赛</w:t>
      </w:r>
      <w:r>
        <w:rPr>
          <w:rFonts w:hint="eastAsia"/>
          <w:spacing w:val="-5"/>
        </w:rPr>
        <w:t>区内包括厕所、医疗点、维修服务站、生活补给站、垃圾分类收集点</w:t>
      </w:r>
      <w:r>
        <w:rPr>
          <w:spacing w:val="-101"/>
        </w:rPr>
        <w:t xml:space="preserve"> </w:t>
      </w:r>
      <w:r>
        <w:rPr>
          <w:rFonts w:hint="eastAsia"/>
        </w:rPr>
        <w:t>等都在警戒线范围内，确保大赛在相对安全的环境内进行。</w:t>
      </w:r>
    </w:p>
    <w:p w14:paraId="6080CD59">
      <w:pPr>
        <w:pStyle w:val="5"/>
        <w:kinsoku w:val="0"/>
        <w:overflowPunct w:val="0"/>
        <w:spacing w:before="0" w:line="500" w:lineRule="exact"/>
        <w:ind w:left="0" w:firstLine="0"/>
        <w:jc w:val="both"/>
        <w:rPr>
          <w:b/>
          <w:bCs/>
          <w:spacing w:val="-5"/>
        </w:rPr>
      </w:pPr>
      <w:r>
        <w:rPr>
          <w:rFonts w:hint="eastAsia"/>
          <w:b/>
          <w:bCs/>
        </w:rPr>
        <w:t>九、技术规范</w:t>
      </w:r>
    </w:p>
    <w:p w14:paraId="4852AF9D">
      <w:pPr>
        <w:pStyle w:val="3"/>
        <w:kinsoku w:val="0"/>
        <w:overflowPunct w:val="0"/>
        <w:spacing w:before="0" w:line="500" w:lineRule="exact"/>
        <w:ind w:left="0" w:firstLine="600" w:firstLineChars="200"/>
      </w:pPr>
      <w:r>
        <w:rPr>
          <w:rFonts w:hint="eastAsia"/>
        </w:rPr>
        <w:t>（一）理论标准</w:t>
      </w:r>
    </w:p>
    <w:p w14:paraId="665C9A53">
      <w:pPr>
        <w:pStyle w:val="5"/>
        <w:kinsoku w:val="0"/>
        <w:overflowPunct w:val="0"/>
        <w:spacing w:line="500" w:lineRule="exact"/>
        <w:ind w:left="0" w:firstLine="560" w:firstLineChars="200"/>
      </w:pPr>
      <w:r>
        <w:t>1.电气技术用文件的编制(GB/T 6988.1-2008)</w:t>
      </w:r>
    </w:p>
    <w:p w14:paraId="099954DF">
      <w:pPr>
        <w:pStyle w:val="5"/>
        <w:kinsoku w:val="0"/>
        <w:overflowPunct w:val="0"/>
        <w:spacing w:line="500" w:lineRule="exact"/>
        <w:ind w:left="0" w:firstLine="560" w:firstLineChars="200"/>
      </w:pPr>
      <w:r>
        <w:t>2.电气简图用图形符号(GB/T 4728. 1-2005 )</w:t>
      </w:r>
    </w:p>
    <w:p w14:paraId="003E5185">
      <w:pPr>
        <w:pStyle w:val="5"/>
        <w:kinsoku w:val="0"/>
        <w:overflowPunct w:val="0"/>
        <w:spacing w:before="0" w:line="500" w:lineRule="exact"/>
        <w:ind w:left="0" w:firstLine="560" w:firstLineChars="200"/>
      </w:pPr>
      <w:r>
        <w:t>3.电气设备用图形符号(GB/T 5465.2-2008 )</w:t>
      </w:r>
    </w:p>
    <w:p w14:paraId="70C5C67C">
      <w:pPr>
        <w:pStyle w:val="5"/>
        <w:kinsoku w:val="0"/>
        <w:overflowPunct w:val="0"/>
        <w:spacing w:before="0" w:line="500" w:lineRule="exact"/>
        <w:ind w:left="0" w:firstLine="560" w:firstLineChars="200"/>
      </w:pPr>
      <w:r>
        <w:rPr>
          <w:rFonts w:hint="eastAsia"/>
        </w:rPr>
        <w:t>4</w:t>
      </w:r>
      <w:r>
        <w:t>. 物联网术语(GB/T 33745-2017)</w:t>
      </w:r>
    </w:p>
    <w:p w14:paraId="60722EB3">
      <w:pPr>
        <w:pStyle w:val="5"/>
        <w:kinsoku w:val="0"/>
        <w:overflowPunct w:val="0"/>
        <w:spacing w:before="0" w:line="500" w:lineRule="exact"/>
        <w:ind w:left="0" w:firstLine="560" w:firstLineChars="200"/>
      </w:pPr>
      <w:r>
        <w:rPr>
          <w:rFonts w:hint="eastAsia"/>
        </w:rPr>
        <w:t>5</w:t>
      </w:r>
      <w:r>
        <w:t>. 工业机器人编程和操作图形用户接口(GB/T19399-2003</w:t>
      </w:r>
      <w:r>
        <w:rPr>
          <w:rFonts w:hint="eastAsia"/>
        </w:rPr>
        <w:t>)</w:t>
      </w:r>
    </w:p>
    <w:p w14:paraId="7D310968">
      <w:pPr>
        <w:pStyle w:val="5"/>
        <w:kinsoku w:val="0"/>
        <w:overflowPunct w:val="0"/>
        <w:spacing w:before="0" w:line="500" w:lineRule="exact"/>
        <w:ind w:left="0" w:firstLine="560" w:firstLineChars="200"/>
      </w:pPr>
      <w:r>
        <w:rPr>
          <w:rFonts w:hint="eastAsia"/>
        </w:rPr>
        <w:t>6</w:t>
      </w:r>
      <w:r>
        <w:t>. 工业机器用于机器人的中间代码(GB/ Z20869-2007 )</w:t>
      </w:r>
    </w:p>
    <w:p w14:paraId="66AA2061">
      <w:pPr>
        <w:pStyle w:val="5"/>
        <w:kinsoku w:val="0"/>
        <w:overflowPunct w:val="0"/>
        <w:spacing w:before="0" w:line="500" w:lineRule="exact"/>
        <w:ind w:left="0" w:firstLine="560" w:firstLineChars="200"/>
      </w:pPr>
      <w:r>
        <w:rPr>
          <w:rFonts w:hint="eastAsia"/>
        </w:rPr>
        <w:t>7</w:t>
      </w:r>
      <w:r>
        <w:t>. 装配钳工国家职业标准(职业编码6-05-02-01 )</w:t>
      </w:r>
    </w:p>
    <w:p w14:paraId="7763F79D">
      <w:pPr>
        <w:pStyle w:val="5"/>
        <w:kinsoku w:val="0"/>
        <w:overflowPunct w:val="0"/>
        <w:spacing w:before="0" w:line="500" w:lineRule="exact"/>
        <w:ind w:left="0" w:firstLine="560" w:firstLineChars="200"/>
      </w:pPr>
      <w:r>
        <w:rPr>
          <w:rFonts w:hint="eastAsia"/>
        </w:rPr>
        <w:t>8</w:t>
      </w:r>
      <w:r>
        <w:t>. 工具钳工国家职业标准(职业编码6-05-02-02)</w:t>
      </w:r>
    </w:p>
    <w:p w14:paraId="33C1D800">
      <w:pPr>
        <w:pStyle w:val="5"/>
        <w:kinsoku w:val="0"/>
        <w:overflowPunct w:val="0"/>
        <w:spacing w:before="0" w:line="500" w:lineRule="exact"/>
        <w:ind w:left="0" w:firstLine="560" w:firstLineChars="200"/>
      </w:pPr>
      <w:r>
        <w:rPr>
          <w:rFonts w:hint="eastAsia"/>
        </w:rPr>
        <w:t>9</w:t>
      </w:r>
      <w:r>
        <w:t>. 维修电工国家职业标准(职业编码6-07-06-05)</w:t>
      </w:r>
    </w:p>
    <w:p w14:paraId="3BAD79D3">
      <w:pPr>
        <w:pStyle w:val="5"/>
        <w:kinsoku w:val="0"/>
        <w:overflowPunct w:val="0"/>
        <w:spacing w:before="0" w:line="500" w:lineRule="exact"/>
        <w:ind w:left="0" w:firstLine="560" w:firstLineChars="200"/>
      </w:pPr>
      <w:r>
        <w:rPr>
          <w:rFonts w:hint="eastAsia"/>
        </w:rPr>
        <w:t>1</w:t>
      </w:r>
      <w:r>
        <w:t>0. 机械设备安装工国家职业标准(职业编码6-23-10-01)</w:t>
      </w:r>
    </w:p>
    <w:p w14:paraId="3230BAB3">
      <w:pPr>
        <w:pStyle w:val="3"/>
        <w:kinsoku w:val="0"/>
        <w:overflowPunct w:val="0"/>
        <w:spacing w:before="0" w:line="500" w:lineRule="exact"/>
        <w:ind w:left="0" w:firstLine="600" w:firstLineChars="200"/>
      </w:pPr>
      <w:r>
        <w:rPr>
          <w:rFonts w:hint="eastAsia"/>
        </w:rPr>
        <w:t>（二）硬件标准</w:t>
      </w:r>
    </w:p>
    <w:p w14:paraId="1277234C">
      <w:pPr>
        <w:pStyle w:val="5"/>
        <w:kinsoku w:val="0"/>
        <w:overflowPunct w:val="0"/>
        <w:spacing w:before="0" w:line="500" w:lineRule="exact"/>
        <w:ind w:left="0" w:firstLine="560" w:firstLineChars="200"/>
      </w:pPr>
      <w:r>
        <w:rPr>
          <w:rFonts w:hint="eastAsia"/>
        </w:rPr>
        <w:t>1.电工国家职业标准（职业编码</w:t>
      </w:r>
      <w:r>
        <w:rPr>
          <w:rFonts w:hint="eastAsia"/>
          <w:spacing w:val="-83"/>
        </w:rPr>
        <w:t xml:space="preserve"> </w:t>
      </w:r>
      <w:r>
        <w:fldChar w:fldCharType="begin"/>
      </w:r>
      <w:r>
        <w:instrText xml:space="preserve"> HYPERLINK "http://www.osta.org.cn/biaozhun/%C3%A5%C2%9B%C2%BD%C3%A5%C2%AE%C2%B6%C3%A8%C2%81%C2%8C%C3%A4%C2%B8%C2%9A%C3%A6%C2%8A%C2%80%C3%A8%C2%83%C2%BD%C3%A6%C2%A0%C2%87%C3%A5%C2%87%C2%86%C3%A2%C2%80%C2%94%C3%A2%C2%80%C2%94%C3%A7%C2%94%C2%B5%C3%A5%C2%B7%C2%A5.pdf" </w:instrText>
      </w:r>
      <w:r>
        <w:fldChar w:fldCharType="separate"/>
      </w:r>
      <w:r>
        <w:rPr>
          <w:rStyle w:val="11"/>
          <w:rFonts w:hint="eastAsia"/>
          <w:color w:val="auto"/>
          <w:u w:val="none"/>
        </w:rPr>
        <w:t>6-31-01-03</w:t>
      </w:r>
      <w:r>
        <w:rPr>
          <w:rStyle w:val="11"/>
          <w:rFonts w:hint="eastAsia"/>
          <w:color w:val="auto"/>
          <w:u w:val="none"/>
        </w:rPr>
        <w:fldChar w:fldCharType="end"/>
      </w:r>
      <w:r>
        <w:rPr>
          <w:rFonts w:hint="eastAsia"/>
        </w:rPr>
        <w:t>）</w:t>
      </w:r>
    </w:p>
    <w:p w14:paraId="7F91DA4B">
      <w:pPr>
        <w:pStyle w:val="5"/>
        <w:kinsoku w:val="0"/>
        <w:overflowPunct w:val="0"/>
        <w:spacing w:before="0" w:line="500" w:lineRule="exact"/>
        <w:ind w:left="0" w:firstLine="560" w:firstLineChars="200"/>
      </w:pPr>
      <w:r>
        <w:rPr>
          <w:rFonts w:hint="eastAsia"/>
        </w:rPr>
        <w:t>2.钳工国家职业标准（职业编码</w:t>
      </w:r>
      <w:r>
        <w:rPr>
          <w:rFonts w:hint="eastAsia"/>
          <w:spacing w:val="-83"/>
        </w:rPr>
        <w:t xml:space="preserve"> </w:t>
      </w:r>
      <w:r>
        <w:fldChar w:fldCharType="begin"/>
      </w:r>
      <w:r>
        <w:instrText xml:space="preserve"> HYPERLINK "http://www.osta.org.cn/biaozhun/%C3%A5%C2%9B%C2%BD%C3%A5%C2%AE%C2%B6%C3%A8%C2%81%C2%8C%C3%A4%C2%B8%C2%9A%C3%A6%C2%8A%C2%80%C3%A8%C2%83%C2%BD%C3%A6%C2%A0%C2%87%C3%A5%C2%87%C2%86%C3%A2%C2%80%C2%94%C3%A2%C2%80%C2%94%C3%A9%C2%92%C2%B3%C3%A5%C2%B7%C2%A5.pdf" </w:instrText>
      </w:r>
      <w:r>
        <w:fldChar w:fldCharType="separate"/>
      </w:r>
      <w:r>
        <w:rPr>
          <w:rStyle w:val="11"/>
          <w:rFonts w:hint="eastAsia"/>
          <w:color w:val="auto"/>
          <w:u w:val="none"/>
        </w:rPr>
        <w:t>6-20-01-01</w:t>
      </w:r>
      <w:r>
        <w:rPr>
          <w:rStyle w:val="11"/>
          <w:rFonts w:hint="eastAsia"/>
          <w:color w:val="auto"/>
          <w:u w:val="none"/>
        </w:rPr>
        <w:fldChar w:fldCharType="end"/>
      </w:r>
      <w:r>
        <w:rPr>
          <w:rFonts w:hint="eastAsia"/>
        </w:rPr>
        <w:t>）</w:t>
      </w:r>
    </w:p>
    <w:p w14:paraId="19707E96">
      <w:pPr>
        <w:pStyle w:val="5"/>
        <w:kinsoku w:val="0"/>
        <w:overflowPunct w:val="0"/>
        <w:spacing w:before="0" w:line="500" w:lineRule="exact"/>
        <w:ind w:left="0" w:firstLine="560" w:firstLineChars="200"/>
      </w:pPr>
      <w:r>
        <w:rPr>
          <w:rFonts w:hint="eastAsia"/>
        </w:rPr>
        <w:t>3.电力电缆安装运维工（职业编码</w:t>
      </w:r>
      <w:r>
        <w:rPr>
          <w:rFonts w:hint="eastAsia"/>
          <w:spacing w:val="-83"/>
        </w:rPr>
        <w:t xml:space="preserve"> </w:t>
      </w:r>
      <w:r>
        <w:fldChar w:fldCharType="begin"/>
      </w:r>
      <w:r>
        <w:instrText xml:space="preserve"> HYPERLINK "http://www.osta.org.cn/biaozhun/%C3%A5%C2%9B%C2%BD%C3%A5%C2%AE%C2%B6%C3%A8%C2%81%C2%8C%C3%A4%C2%B8%C2%9A%C3%A6%C2%8A%C2%80%C3%A8%C2%83%C2%BD%C3%A6%C2%A0%C2%87%C3%A5%C2%87%C2%86%C3%A2%C2%80%C2%94%C3%A2%C2%80%C2%94%C3%A7%C2%94%C2%B5%C3%A5%C2%8A%C2%9B%C3%A7%C2%94%C2%B5%C3%A7%C2%BC%C2%86%C3%A5%C2%AE%C2%89%C3%A8%C2%A3%C2%85%C3%A8%C2%BF%C2%90%C3%A7%C2%BB%C2%B4%C3%A5%C2%B7%C2%A5.pdf" </w:instrText>
      </w:r>
      <w:r>
        <w:fldChar w:fldCharType="separate"/>
      </w:r>
      <w:r>
        <w:rPr>
          <w:rStyle w:val="11"/>
          <w:rFonts w:hint="eastAsia"/>
          <w:color w:val="auto"/>
          <w:u w:val="none"/>
        </w:rPr>
        <w:t>6-29-02-11</w:t>
      </w:r>
      <w:r>
        <w:rPr>
          <w:rStyle w:val="11"/>
          <w:rFonts w:hint="eastAsia"/>
          <w:color w:val="auto"/>
          <w:u w:val="none"/>
        </w:rPr>
        <w:fldChar w:fldCharType="end"/>
      </w:r>
      <w:r>
        <w:rPr>
          <w:rFonts w:hint="eastAsia"/>
        </w:rPr>
        <w:t>）</w:t>
      </w:r>
    </w:p>
    <w:p w14:paraId="0BB50667">
      <w:pPr>
        <w:pStyle w:val="3"/>
        <w:kinsoku w:val="0"/>
        <w:overflowPunct w:val="0"/>
        <w:spacing w:before="0" w:line="500" w:lineRule="exact"/>
        <w:ind w:left="0" w:firstLine="600" w:firstLineChars="200"/>
      </w:pPr>
      <w:r>
        <w:rPr>
          <w:rFonts w:hint="eastAsia"/>
        </w:rPr>
        <w:t>（三）软件标准</w:t>
      </w:r>
    </w:p>
    <w:p w14:paraId="3AC362F4">
      <w:pPr>
        <w:pStyle w:val="5"/>
        <w:kinsoku w:val="0"/>
        <w:overflowPunct w:val="0"/>
        <w:spacing w:before="0" w:line="500" w:lineRule="exact"/>
        <w:ind w:left="0" w:firstLine="560" w:firstLineChars="200"/>
      </w:pPr>
      <w:r>
        <w:rPr>
          <w:rFonts w:hint="eastAsia"/>
        </w:rPr>
        <w:t>1.智能制造工程技术人员职业标准（职业编码</w:t>
      </w:r>
      <w:r>
        <w:rPr>
          <w:rFonts w:hint="eastAsia"/>
          <w:spacing w:val="-87"/>
        </w:rPr>
        <w:t xml:space="preserve"> </w:t>
      </w:r>
      <w:r>
        <w:fldChar w:fldCharType="begin"/>
      </w:r>
      <w:r>
        <w:instrText xml:space="preserve"> HYPERLINK "http://www.osta.org.cn/biaozhun/%C3%A5%C2%9B%C2%BD%C3%A5%C2%AE%C2%B6%C3%A8%C2%81%C2%8C%C3%A4%C2%B8%C2%9A%C3%A6%C2%8A%C2%80%C3%A8%C2%83%C2%BD%C3%A6%C2%A0%C2%87%C3%A5%C2%87%C2%86%C3%A2%C2%80%C2%94%C3%A2%C2%80%C2%94%C3%A6%C2%99%C2%BA%C3%A8%C2%83%C2%BD%C3%A5%C2%88%C2%B6%C3%A9%C2%80%C2%A0%C3%A5%C2%B7%C2%A5%C3%A7%C2%A8%C2%8B%C3%A6%C2%8A%C2%80%C3%A6%C2%9C%C2%AF%C3%A4%C2%BA%C2%BA%C3%A5%C2%91%C2%98.pdf" </w:instrText>
      </w:r>
      <w:r>
        <w:fldChar w:fldCharType="separate"/>
      </w:r>
      <w:r>
        <w:rPr>
          <w:rStyle w:val="11"/>
          <w:rFonts w:hint="eastAsia"/>
          <w:color w:val="auto"/>
          <w:u w:val="none"/>
        </w:rPr>
        <w:t>2-02-07-13</w:t>
      </w:r>
      <w:r>
        <w:rPr>
          <w:rStyle w:val="11"/>
          <w:rFonts w:hint="eastAsia"/>
          <w:color w:val="auto"/>
          <w:u w:val="none"/>
        </w:rPr>
        <w:fldChar w:fldCharType="end"/>
      </w:r>
      <w:r>
        <w:rPr>
          <w:rFonts w:hint="eastAsia"/>
        </w:rPr>
        <w:t>）</w:t>
      </w:r>
    </w:p>
    <w:p w14:paraId="74B7F3B1">
      <w:pPr>
        <w:pStyle w:val="5"/>
        <w:kinsoku w:val="0"/>
        <w:overflowPunct w:val="0"/>
        <w:spacing w:before="0" w:line="500" w:lineRule="exact"/>
        <w:ind w:left="0" w:firstLine="560" w:firstLineChars="200"/>
      </w:pPr>
      <w:r>
        <w:rPr>
          <w:rFonts w:hint="eastAsia"/>
        </w:rPr>
        <w:t>2.工业机器人编程和操作图形用户接口 GB/T</w:t>
      </w:r>
      <w:r>
        <w:rPr>
          <w:rFonts w:hint="eastAsia"/>
          <w:spacing w:val="-85"/>
        </w:rPr>
        <w:t xml:space="preserve"> </w:t>
      </w:r>
      <w:r>
        <w:rPr>
          <w:rFonts w:hint="eastAsia"/>
        </w:rPr>
        <w:t>19399-2003</w:t>
      </w:r>
    </w:p>
    <w:p w14:paraId="500CD153">
      <w:pPr>
        <w:pStyle w:val="5"/>
        <w:kinsoku w:val="0"/>
        <w:overflowPunct w:val="0"/>
        <w:spacing w:before="0" w:line="500" w:lineRule="exact"/>
        <w:ind w:left="0" w:firstLine="560" w:firstLineChars="200"/>
      </w:pPr>
      <w:r>
        <w:rPr>
          <w:rFonts w:hint="eastAsia"/>
        </w:rPr>
        <w:t>3.工业机器人用于机器人的中间代码 GB/Z</w:t>
      </w:r>
      <w:r>
        <w:rPr>
          <w:rFonts w:hint="eastAsia"/>
          <w:spacing w:val="-4"/>
        </w:rPr>
        <w:t xml:space="preserve"> </w:t>
      </w:r>
      <w:r>
        <w:rPr>
          <w:rFonts w:hint="eastAsia"/>
        </w:rPr>
        <w:t xml:space="preserve">20869-2007 </w:t>
      </w:r>
    </w:p>
    <w:p w14:paraId="16C73918">
      <w:pPr>
        <w:pStyle w:val="5"/>
        <w:kinsoku w:val="0"/>
        <w:overflowPunct w:val="0"/>
        <w:spacing w:before="0" w:line="500" w:lineRule="exact"/>
        <w:ind w:left="0" w:firstLine="0"/>
        <w:rPr>
          <w:b/>
          <w:bCs/>
        </w:rPr>
      </w:pPr>
      <w:r>
        <w:rPr>
          <w:rFonts w:hint="eastAsia"/>
          <w:b/>
          <w:bCs/>
        </w:rPr>
        <w:t xml:space="preserve">十、技术平台 </w:t>
      </w:r>
    </w:p>
    <w:p w14:paraId="73E5FC52">
      <w:pPr>
        <w:pStyle w:val="5"/>
        <w:kinsoku w:val="0"/>
        <w:overflowPunct w:val="0"/>
        <w:spacing w:before="0" w:line="500" w:lineRule="exact"/>
        <w:ind w:left="0" w:firstLine="560" w:firstLineChars="200"/>
        <w:jc w:val="both"/>
        <w:rPr>
          <w:spacing w:val="-48"/>
        </w:rPr>
      </w:pPr>
      <w:r>
        <w:rPr>
          <w:rFonts w:hint="eastAsia"/>
        </w:rPr>
        <w:t>竞赛平台采用相同指标的设备平台，工具由选手自备，耗材统一提供。</w:t>
      </w:r>
      <w:r>
        <w:rPr>
          <w:rFonts w:hint="eastAsia"/>
          <w:spacing w:val="2"/>
        </w:rPr>
        <w:t>技术平台组成如图</w:t>
      </w:r>
      <w:r>
        <w:t>1</w:t>
      </w:r>
      <w:r>
        <w:rPr>
          <w:rFonts w:hint="eastAsia"/>
          <w:spacing w:val="-80"/>
        </w:rPr>
        <w:t xml:space="preserve"> </w:t>
      </w:r>
      <w:r>
        <w:rPr>
          <w:rFonts w:hint="eastAsia"/>
          <w:spacing w:val="-5"/>
        </w:rPr>
        <w:t>所示：（注：</w:t>
      </w:r>
      <w:r>
        <w:rPr>
          <w:rFonts w:hint="eastAsia" w:ascii="Microsoft JhengHei" w:eastAsia="Microsoft JhengHei" w:cs="Microsoft JhengHei"/>
          <w:b/>
          <w:bCs/>
          <w:spacing w:val="-5"/>
        </w:rPr>
        <w:t>此图为技术平台示意图</w:t>
      </w:r>
      <w:r>
        <w:rPr>
          <w:rFonts w:hint="eastAsia"/>
          <w:spacing w:val="-48"/>
        </w:rPr>
        <w:t>）。</w:t>
      </w:r>
    </w:p>
    <w:p w14:paraId="590DD53E">
      <w:pPr>
        <w:pStyle w:val="5"/>
        <w:kinsoku w:val="0"/>
        <w:overflowPunct w:val="0"/>
        <w:spacing w:before="0"/>
        <w:ind w:left="0" w:firstLine="0"/>
        <w:rPr>
          <w:spacing w:val="-5"/>
        </w:rPr>
      </w:pPr>
      <w:r>
        <w:drawing>
          <wp:inline distT="0" distB="0" distL="0" distR="0">
            <wp:extent cx="5761990" cy="2853055"/>
            <wp:effectExtent l="0" t="0" r="0" b="4445"/>
            <wp:docPr id="20474394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439447" name="图片 1"/>
                    <pic:cNvPicPr>
                      <a:picLocks noChangeAspect="1"/>
                    </pic:cNvPicPr>
                  </pic:nvPicPr>
                  <pic:blipFill>
                    <a:blip r:embed="rId4"/>
                    <a:stretch>
                      <a:fillRect/>
                    </a:stretch>
                  </pic:blipFill>
                  <pic:spPr>
                    <a:xfrm>
                      <a:off x="0" y="0"/>
                      <a:ext cx="5761990" cy="2853055"/>
                    </a:xfrm>
                    <a:prstGeom prst="rect">
                      <a:avLst/>
                    </a:prstGeom>
                  </pic:spPr>
                </pic:pic>
              </a:graphicData>
            </a:graphic>
          </wp:inline>
        </w:drawing>
      </w:r>
    </w:p>
    <w:p w14:paraId="02BA8451">
      <w:pPr>
        <w:pStyle w:val="5"/>
        <w:kinsoku w:val="0"/>
        <w:overflowPunct w:val="0"/>
        <w:spacing w:before="0" w:line="500" w:lineRule="exact"/>
        <w:ind w:left="0" w:firstLine="0"/>
        <w:jc w:val="center"/>
        <w:rPr>
          <w:spacing w:val="-5"/>
        </w:rPr>
      </w:pPr>
      <w:r>
        <w:rPr>
          <w:rFonts w:hint="eastAsia"/>
          <w:sz w:val="21"/>
          <w:szCs w:val="21"/>
        </w:rPr>
        <w:t>图</w:t>
      </w:r>
      <w:r>
        <w:rPr>
          <w:sz w:val="21"/>
          <w:szCs w:val="21"/>
        </w:rPr>
        <w:t xml:space="preserve"> </w:t>
      </w:r>
      <w:r>
        <w:rPr>
          <w:rFonts w:ascii="Arial Narrow" w:hAnsi="Arial Narrow" w:cs="Arial Narrow"/>
          <w:sz w:val="21"/>
          <w:szCs w:val="21"/>
        </w:rPr>
        <w:t>1</w:t>
      </w:r>
      <w:r>
        <w:rPr>
          <w:rFonts w:ascii="Arial Narrow" w:hAnsi="Arial Narrow" w:cs="Arial Narrow"/>
          <w:spacing w:val="-3"/>
          <w:sz w:val="21"/>
          <w:szCs w:val="21"/>
        </w:rPr>
        <w:t xml:space="preserve"> </w:t>
      </w:r>
      <w:r>
        <w:rPr>
          <w:rFonts w:hint="eastAsia" w:hAnsi="Arial Narrow"/>
          <w:sz w:val="21"/>
          <w:szCs w:val="21"/>
        </w:rPr>
        <w:t>竞赛技术平台组成</w:t>
      </w:r>
    </w:p>
    <w:p w14:paraId="0CD611B2">
      <w:pPr>
        <w:pStyle w:val="5"/>
        <w:kinsoku w:val="0"/>
        <w:overflowPunct w:val="0"/>
        <w:spacing w:line="500" w:lineRule="exact"/>
        <w:ind w:firstLine="536" w:firstLineChars="200"/>
        <w:jc w:val="both"/>
        <w:rPr>
          <w:spacing w:val="-6"/>
        </w:rPr>
      </w:pPr>
      <w:r>
        <w:rPr>
          <w:rFonts w:hint="eastAsia"/>
          <w:spacing w:val="-6"/>
        </w:rPr>
        <w:t>生产单元数字化改造综合平台，以典型生产单元的数字化智能化升级改造为核心，配置智能仓储、智能装配工作站、智能机器人、</w:t>
      </w:r>
      <w:r>
        <w:rPr>
          <w:spacing w:val="-6"/>
        </w:rPr>
        <w:t>AMR自主移动机器人、智能视觉等智能装</w:t>
      </w:r>
      <w:r>
        <w:rPr>
          <w:rFonts w:hint="eastAsia"/>
          <w:spacing w:val="-6"/>
        </w:rPr>
        <w:t>备，通过智能传感技术、视觉检测技术、</w:t>
      </w:r>
      <w:r>
        <w:rPr>
          <w:spacing w:val="-6"/>
        </w:rPr>
        <w:t>RFID射频识别技术、工业互联网</w:t>
      </w:r>
      <w:r>
        <w:rPr>
          <w:rFonts w:hint="eastAsia"/>
          <w:spacing w:val="-6"/>
        </w:rPr>
        <w:t>技术、数字孪生技术、</w:t>
      </w:r>
      <w:r>
        <w:rPr>
          <w:spacing w:val="-6"/>
        </w:rPr>
        <w:t>MES生产管理技术、WMS仓储管理技术、SCADA数据采集与监</w:t>
      </w:r>
      <w:r>
        <w:rPr>
          <w:rFonts w:hint="eastAsia"/>
          <w:spacing w:val="-6"/>
        </w:rPr>
        <w:t>控技术等，构建一个全面感知、无缝联接、高度智能的数字化生产单元，主要面向智能制造、智能机器人和工业互联网等相关专业的综合应用教学方向。</w:t>
      </w:r>
    </w:p>
    <w:p w14:paraId="1137F299">
      <w:pPr>
        <w:pStyle w:val="3"/>
        <w:kinsoku w:val="0"/>
        <w:overflowPunct w:val="0"/>
        <w:spacing w:before="0" w:line="500" w:lineRule="exact"/>
        <w:ind w:left="0" w:firstLine="600" w:firstLineChars="200"/>
      </w:pPr>
      <w:r>
        <w:rPr>
          <w:rFonts w:hint="eastAsia"/>
        </w:rPr>
        <w:t>（一）竞赛平台的功能和组成</w:t>
      </w:r>
    </w:p>
    <w:p w14:paraId="2A629E64">
      <w:pPr>
        <w:pStyle w:val="5"/>
        <w:kinsoku w:val="0"/>
        <w:overflowPunct w:val="0"/>
        <w:spacing w:line="500" w:lineRule="exact"/>
        <w:jc w:val="both"/>
        <w:rPr>
          <w:rFonts w:ascii="Microsoft JhengHei" w:eastAsia="Microsoft JhengHei" w:cs="Microsoft JhengHei"/>
          <w:w w:val="95"/>
        </w:rPr>
      </w:pPr>
      <w:r>
        <w:rPr>
          <w:rFonts w:hint="eastAsia"/>
          <w:spacing w:val="-10"/>
        </w:rPr>
        <w:t>生产单元数字化改造竞赛平台主要由智能仓储单元、智能识别转运单元、智能装配检测单元、</w:t>
      </w:r>
      <w:r>
        <w:rPr>
          <w:spacing w:val="-10"/>
        </w:rPr>
        <w:t>AMR运载机器人单元、控制工作台单元、SCADA系统单元、WMS系统、MES系统单元、数字孪生系统单元和配套设施等设备及软件组成。</w:t>
      </w:r>
    </w:p>
    <w:p w14:paraId="459694C5">
      <w:pPr>
        <w:pStyle w:val="5"/>
        <w:kinsoku w:val="0"/>
        <w:overflowPunct w:val="0"/>
        <w:spacing w:line="500" w:lineRule="exact"/>
      </w:pPr>
      <w:r>
        <w:t>1</w:t>
      </w:r>
      <w:r>
        <w:rPr>
          <w:rFonts w:hint="eastAsia"/>
        </w:rPr>
        <w:t>.</w:t>
      </w:r>
      <w:r>
        <w:t>智能仓储单元</w:t>
      </w:r>
    </w:p>
    <w:p w14:paraId="0777712C">
      <w:pPr>
        <w:pStyle w:val="5"/>
        <w:kinsoku w:val="0"/>
        <w:overflowPunct w:val="0"/>
        <w:spacing w:line="500" w:lineRule="exact"/>
        <w:jc w:val="both"/>
      </w:pPr>
      <w:r>
        <w:rPr>
          <w:rFonts w:hint="eastAsia"/>
        </w:rPr>
        <w:t>智能仓储单元由立体仓库、三轴机器人</w:t>
      </w:r>
      <w:r>
        <w:t>(码垛机)、RFID读写模块、基础底板、托盘</w:t>
      </w:r>
      <w:r>
        <w:rPr>
          <w:rFonts w:hint="eastAsia"/>
        </w:rPr>
        <w:t>与工件、电气控制系统、触摸屏人机界面等组成。通过配置的三轴机器人</w:t>
      </w:r>
      <w:r>
        <w:t>(码垛机)自动</w:t>
      </w:r>
      <w:r>
        <w:rPr>
          <w:rFonts w:hint="eastAsia"/>
        </w:rPr>
        <w:t>化完成出入库搬运作业，使得托盘与工件输送</w:t>
      </w:r>
      <w:r>
        <w:t>AMR运载机器人，或将AMR运载机器人</w:t>
      </w:r>
      <w:r>
        <w:rPr>
          <w:rFonts w:hint="eastAsia"/>
        </w:rPr>
        <w:t>输送过来的成品件、次品等进行分类入库。单元采用独立的电气控制，可切换至单机模式，通过人机界面进行操作和实验，亦可切换至联机模式，实现与主控操作台交互通信，完成自动化流程作业。</w:t>
      </w:r>
      <w:r>
        <w:t>智能仓储单元示例</w:t>
      </w:r>
      <w:r>
        <w:rPr>
          <w:rFonts w:hint="eastAsia"/>
        </w:rPr>
        <w:t>图如图2所示。</w:t>
      </w:r>
    </w:p>
    <w:p w14:paraId="38E410DC">
      <w:pPr>
        <w:pStyle w:val="5"/>
        <w:kinsoku w:val="0"/>
        <w:overflowPunct w:val="0"/>
        <w:spacing w:line="500" w:lineRule="exact"/>
      </w:pPr>
      <w:r>
        <w:drawing>
          <wp:anchor distT="0" distB="0" distL="114300" distR="114300" simplePos="0" relativeHeight="251659264" behindDoc="0" locked="0" layoutInCell="1" allowOverlap="1">
            <wp:simplePos x="0" y="0"/>
            <wp:positionH relativeFrom="column">
              <wp:posOffset>1848485</wp:posOffset>
            </wp:positionH>
            <wp:positionV relativeFrom="paragraph">
              <wp:posOffset>113665</wp:posOffset>
            </wp:positionV>
            <wp:extent cx="1680210" cy="2501900"/>
            <wp:effectExtent l="0" t="0" r="0" b="0"/>
            <wp:wrapSquare wrapText="bothSides"/>
            <wp:docPr id="863268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68463" name="图片 1"/>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1680210" cy="2501900"/>
                    </a:xfrm>
                    <a:prstGeom prst="rect">
                      <a:avLst/>
                    </a:prstGeom>
                  </pic:spPr>
                </pic:pic>
              </a:graphicData>
            </a:graphic>
          </wp:anchor>
        </w:drawing>
      </w:r>
    </w:p>
    <w:p w14:paraId="40F51BB0">
      <w:pPr>
        <w:pStyle w:val="5"/>
        <w:kinsoku w:val="0"/>
        <w:overflowPunct w:val="0"/>
        <w:spacing w:line="500" w:lineRule="exact"/>
      </w:pPr>
    </w:p>
    <w:p w14:paraId="63CBDCC6">
      <w:pPr>
        <w:pStyle w:val="5"/>
        <w:kinsoku w:val="0"/>
        <w:overflowPunct w:val="0"/>
        <w:spacing w:line="500" w:lineRule="exact"/>
      </w:pPr>
    </w:p>
    <w:p w14:paraId="4F512520">
      <w:pPr>
        <w:pStyle w:val="5"/>
        <w:kinsoku w:val="0"/>
        <w:overflowPunct w:val="0"/>
        <w:spacing w:line="500" w:lineRule="exact"/>
      </w:pPr>
    </w:p>
    <w:p w14:paraId="1FF08F70">
      <w:pPr>
        <w:pStyle w:val="5"/>
        <w:kinsoku w:val="0"/>
        <w:overflowPunct w:val="0"/>
        <w:spacing w:line="500" w:lineRule="exact"/>
      </w:pPr>
    </w:p>
    <w:p w14:paraId="6366F0F3">
      <w:pPr>
        <w:pStyle w:val="5"/>
        <w:kinsoku w:val="0"/>
        <w:overflowPunct w:val="0"/>
        <w:spacing w:line="500" w:lineRule="exact"/>
      </w:pPr>
    </w:p>
    <w:p w14:paraId="69FCD2F1">
      <w:pPr>
        <w:pStyle w:val="5"/>
        <w:kinsoku w:val="0"/>
        <w:overflowPunct w:val="0"/>
        <w:spacing w:line="500" w:lineRule="exact"/>
      </w:pPr>
    </w:p>
    <w:p w14:paraId="533624A5">
      <w:pPr>
        <w:pStyle w:val="5"/>
        <w:kinsoku w:val="0"/>
        <w:overflowPunct w:val="0"/>
        <w:spacing w:line="500" w:lineRule="exact"/>
      </w:pPr>
    </w:p>
    <w:p w14:paraId="7E4E4BE1">
      <w:pPr>
        <w:pStyle w:val="5"/>
        <w:kinsoku w:val="0"/>
        <w:overflowPunct w:val="0"/>
        <w:spacing w:line="500" w:lineRule="exact"/>
        <w:jc w:val="center"/>
      </w:pPr>
      <w:r>
        <w:rPr>
          <w:rFonts w:hint="eastAsia"/>
          <w:sz w:val="21"/>
          <w:szCs w:val="21"/>
        </w:rPr>
        <w:t>图2</w:t>
      </w:r>
      <w:r>
        <w:rPr>
          <w:sz w:val="21"/>
          <w:szCs w:val="21"/>
        </w:rPr>
        <w:t xml:space="preserve"> 智能仓储单元示例</w:t>
      </w:r>
      <w:r>
        <w:rPr>
          <w:rFonts w:hint="eastAsia"/>
          <w:sz w:val="21"/>
          <w:szCs w:val="21"/>
        </w:rPr>
        <w:t>图</w:t>
      </w:r>
    </w:p>
    <w:p w14:paraId="37F7DA29">
      <w:pPr>
        <w:pStyle w:val="5"/>
        <w:kinsoku w:val="0"/>
        <w:overflowPunct w:val="0"/>
        <w:spacing w:line="500" w:lineRule="exact"/>
      </w:pPr>
      <w:r>
        <w:t>2.智能识别转运单元</w:t>
      </w:r>
    </w:p>
    <w:p w14:paraId="595BFF96">
      <w:pPr>
        <w:pStyle w:val="5"/>
        <w:kinsoku w:val="0"/>
        <w:overflowPunct w:val="0"/>
        <w:spacing w:line="500" w:lineRule="exact"/>
        <w:jc w:val="both"/>
      </w:pPr>
      <w:r>
        <w:rPr>
          <w:rFonts w:hint="eastAsia"/>
        </w:rPr>
        <w:t>智能识别转运单元由工作台、输送线、智能视觉系统、</w:t>
      </w:r>
      <w:r>
        <w:t>RFID读写模块、托盘暂存模</w:t>
      </w:r>
      <w:r>
        <w:rPr>
          <w:rFonts w:hint="eastAsia"/>
        </w:rPr>
        <w:t>块等组成。通过配置的输送线与</w:t>
      </w:r>
      <w:r>
        <w:t>AMR运载机器人实现托盘正反向流转对接，智能视觉系</w:t>
      </w:r>
      <w:r>
        <w:rPr>
          <w:rFonts w:hint="eastAsia"/>
        </w:rPr>
        <w:t>统可识别托盘中放置的待装配工件或成品工件的颜色、种类、坐标等信息，并传输至主控制器以及</w:t>
      </w:r>
      <w:r>
        <w:t>SCADA系统中，RFD读写模块可根据智能视觉系统识别的结果，对托盘中嵌入</w:t>
      </w:r>
      <w:r>
        <w:rPr>
          <w:rFonts w:hint="eastAsia"/>
        </w:rPr>
        <w:t>的</w:t>
      </w:r>
      <w:r>
        <w:t>RFD芯片进行数据更新，实现作业流程信息化跟踪。</w:t>
      </w:r>
      <w:r>
        <w:rPr>
          <w:rFonts w:hint="eastAsia"/>
        </w:rPr>
        <w:t>智能识别转运单元示例如图3所示。</w:t>
      </w:r>
    </w:p>
    <w:p w14:paraId="0F65F5B2">
      <w:pPr>
        <w:pStyle w:val="5"/>
        <w:kinsoku w:val="0"/>
        <w:overflowPunct w:val="0"/>
        <w:spacing w:line="500" w:lineRule="exact"/>
      </w:pPr>
      <w:r>
        <w:drawing>
          <wp:anchor distT="0" distB="0" distL="114300" distR="114300" simplePos="0" relativeHeight="251660288" behindDoc="0" locked="0" layoutInCell="1" allowOverlap="1">
            <wp:simplePos x="0" y="0"/>
            <wp:positionH relativeFrom="column">
              <wp:posOffset>1322070</wp:posOffset>
            </wp:positionH>
            <wp:positionV relativeFrom="paragraph">
              <wp:posOffset>133985</wp:posOffset>
            </wp:positionV>
            <wp:extent cx="2330450" cy="3132455"/>
            <wp:effectExtent l="0" t="0" r="0" b="0"/>
            <wp:wrapSquare wrapText="bothSides"/>
            <wp:docPr id="18045451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545160" name="图片 1"/>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2330450" cy="3132455"/>
                    </a:xfrm>
                    <a:prstGeom prst="rect">
                      <a:avLst/>
                    </a:prstGeom>
                  </pic:spPr>
                </pic:pic>
              </a:graphicData>
            </a:graphic>
          </wp:anchor>
        </w:drawing>
      </w:r>
    </w:p>
    <w:p w14:paraId="780D1991">
      <w:pPr>
        <w:pStyle w:val="5"/>
        <w:kinsoku w:val="0"/>
        <w:overflowPunct w:val="0"/>
        <w:spacing w:line="500" w:lineRule="exact"/>
      </w:pPr>
    </w:p>
    <w:p w14:paraId="3220282E">
      <w:pPr>
        <w:pStyle w:val="5"/>
        <w:kinsoku w:val="0"/>
        <w:overflowPunct w:val="0"/>
        <w:spacing w:line="500" w:lineRule="exact"/>
      </w:pPr>
    </w:p>
    <w:p w14:paraId="503B4856">
      <w:pPr>
        <w:pStyle w:val="5"/>
        <w:kinsoku w:val="0"/>
        <w:overflowPunct w:val="0"/>
        <w:spacing w:line="500" w:lineRule="exact"/>
      </w:pPr>
    </w:p>
    <w:p w14:paraId="3F7BD031">
      <w:pPr>
        <w:pStyle w:val="5"/>
        <w:kinsoku w:val="0"/>
        <w:overflowPunct w:val="0"/>
        <w:spacing w:line="500" w:lineRule="exact"/>
      </w:pPr>
    </w:p>
    <w:p w14:paraId="583B9D39">
      <w:pPr>
        <w:pStyle w:val="5"/>
        <w:kinsoku w:val="0"/>
        <w:overflowPunct w:val="0"/>
        <w:spacing w:line="500" w:lineRule="exact"/>
      </w:pPr>
    </w:p>
    <w:p w14:paraId="0EA3E0EF">
      <w:pPr>
        <w:pStyle w:val="5"/>
        <w:kinsoku w:val="0"/>
        <w:overflowPunct w:val="0"/>
        <w:spacing w:line="500" w:lineRule="exact"/>
      </w:pPr>
    </w:p>
    <w:p w14:paraId="4DBC7FB8">
      <w:pPr>
        <w:pStyle w:val="5"/>
        <w:kinsoku w:val="0"/>
        <w:overflowPunct w:val="0"/>
        <w:spacing w:line="500" w:lineRule="exact"/>
      </w:pPr>
    </w:p>
    <w:p w14:paraId="6F082291">
      <w:pPr>
        <w:pStyle w:val="5"/>
        <w:kinsoku w:val="0"/>
        <w:overflowPunct w:val="0"/>
        <w:spacing w:line="500" w:lineRule="exact"/>
      </w:pPr>
    </w:p>
    <w:p w14:paraId="0679DC80">
      <w:pPr>
        <w:pStyle w:val="5"/>
        <w:kinsoku w:val="0"/>
        <w:overflowPunct w:val="0"/>
        <w:spacing w:line="500" w:lineRule="exact"/>
      </w:pPr>
    </w:p>
    <w:p w14:paraId="3685EED6">
      <w:pPr>
        <w:pStyle w:val="5"/>
        <w:kinsoku w:val="0"/>
        <w:overflowPunct w:val="0"/>
        <w:spacing w:line="500" w:lineRule="exact"/>
        <w:jc w:val="center"/>
        <w:rPr>
          <w:sz w:val="21"/>
          <w:szCs w:val="21"/>
        </w:rPr>
      </w:pPr>
      <w:r>
        <w:rPr>
          <w:rFonts w:hint="eastAsia"/>
          <w:sz w:val="21"/>
          <w:szCs w:val="21"/>
        </w:rPr>
        <w:t>图</w:t>
      </w:r>
      <w:r>
        <w:rPr>
          <w:sz w:val="21"/>
          <w:szCs w:val="21"/>
        </w:rPr>
        <w:t xml:space="preserve">3 </w:t>
      </w:r>
      <w:r>
        <w:rPr>
          <w:rFonts w:hint="eastAsia"/>
          <w:sz w:val="21"/>
          <w:szCs w:val="21"/>
        </w:rPr>
        <w:t>智能识别转运单元示例</w:t>
      </w:r>
    </w:p>
    <w:p w14:paraId="1E56A385">
      <w:pPr>
        <w:pStyle w:val="5"/>
        <w:kinsoku w:val="0"/>
        <w:overflowPunct w:val="0"/>
        <w:spacing w:line="500" w:lineRule="exact"/>
      </w:pPr>
      <w:r>
        <w:t>3</w:t>
      </w:r>
      <w:r>
        <w:rPr>
          <w:rFonts w:hint="eastAsia"/>
        </w:rPr>
        <w:t>.</w:t>
      </w:r>
      <w:r>
        <w:t>智能装配检测单元</w:t>
      </w:r>
    </w:p>
    <w:p w14:paraId="5583A112">
      <w:pPr>
        <w:pStyle w:val="5"/>
        <w:kinsoku w:val="0"/>
        <w:overflowPunct w:val="0"/>
        <w:spacing w:line="500" w:lineRule="exact"/>
      </w:pPr>
      <w:r>
        <w:rPr>
          <w:rFonts w:hint="eastAsia"/>
        </w:rPr>
        <w:t>智能装配检测单元由工作台、智能机器人、装配检测模块、暂存工位、安全光栅、电气控制系统、触摸屏人机界面等组成。通过配置的智能机器人与装配检测模块配合，自动化完成工件装配，并利用检测传感器判断装配是否成功。暂存工位用于存放无法及时进行成套装配的工件。安全光栅用于增加人机交互的安全性,其示意图如图4。</w:t>
      </w:r>
    </w:p>
    <w:p w14:paraId="324C228E">
      <w:pPr>
        <w:pStyle w:val="5"/>
        <w:kinsoku w:val="0"/>
        <w:overflowPunct w:val="0"/>
        <w:spacing w:line="500" w:lineRule="exact"/>
      </w:pPr>
      <w:r>
        <w:drawing>
          <wp:anchor distT="0" distB="0" distL="114300" distR="114300" simplePos="0" relativeHeight="251661312" behindDoc="0" locked="0" layoutInCell="1" allowOverlap="1">
            <wp:simplePos x="0" y="0"/>
            <wp:positionH relativeFrom="column">
              <wp:posOffset>1264920</wp:posOffset>
            </wp:positionH>
            <wp:positionV relativeFrom="paragraph">
              <wp:posOffset>0</wp:posOffset>
            </wp:positionV>
            <wp:extent cx="2852420" cy="3517900"/>
            <wp:effectExtent l="0" t="0" r="5080" b="6350"/>
            <wp:wrapSquare wrapText="bothSides"/>
            <wp:docPr id="9946782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678283" name="图片 1"/>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2852722" cy="3517900"/>
                    </a:xfrm>
                    <a:prstGeom prst="rect">
                      <a:avLst/>
                    </a:prstGeom>
                  </pic:spPr>
                </pic:pic>
              </a:graphicData>
            </a:graphic>
          </wp:anchor>
        </w:drawing>
      </w:r>
    </w:p>
    <w:p w14:paraId="16025087">
      <w:pPr>
        <w:pStyle w:val="5"/>
        <w:kinsoku w:val="0"/>
        <w:overflowPunct w:val="0"/>
        <w:spacing w:line="500" w:lineRule="exact"/>
      </w:pPr>
    </w:p>
    <w:p w14:paraId="051E3392">
      <w:pPr>
        <w:pStyle w:val="5"/>
        <w:kinsoku w:val="0"/>
        <w:overflowPunct w:val="0"/>
        <w:spacing w:line="500" w:lineRule="exact"/>
      </w:pPr>
    </w:p>
    <w:p w14:paraId="779216C6">
      <w:pPr>
        <w:pStyle w:val="5"/>
        <w:kinsoku w:val="0"/>
        <w:overflowPunct w:val="0"/>
        <w:spacing w:line="500" w:lineRule="exact"/>
      </w:pPr>
    </w:p>
    <w:p w14:paraId="75FD213B">
      <w:pPr>
        <w:pStyle w:val="5"/>
        <w:kinsoku w:val="0"/>
        <w:overflowPunct w:val="0"/>
        <w:spacing w:line="500" w:lineRule="exact"/>
      </w:pPr>
    </w:p>
    <w:p w14:paraId="221D0643">
      <w:pPr>
        <w:pStyle w:val="5"/>
        <w:kinsoku w:val="0"/>
        <w:overflowPunct w:val="0"/>
        <w:spacing w:line="500" w:lineRule="exact"/>
      </w:pPr>
    </w:p>
    <w:p w14:paraId="02ABF9FE">
      <w:pPr>
        <w:pStyle w:val="5"/>
        <w:kinsoku w:val="0"/>
        <w:overflowPunct w:val="0"/>
        <w:spacing w:line="500" w:lineRule="exact"/>
      </w:pPr>
    </w:p>
    <w:p w14:paraId="5CD52A82">
      <w:pPr>
        <w:pStyle w:val="5"/>
        <w:kinsoku w:val="0"/>
        <w:overflowPunct w:val="0"/>
        <w:spacing w:line="500" w:lineRule="exact"/>
      </w:pPr>
    </w:p>
    <w:p w14:paraId="5EB4B75A">
      <w:pPr>
        <w:pStyle w:val="5"/>
        <w:kinsoku w:val="0"/>
        <w:overflowPunct w:val="0"/>
        <w:spacing w:line="500" w:lineRule="exact"/>
      </w:pPr>
    </w:p>
    <w:p w14:paraId="2D6C7B52">
      <w:pPr>
        <w:pStyle w:val="5"/>
        <w:kinsoku w:val="0"/>
        <w:overflowPunct w:val="0"/>
        <w:spacing w:line="500" w:lineRule="exact"/>
      </w:pPr>
    </w:p>
    <w:p w14:paraId="64A38888">
      <w:pPr>
        <w:pStyle w:val="5"/>
        <w:kinsoku w:val="0"/>
        <w:overflowPunct w:val="0"/>
        <w:spacing w:line="500" w:lineRule="exact"/>
      </w:pPr>
    </w:p>
    <w:p w14:paraId="33044CB7">
      <w:pPr>
        <w:pStyle w:val="5"/>
        <w:kinsoku w:val="0"/>
        <w:overflowPunct w:val="0"/>
        <w:spacing w:line="500" w:lineRule="exact"/>
        <w:jc w:val="center"/>
      </w:pPr>
      <w:r>
        <w:rPr>
          <w:rFonts w:hint="eastAsia"/>
          <w:sz w:val="21"/>
          <w:szCs w:val="21"/>
        </w:rPr>
        <w:t>图</w:t>
      </w:r>
      <w:r>
        <w:rPr>
          <w:sz w:val="21"/>
          <w:szCs w:val="21"/>
        </w:rPr>
        <w:t xml:space="preserve">4 </w:t>
      </w:r>
      <w:r>
        <w:rPr>
          <w:rFonts w:hint="eastAsia"/>
          <w:sz w:val="21"/>
          <w:szCs w:val="21"/>
        </w:rPr>
        <w:t>智能装配检测单元示例</w:t>
      </w:r>
    </w:p>
    <w:p w14:paraId="601906CA">
      <w:pPr>
        <w:pStyle w:val="5"/>
        <w:kinsoku w:val="0"/>
        <w:overflowPunct w:val="0"/>
        <w:spacing w:line="500" w:lineRule="exact"/>
      </w:pPr>
    </w:p>
    <w:p w14:paraId="798CA117">
      <w:pPr>
        <w:pStyle w:val="5"/>
        <w:kinsoku w:val="0"/>
        <w:overflowPunct w:val="0"/>
        <w:spacing w:line="500" w:lineRule="exact"/>
      </w:pPr>
      <w:r>
        <w:t>4.AMR运载机器人单元</w:t>
      </w:r>
    </w:p>
    <w:p w14:paraId="17485589">
      <w:pPr>
        <w:pStyle w:val="5"/>
        <w:kinsoku w:val="0"/>
        <w:overflowPunct w:val="0"/>
        <w:spacing w:line="500" w:lineRule="exact"/>
        <w:jc w:val="both"/>
      </w:pPr>
      <w:r>
        <w:t>AMR运载机器人单元由移动机器人、上部输送带、阻挡电缸、光电传感器等组成。</w:t>
      </w:r>
      <w:r>
        <w:rPr>
          <w:rFonts w:hint="eastAsia"/>
        </w:rPr>
        <w:t>移动机器人本体配置激光雷达、避障相机、接近传感器、安全触边等不同类型的传感器</w:t>
      </w:r>
      <w:r>
        <w:t>,</w:t>
      </w:r>
      <w:r>
        <w:rPr>
          <w:rFonts w:hint="eastAsia"/>
        </w:rPr>
        <w:t>可以实现自主建图、路径规划、自主导航运动，同时，提供了可扩展的外部电气接口，可接收光电传感器的输入信号，并驱动上部输送带启停、反转运动等,示例图如图5</w:t>
      </w:r>
      <w:r>
        <w:t>。</w:t>
      </w:r>
    </w:p>
    <w:p w14:paraId="00145BF1">
      <w:pPr>
        <w:pStyle w:val="5"/>
        <w:kinsoku w:val="0"/>
        <w:overflowPunct w:val="0"/>
        <w:spacing w:line="500" w:lineRule="exact"/>
      </w:pPr>
      <w:r>
        <w:drawing>
          <wp:anchor distT="0" distB="0" distL="114300" distR="114300" simplePos="0" relativeHeight="251662336" behindDoc="0" locked="0" layoutInCell="1" allowOverlap="1">
            <wp:simplePos x="0" y="0"/>
            <wp:positionH relativeFrom="column">
              <wp:posOffset>2319020</wp:posOffset>
            </wp:positionH>
            <wp:positionV relativeFrom="paragraph">
              <wp:posOffset>220980</wp:posOffset>
            </wp:positionV>
            <wp:extent cx="1206500" cy="1546225"/>
            <wp:effectExtent l="0" t="0" r="0" b="0"/>
            <wp:wrapSquare wrapText="bothSides"/>
            <wp:docPr id="1896069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06991" name="图片 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06500" cy="1546225"/>
                    </a:xfrm>
                    <a:prstGeom prst="rect">
                      <a:avLst/>
                    </a:prstGeom>
                  </pic:spPr>
                </pic:pic>
              </a:graphicData>
            </a:graphic>
          </wp:anchor>
        </w:drawing>
      </w:r>
    </w:p>
    <w:p w14:paraId="34371E08">
      <w:pPr>
        <w:pStyle w:val="5"/>
        <w:kinsoku w:val="0"/>
        <w:overflowPunct w:val="0"/>
        <w:spacing w:line="500" w:lineRule="exact"/>
      </w:pPr>
    </w:p>
    <w:p w14:paraId="16252A52">
      <w:pPr>
        <w:pStyle w:val="5"/>
        <w:kinsoku w:val="0"/>
        <w:overflowPunct w:val="0"/>
        <w:spacing w:line="500" w:lineRule="exact"/>
      </w:pPr>
    </w:p>
    <w:p w14:paraId="55BA3967">
      <w:pPr>
        <w:pStyle w:val="5"/>
        <w:kinsoku w:val="0"/>
        <w:overflowPunct w:val="0"/>
        <w:spacing w:line="500" w:lineRule="exact"/>
      </w:pPr>
    </w:p>
    <w:p w14:paraId="7C2B1CDE">
      <w:pPr>
        <w:pStyle w:val="5"/>
        <w:kinsoku w:val="0"/>
        <w:overflowPunct w:val="0"/>
        <w:spacing w:line="500" w:lineRule="exact"/>
      </w:pPr>
    </w:p>
    <w:p w14:paraId="0B46533A">
      <w:pPr>
        <w:pStyle w:val="5"/>
        <w:kinsoku w:val="0"/>
        <w:overflowPunct w:val="0"/>
        <w:spacing w:line="500" w:lineRule="exact"/>
        <w:jc w:val="center"/>
      </w:pPr>
      <w:r>
        <w:rPr>
          <w:rFonts w:hint="eastAsia"/>
          <w:sz w:val="21"/>
          <w:szCs w:val="21"/>
        </w:rPr>
        <w:t>图</w:t>
      </w:r>
      <w:r>
        <w:rPr>
          <w:sz w:val="21"/>
          <w:szCs w:val="21"/>
        </w:rPr>
        <w:t>5 AMR运载机器人单元</w:t>
      </w:r>
      <w:r>
        <w:rPr>
          <w:rFonts w:hint="eastAsia"/>
          <w:sz w:val="21"/>
          <w:szCs w:val="21"/>
        </w:rPr>
        <w:t>示例</w:t>
      </w:r>
    </w:p>
    <w:p w14:paraId="0DB05FF9">
      <w:pPr>
        <w:pStyle w:val="5"/>
        <w:kinsoku w:val="0"/>
        <w:overflowPunct w:val="0"/>
        <w:spacing w:line="500" w:lineRule="exact"/>
      </w:pPr>
      <w:r>
        <w:t>5</w:t>
      </w:r>
      <w:r>
        <w:rPr>
          <w:rFonts w:hint="eastAsia"/>
        </w:rPr>
        <w:t>.</w:t>
      </w:r>
      <w:r>
        <w:t>控制工作台单元</w:t>
      </w:r>
    </w:p>
    <w:p w14:paraId="510C6DBB">
      <w:pPr>
        <w:pStyle w:val="5"/>
        <w:kinsoku w:val="0"/>
        <w:overflowPunct w:val="0"/>
        <w:spacing w:line="500" w:lineRule="exact"/>
        <w:jc w:val="both"/>
      </w:pPr>
      <w:r>
        <w:rPr>
          <w:rFonts w:hint="eastAsia"/>
        </w:rPr>
        <w:t>单元由操作台、工业防火墙、交换机、路由器、无线接入点、无线客户端等组成</w:t>
      </w:r>
      <w:r>
        <w:t xml:space="preserve">, </w:t>
      </w:r>
      <w:r>
        <w:rPr>
          <w:rFonts w:hint="eastAsia"/>
        </w:rPr>
        <w:t>可进行工业网络系统的划分和网络资源的分配，提供对应的数据通信及安全管理服务。</w:t>
      </w:r>
    </w:p>
    <w:p w14:paraId="14C531C6">
      <w:pPr>
        <w:pStyle w:val="5"/>
        <w:kinsoku w:val="0"/>
        <w:overflowPunct w:val="0"/>
        <w:spacing w:line="500" w:lineRule="exact"/>
      </w:pPr>
      <w:r>
        <w:drawing>
          <wp:anchor distT="0" distB="0" distL="114300" distR="114300" simplePos="0" relativeHeight="251663360" behindDoc="0" locked="0" layoutInCell="1" allowOverlap="1">
            <wp:simplePos x="0" y="0"/>
            <wp:positionH relativeFrom="column">
              <wp:posOffset>2084070</wp:posOffset>
            </wp:positionH>
            <wp:positionV relativeFrom="paragraph">
              <wp:posOffset>337185</wp:posOffset>
            </wp:positionV>
            <wp:extent cx="1784350" cy="2364740"/>
            <wp:effectExtent l="0" t="0" r="6350" b="0"/>
            <wp:wrapSquare wrapText="bothSides"/>
            <wp:docPr id="19616792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679210" name="图片 1"/>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784350" cy="2364740"/>
                    </a:xfrm>
                    <a:prstGeom prst="rect">
                      <a:avLst/>
                    </a:prstGeom>
                  </pic:spPr>
                </pic:pic>
              </a:graphicData>
            </a:graphic>
          </wp:anchor>
        </w:drawing>
      </w:r>
    </w:p>
    <w:p w14:paraId="3781591C">
      <w:pPr>
        <w:pStyle w:val="5"/>
        <w:kinsoku w:val="0"/>
        <w:overflowPunct w:val="0"/>
        <w:spacing w:line="500" w:lineRule="exact"/>
      </w:pPr>
    </w:p>
    <w:p w14:paraId="6ED52997">
      <w:pPr>
        <w:pStyle w:val="5"/>
        <w:kinsoku w:val="0"/>
        <w:overflowPunct w:val="0"/>
        <w:spacing w:line="500" w:lineRule="exact"/>
      </w:pPr>
    </w:p>
    <w:p w14:paraId="3CFBBA06">
      <w:pPr>
        <w:pStyle w:val="5"/>
        <w:kinsoku w:val="0"/>
        <w:overflowPunct w:val="0"/>
        <w:spacing w:line="500" w:lineRule="exact"/>
      </w:pPr>
    </w:p>
    <w:p w14:paraId="78C89AE5">
      <w:pPr>
        <w:pStyle w:val="5"/>
        <w:kinsoku w:val="0"/>
        <w:overflowPunct w:val="0"/>
        <w:spacing w:line="500" w:lineRule="exact"/>
      </w:pPr>
    </w:p>
    <w:p w14:paraId="54FE5D07">
      <w:pPr>
        <w:pStyle w:val="5"/>
        <w:kinsoku w:val="0"/>
        <w:overflowPunct w:val="0"/>
        <w:spacing w:line="500" w:lineRule="exact"/>
      </w:pPr>
    </w:p>
    <w:p w14:paraId="2B4701E4">
      <w:pPr>
        <w:pStyle w:val="5"/>
        <w:kinsoku w:val="0"/>
        <w:overflowPunct w:val="0"/>
        <w:spacing w:line="500" w:lineRule="exact"/>
        <w:jc w:val="center"/>
      </w:pPr>
    </w:p>
    <w:p w14:paraId="4DBC6171">
      <w:pPr>
        <w:pStyle w:val="5"/>
        <w:kinsoku w:val="0"/>
        <w:overflowPunct w:val="0"/>
        <w:spacing w:line="500" w:lineRule="exact"/>
        <w:jc w:val="center"/>
      </w:pPr>
    </w:p>
    <w:p w14:paraId="158FB8AE">
      <w:pPr>
        <w:pStyle w:val="5"/>
        <w:kinsoku w:val="0"/>
        <w:overflowPunct w:val="0"/>
        <w:spacing w:line="500" w:lineRule="exact"/>
        <w:jc w:val="center"/>
      </w:pPr>
      <w:r>
        <w:rPr>
          <w:rFonts w:hint="eastAsia"/>
          <w:sz w:val="21"/>
          <w:szCs w:val="21"/>
        </w:rPr>
        <w:t>图</w:t>
      </w:r>
      <w:r>
        <w:rPr>
          <w:sz w:val="21"/>
          <w:szCs w:val="21"/>
        </w:rPr>
        <w:t>6 控制工作台单元</w:t>
      </w:r>
      <w:r>
        <w:rPr>
          <w:rFonts w:hint="eastAsia"/>
          <w:sz w:val="21"/>
          <w:szCs w:val="21"/>
        </w:rPr>
        <w:t>示例</w:t>
      </w:r>
    </w:p>
    <w:p w14:paraId="236A62A1">
      <w:pPr>
        <w:pStyle w:val="5"/>
        <w:kinsoku w:val="0"/>
        <w:overflowPunct w:val="0"/>
        <w:spacing w:line="500" w:lineRule="exact"/>
      </w:pPr>
      <w:r>
        <w:t>6.SCADA系统</w:t>
      </w:r>
    </w:p>
    <w:p w14:paraId="0A451821">
      <w:pPr>
        <w:pStyle w:val="5"/>
        <w:kinsoku w:val="0"/>
        <w:overflowPunct w:val="0"/>
        <w:spacing w:line="500" w:lineRule="exact"/>
        <w:jc w:val="both"/>
      </w:pPr>
      <w:r>
        <w:t>SCADA系统由工业网关、SCADA云平台等组成，支持</w:t>
      </w:r>
      <w:r>
        <w:rPr>
          <w:rFonts w:hint="eastAsia"/>
        </w:rPr>
        <w:t>M</w:t>
      </w:r>
      <w:r>
        <w:t>odbus(RTU/ASCI)、ModbusTcp</w:t>
      </w:r>
      <w:r>
        <w:rPr>
          <w:rFonts w:hint="eastAsia"/>
        </w:rPr>
        <w:t>、</w:t>
      </w:r>
      <w:r>
        <w:t xml:space="preserve"> TCP/IP、OPC等通讯。系统基于采用B/S架构，支持云端和本地化部署，支</w:t>
      </w:r>
      <w:r>
        <w:rPr>
          <w:rFonts w:hint="eastAsia"/>
        </w:rPr>
        <w:t>持主流浏览器，可轻量化部署，且采用</w:t>
      </w:r>
      <w:r>
        <w:t>WEB组态技术，具备低代码开发功能，可创建新工</w:t>
      </w:r>
      <w:r>
        <w:rPr>
          <w:rFonts w:hint="eastAsia"/>
        </w:rPr>
        <w:t>程并在新工程中增加多个子顶面，实现类似</w:t>
      </w:r>
      <w:r>
        <w:t>HMI触摸屏的组态功能。平台支持同时采集多</w:t>
      </w:r>
      <w:r>
        <w:rPr>
          <w:rFonts w:hint="eastAsia"/>
        </w:rPr>
        <w:t>个网关数据，通过对内置组件</w:t>
      </w:r>
      <w:r>
        <w:t>(包含按钮、表格、指示灯、常用图形库、指针仪表、曲线</w:t>
      </w:r>
      <w:r>
        <w:rPr>
          <w:rFonts w:hint="eastAsia"/>
        </w:rPr>
        <w:t>图等</w:t>
      </w:r>
      <w:r>
        <w:t>)进行简单布局，便可在WEB端完成可视化数据看板</w:t>
      </w:r>
      <w:r>
        <w:rPr>
          <w:rFonts w:hint="eastAsia"/>
        </w:rPr>
        <w:t>。组态界面如图7所示。</w:t>
      </w:r>
    </w:p>
    <w:p w14:paraId="515B3EE3">
      <w:pPr>
        <w:pStyle w:val="5"/>
        <w:kinsoku w:val="0"/>
        <w:overflowPunct w:val="0"/>
        <w:spacing w:line="500" w:lineRule="exact"/>
        <w:jc w:val="both"/>
      </w:pPr>
    </w:p>
    <w:p w14:paraId="1DE7DDE2">
      <w:pPr>
        <w:pStyle w:val="5"/>
        <w:kinsoku w:val="0"/>
        <w:overflowPunct w:val="0"/>
        <w:spacing w:line="500" w:lineRule="exact"/>
        <w:jc w:val="both"/>
      </w:pPr>
    </w:p>
    <w:p w14:paraId="733335A1">
      <w:pPr>
        <w:pStyle w:val="5"/>
        <w:kinsoku w:val="0"/>
        <w:overflowPunct w:val="0"/>
        <w:spacing w:line="500" w:lineRule="exact"/>
        <w:jc w:val="both"/>
      </w:pPr>
    </w:p>
    <w:p w14:paraId="461B7C16">
      <w:pPr>
        <w:pStyle w:val="5"/>
        <w:kinsoku w:val="0"/>
        <w:overflowPunct w:val="0"/>
        <w:spacing w:line="500" w:lineRule="exact"/>
        <w:jc w:val="both"/>
      </w:pPr>
    </w:p>
    <w:p w14:paraId="7748E870">
      <w:pPr>
        <w:pStyle w:val="5"/>
        <w:kinsoku w:val="0"/>
        <w:overflowPunct w:val="0"/>
        <w:spacing w:line="500" w:lineRule="exact"/>
        <w:jc w:val="center"/>
      </w:pPr>
      <w:r>
        <w:drawing>
          <wp:anchor distT="0" distB="0" distL="114300" distR="114300" simplePos="0" relativeHeight="251664384" behindDoc="0" locked="0" layoutInCell="1" allowOverlap="1">
            <wp:simplePos x="0" y="0"/>
            <wp:positionH relativeFrom="column">
              <wp:posOffset>20320</wp:posOffset>
            </wp:positionH>
            <wp:positionV relativeFrom="paragraph">
              <wp:posOffset>0</wp:posOffset>
            </wp:positionV>
            <wp:extent cx="5761990" cy="3018790"/>
            <wp:effectExtent l="0" t="0" r="0" b="0"/>
            <wp:wrapSquare wrapText="bothSides"/>
            <wp:docPr id="8423169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316995" name="图片 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1990" cy="3018790"/>
                    </a:xfrm>
                    <a:prstGeom prst="rect">
                      <a:avLst/>
                    </a:prstGeom>
                  </pic:spPr>
                </pic:pic>
              </a:graphicData>
            </a:graphic>
          </wp:anchor>
        </w:drawing>
      </w:r>
      <w:r>
        <w:rPr>
          <w:rFonts w:hint="eastAsia"/>
          <w:sz w:val="21"/>
          <w:szCs w:val="21"/>
        </w:rPr>
        <w:t>图</w:t>
      </w:r>
      <w:r>
        <w:rPr>
          <w:sz w:val="21"/>
          <w:szCs w:val="21"/>
        </w:rPr>
        <w:t>7 SCADA系统WEB组态界面示例</w:t>
      </w:r>
    </w:p>
    <w:p w14:paraId="60E7AA51">
      <w:pPr>
        <w:pStyle w:val="5"/>
        <w:kinsoku w:val="0"/>
        <w:overflowPunct w:val="0"/>
        <w:spacing w:line="500" w:lineRule="exact"/>
      </w:pPr>
      <w:r>
        <w:t>7.WMS系统</w:t>
      </w:r>
    </w:p>
    <w:p w14:paraId="5F6C4AAB">
      <w:pPr>
        <w:pStyle w:val="5"/>
        <w:kinsoku w:val="0"/>
        <w:overflowPunct w:val="0"/>
        <w:spacing w:line="500" w:lineRule="exact"/>
      </w:pPr>
      <w:r>
        <w:rPr>
          <w:rFonts w:hint="eastAsia"/>
        </w:rPr>
        <w:t>系统单元由</w:t>
      </w:r>
      <w:r>
        <w:t>WMS软件、数据看板等组成，配合智能仓储硬件设备，完成获取的出</w:t>
      </w:r>
      <w:r>
        <w:rPr>
          <w:rFonts w:hint="eastAsia"/>
        </w:rPr>
        <w:t>入库、盘点、调拨和相关参数的设置等工作。</w:t>
      </w:r>
    </w:p>
    <w:p w14:paraId="687B29E9">
      <w:pPr>
        <w:pStyle w:val="5"/>
        <w:kinsoku w:val="0"/>
        <w:overflowPunct w:val="0"/>
        <w:spacing w:line="500" w:lineRule="exact"/>
        <w:jc w:val="both"/>
      </w:pPr>
      <w:r>
        <w:rPr>
          <w:rFonts w:hint="eastAsia"/>
        </w:rPr>
        <w:t>系统采用</w:t>
      </w:r>
      <w:r>
        <w:t>B/S 架构，支持轻量化部署，可支持云端或本地化两种部署方式。平台可</w:t>
      </w:r>
      <w:r>
        <w:rPr>
          <w:rFonts w:hint="eastAsia"/>
        </w:rPr>
        <w:t>通过后台服务直接采集智能仓储单元的</w:t>
      </w:r>
      <w:r>
        <w:t>PLC数据，可实现智能仓储的数据采集和数据的</w:t>
      </w:r>
      <w:r>
        <w:rPr>
          <w:rFonts w:hint="eastAsia"/>
        </w:rPr>
        <w:t>可视化。对生产订单进行统计分析，以可视化图形图标进行显示，可设置库存数量的上下限，当超过设定值后会产生预警提示。同时可根据</w:t>
      </w:r>
      <w:r>
        <w:t>RFID实现智能仓储的自动盘点功</w:t>
      </w:r>
      <w:r>
        <w:rPr>
          <w:rFonts w:hint="eastAsia"/>
        </w:rPr>
        <w:t>能，并可监控和控制</w:t>
      </w:r>
      <w:r>
        <w:t>RFID 信息的读取和写入。</w:t>
      </w:r>
      <w:r>
        <w:rPr>
          <w:rFonts w:hint="eastAsia"/>
        </w:rPr>
        <w:t>W</w:t>
      </w:r>
      <w:r>
        <w:t>MS</w:t>
      </w:r>
      <w:r>
        <w:rPr>
          <w:rFonts w:hint="eastAsia"/>
        </w:rPr>
        <w:t>系统界面如图</w:t>
      </w:r>
      <w:r>
        <w:t>8</w:t>
      </w:r>
      <w:r>
        <w:rPr>
          <w:rFonts w:hint="eastAsia"/>
        </w:rPr>
        <w:t>所示。</w:t>
      </w:r>
    </w:p>
    <w:p w14:paraId="20711A89">
      <w:pPr>
        <w:pStyle w:val="5"/>
        <w:kinsoku w:val="0"/>
        <w:overflowPunct w:val="0"/>
        <w:spacing w:line="500" w:lineRule="exact"/>
      </w:pPr>
      <w:r>
        <w:drawing>
          <wp:anchor distT="0" distB="0" distL="114300" distR="114300" simplePos="0" relativeHeight="251665408" behindDoc="0" locked="0" layoutInCell="1" allowOverlap="1">
            <wp:simplePos x="0" y="0"/>
            <wp:positionH relativeFrom="column">
              <wp:posOffset>680720</wp:posOffset>
            </wp:positionH>
            <wp:positionV relativeFrom="paragraph">
              <wp:posOffset>76835</wp:posOffset>
            </wp:positionV>
            <wp:extent cx="4368800" cy="2152650"/>
            <wp:effectExtent l="0" t="0" r="0" b="0"/>
            <wp:wrapSquare wrapText="bothSides"/>
            <wp:docPr id="4459506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950699" name="图片 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68800" cy="2152650"/>
                    </a:xfrm>
                    <a:prstGeom prst="rect">
                      <a:avLst/>
                    </a:prstGeom>
                  </pic:spPr>
                </pic:pic>
              </a:graphicData>
            </a:graphic>
          </wp:anchor>
        </w:drawing>
      </w:r>
    </w:p>
    <w:p w14:paraId="1F36643A">
      <w:pPr>
        <w:pStyle w:val="5"/>
        <w:kinsoku w:val="0"/>
        <w:overflowPunct w:val="0"/>
        <w:spacing w:line="500" w:lineRule="exact"/>
        <w:jc w:val="center"/>
        <w:rPr>
          <w:sz w:val="21"/>
          <w:szCs w:val="21"/>
        </w:rPr>
      </w:pPr>
    </w:p>
    <w:p w14:paraId="678C1EE5">
      <w:pPr>
        <w:pStyle w:val="5"/>
        <w:kinsoku w:val="0"/>
        <w:overflowPunct w:val="0"/>
        <w:spacing w:line="500" w:lineRule="exact"/>
        <w:jc w:val="center"/>
        <w:rPr>
          <w:sz w:val="21"/>
          <w:szCs w:val="21"/>
        </w:rPr>
      </w:pPr>
    </w:p>
    <w:p w14:paraId="20EC6157">
      <w:pPr>
        <w:pStyle w:val="5"/>
        <w:kinsoku w:val="0"/>
        <w:overflowPunct w:val="0"/>
        <w:spacing w:line="500" w:lineRule="exact"/>
        <w:jc w:val="center"/>
        <w:rPr>
          <w:sz w:val="21"/>
          <w:szCs w:val="21"/>
        </w:rPr>
      </w:pPr>
    </w:p>
    <w:p w14:paraId="06F6AC64">
      <w:pPr>
        <w:pStyle w:val="5"/>
        <w:kinsoku w:val="0"/>
        <w:overflowPunct w:val="0"/>
        <w:spacing w:line="500" w:lineRule="exact"/>
        <w:jc w:val="center"/>
        <w:rPr>
          <w:sz w:val="21"/>
          <w:szCs w:val="21"/>
        </w:rPr>
      </w:pPr>
    </w:p>
    <w:p w14:paraId="7B1F1583">
      <w:pPr>
        <w:pStyle w:val="5"/>
        <w:kinsoku w:val="0"/>
        <w:overflowPunct w:val="0"/>
        <w:spacing w:line="500" w:lineRule="exact"/>
        <w:jc w:val="center"/>
        <w:rPr>
          <w:sz w:val="21"/>
          <w:szCs w:val="21"/>
        </w:rPr>
      </w:pPr>
    </w:p>
    <w:p w14:paraId="135BFF88">
      <w:pPr>
        <w:pStyle w:val="5"/>
        <w:kinsoku w:val="0"/>
        <w:overflowPunct w:val="0"/>
        <w:spacing w:line="500" w:lineRule="exact"/>
        <w:jc w:val="center"/>
        <w:rPr>
          <w:sz w:val="21"/>
          <w:szCs w:val="21"/>
        </w:rPr>
      </w:pPr>
    </w:p>
    <w:p w14:paraId="2526AF0C">
      <w:pPr>
        <w:pStyle w:val="5"/>
        <w:kinsoku w:val="0"/>
        <w:overflowPunct w:val="0"/>
        <w:spacing w:line="500" w:lineRule="exact"/>
        <w:jc w:val="center"/>
        <w:rPr>
          <w:sz w:val="21"/>
          <w:szCs w:val="21"/>
        </w:rPr>
      </w:pPr>
      <w:r>
        <w:rPr>
          <w:rFonts w:hint="eastAsia"/>
          <w:sz w:val="21"/>
          <w:szCs w:val="21"/>
        </w:rPr>
        <w:t>图</w:t>
      </w:r>
      <w:r>
        <w:rPr>
          <w:sz w:val="21"/>
          <w:szCs w:val="21"/>
        </w:rPr>
        <w:t>8 WMS系统界面示例</w:t>
      </w:r>
    </w:p>
    <w:p w14:paraId="394288BD">
      <w:pPr>
        <w:pStyle w:val="5"/>
        <w:tabs>
          <w:tab w:val="left" w:pos="2230"/>
        </w:tabs>
        <w:kinsoku w:val="0"/>
        <w:overflowPunct w:val="0"/>
        <w:spacing w:line="500" w:lineRule="exact"/>
      </w:pPr>
      <w:r>
        <w:t>8</w:t>
      </w:r>
      <w:r>
        <w:rPr>
          <w:rFonts w:hint="eastAsia"/>
        </w:rPr>
        <w:t>.</w:t>
      </w:r>
      <w:r>
        <w:t xml:space="preserve"> MES生产管理系统</w:t>
      </w:r>
    </w:p>
    <w:p w14:paraId="2DB71933">
      <w:pPr>
        <w:pStyle w:val="5"/>
        <w:tabs>
          <w:tab w:val="left" w:pos="2230"/>
        </w:tabs>
        <w:kinsoku w:val="0"/>
        <w:overflowPunct w:val="0"/>
        <w:spacing w:line="500" w:lineRule="exact"/>
        <w:jc w:val="both"/>
      </w:pPr>
      <w:r>
        <w:rPr>
          <w:rFonts w:hint="eastAsia"/>
        </w:rPr>
        <w:t>系统单元由</w:t>
      </w:r>
      <w:r>
        <w:t>MES生产管理软件、数据看板等组成，单元作为整个系统的数字化信</w:t>
      </w:r>
      <w:r>
        <w:rPr>
          <w:rFonts w:hint="eastAsia"/>
        </w:rPr>
        <w:t>息化管理中心，以智能制造</w:t>
      </w:r>
      <w:r>
        <w:t>MES生产管理软件为核心，通过以太网进行协同工作和高</w:t>
      </w:r>
      <w:r>
        <w:rPr>
          <w:rFonts w:hint="eastAsia"/>
        </w:rPr>
        <w:t>效数据交换，实现全系统的互联互通，并可通过监控与信息显示终端实现系统监控和信息状况显示。</w:t>
      </w:r>
    </w:p>
    <w:p w14:paraId="3DCC193F">
      <w:pPr>
        <w:pStyle w:val="5"/>
        <w:tabs>
          <w:tab w:val="left" w:pos="2230"/>
        </w:tabs>
        <w:kinsoku w:val="0"/>
        <w:overflowPunct w:val="0"/>
        <w:spacing w:line="500" w:lineRule="exact"/>
        <w:jc w:val="both"/>
      </w:pPr>
      <w:r>
        <w:drawing>
          <wp:anchor distT="0" distB="0" distL="114300" distR="114300" simplePos="0" relativeHeight="251666432" behindDoc="0" locked="0" layoutInCell="1" allowOverlap="1">
            <wp:simplePos x="0" y="0"/>
            <wp:positionH relativeFrom="column">
              <wp:posOffset>191770</wp:posOffset>
            </wp:positionH>
            <wp:positionV relativeFrom="paragraph">
              <wp:posOffset>1651000</wp:posOffset>
            </wp:positionV>
            <wp:extent cx="5761990" cy="2823210"/>
            <wp:effectExtent l="0" t="0" r="0" b="0"/>
            <wp:wrapSquare wrapText="bothSides"/>
            <wp:docPr id="3585122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12244" name="图片 1"/>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761990" cy="2823210"/>
                    </a:xfrm>
                    <a:prstGeom prst="rect">
                      <a:avLst/>
                    </a:prstGeom>
                  </pic:spPr>
                </pic:pic>
              </a:graphicData>
            </a:graphic>
          </wp:anchor>
        </w:drawing>
      </w:r>
      <w:r>
        <w:t>MES生产管理软件界面美观整洁、规范、可操作性强。在整个生产环节中对生产线</w:t>
      </w:r>
      <w:r>
        <w:rPr>
          <w:rFonts w:hint="eastAsia"/>
        </w:rPr>
        <w:t>各设备进行订单管理和生产监控，配合</w:t>
      </w:r>
      <w:r>
        <w:t>PLC控制着整个生产流程安全有序进行。MES软</w:t>
      </w:r>
      <w:r>
        <w:rPr>
          <w:rFonts w:hint="eastAsia"/>
        </w:rPr>
        <w:t>件可划分为工艺设计、订单管理、设备看板、系统控制、数据看板、系统管理等模块。M</w:t>
      </w:r>
      <w:r>
        <w:t>ES</w:t>
      </w:r>
      <w:r>
        <w:rPr>
          <w:rFonts w:hint="eastAsia"/>
        </w:rPr>
        <w:t>系统界面示例如图9。</w:t>
      </w:r>
    </w:p>
    <w:p w14:paraId="1893DB0B">
      <w:pPr>
        <w:pStyle w:val="5"/>
        <w:tabs>
          <w:tab w:val="left" w:pos="2230"/>
        </w:tabs>
        <w:kinsoku w:val="0"/>
        <w:overflowPunct w:val="0"/>
        <w:spacing w:line="500" w:lineRule="exact"/>
        <w:jc w:val="center"/>
      </w:pPr>
      <w:r>
        <w:rPr>
          <w:rFonts w:hint="eastAsia"/>
          <w:sz w:val="21"/>
          <w:szCs w:val="21"/>
        </w:rPr>
        <w:t>图</w:t>
      </w:r>
      <w:r>
        <w:rPr>
          <w:sz w:val="21"/>
          <w:szCs w:val="21"/>
        </w:rPr>
        <w:t>9 MES系统界面示例</w:t>
      </w:r>
    </w:p>
    <w:p w14:paraId="68A3952D">
      <w:pPr>
        <w:pStyle w:val="5"/>
        <w:tabs>
          <w:tab w:val="left" w:pos="2230"/>
        </w:tabs>
        <w:kinsoku w:val="0"/>
        <w:overflowPunct w:val="0"/>
        <w:spacing w:line="500" w:lineRule="exact"/>
      </w:pPr>
      <w:r>
        <w:t>9</w:t>
      </w:r>
      <w:r>
        <w:rPr>
          <w:rFonts w:hint="eastAsia"/>
        </w:rPr>
        <w:t>.</w:t>
      </w:r>
      <w:r>
        <w:t>数字孪生系统</w:t>
      </w:r>
    </w:p>
    <w:p w14:paraId="6B8D6D67">
      <w:pPr>
        <w:pStyle w:val="5"/>
        <w:tabs>
          <w:tab w:val="left" w:pos="2230"/>
        </w:tabs>
        <w:kinsoku w:val="0"/>
        <w:overflowPunct w:val="0"/>
        <w:spacing w:line="500" w:lineRule="exact"/>
        <w:jc w:val="both"/>
      </w:pPr>
      <w:r>
        <w:rPr>
          <w:rFonts w:hint="eastAsia"/>
        </w:rPr>
        <w:t>系统单元由机电一体化数字栾生软件、计算机和显示器等组成，实现虚拟模型搭建、虚拟调试仿真、虚实结合等功能。支持</w:t>
      </w:r>
      <w:r>
        <w:t>OPC、TCP/IP、 PROFINET等多种常用工业通信</w:t>
      </w:r>
      <w:r>
        <w:rPr>
          <w:rFonts w:hint="eastAsia"/>
        </w:rPr>
        <w:t>协议，可将传感器数据与外部控制数据实现实时通信。支持与</w:t>
      </w:r>
      <w:r>
        <w:t>PLC、单片机、机器人控制器</w:t>
      </w:r>
      <w:r>
        <w:rPr>
          <w:rFonts w:hint="eastAsia"/>
        </w:rPr>
        <w:t>等多种真实控制设备的通信与联调。</w:t>
      </w:r>
    </w:p>
    <w:p w14:paraId="042F248B">
      <w:pPr>
        <w:pStyle w:val="5"/>
        <w:tabs>
          <w:tab w:val="left" w:pos="2230"/>
        </w:tabs>
        <w:kinsoku w:val="0"/>
        <w:overflowPunct w:val="0"/>
        <w:spacing w:line="500" w:lineRule="exact"/>
      </w:pPr>
      <w:r>
        <w:rPr>
          <w:rFonts w:hint="eastAsia"/>
        </w:rPr>
        <w:t>数字孪生软件适用于机电一体化产品的概念设计。借助该软件，可对包含多物理场以及通常存在于机电一体化产品中的自动化相关行为的概念进行</w:t>
      </w:r>
      <w:r>
        <w:t>3D建模、仿真、虚拟调试</w:t>
      </w:r>
      <w:r>
        <w:rPr>
          <w:rFonts w:hint="eastAsia"/>
        </w:rPr>
        <w:t>等。支持功能设计方法，可集成上游和下游工程领域，包括需求管理、机械设计、电气设计以及软件自动化工程。可加快涉及机械、电气和软件设计学科的产品的开发速度，使这些学科能够同时工作。可实现创新性的设计技术，帮助机械设计人员满足日益提高的要求，不断提高机械的生产效率、缩短设计周期和降低成本。</w:t>
      </w:r>
    </w:p>
    <w:p w14:paraId="4EB0B4BE">
      <w:pPr>
        <w:pStyle w:val="5"/>
        <w:tabs>
          <w:tab w:val="left" w:pos="2230"/>
        </w:tabs>
        <w:kinsoku w:val="0"/>
        <w:overflowPunct w:val="0"/>
        <w:spacing w:line="500" w:lineRule="exact"/>
      </w:pPr>
      <w:r>
        <w:rPr>
          <w:rFonts w:hint="eastAsia"/>
        </w:rPr>
        <w:t>系统配置清单如表1。</w:t>
      </w:r>
    </w:p>
    <w:p w14:paraId="5800C487">
      <w:pPr>
        <w:pStyle w:val="5"/>
        <w:tabs>
          <w:tab w:val="left" w:pos="2230"/>
        </w:tabs>
        <w:kinsoku w:val="0"/>
        <w:overflowPunct w:val="0"/>
        <w:spacing w:line="500" w:lineRule="exact"/>
        <w:jc w:val="center"/>
      </w:pPr>
      <w:r>
        <w:drawing>
          <wp:anchor distT="0" distB="0" distL="114300" distR="114300" simplePos="0" relativeHeight="251667456" behindDoc="0" locked="0" layoutInCell="1" allowOverlap="1">
            <wp:simplePos x="0" y="0"/>
            <wp:positionH relativeFrom="column">
              <wp:posOffset>83820</wp:posOffset>
            </wp:positionH>
            <wp:positionV relativeFrom="paragraph">
              <wp:posOffset>432435</wp:posOffset>
            </wp:positionV>
            <wp:extent cx="5759450" cy="3495675"/>
            <wp:effectExtent l="0" t="0" r="0" b="9525"/>
            <wp:wrapSquare wrapText="bothSides"/>
            <wp:docPr id="6115221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522124" name="图片 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759450" cy="3495675"/>
                    </a:xfrm>
                    <a:prstGeom prst="rect">
                      <a:avLst/>
                    </a:prstGeom>
                  </pic:spPr>
                </pic:pic>
              </a:graphicData>
            </a:graphic>
          </wp:anchor>
        </w:drawing>
      </w:r>
      <w:r>
        <w:drawing>
          <wp:anchor distT="0" distB="0" distL="114300" distR="114300" simplePos="0" relativeHeight="251668480" behindDoc="0" locked="0" layoutInCell="1" allowOverlap="1">
            <wp:simplePos x="0" y="0"/>
            <wp:positionH relativeFrom="column">
              <wp:posOffset>83820</wp:posOffset>
            </wp:positionH>
            <wp:positionV relativeFrom="paragraph">
              <wp:posOffset>3930015</wp:posOffset>
            </wp:positionV>
            <wp:extent cx="5759450" cy="2061845"/>
            <wp:effectExtent l="0" t="0" r="0" b="0"/>
            <wp:wrapSquare wrapText="bothSides"/>
            <wp:docPr id="2893076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07645" name="图片 1"/>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759450" cy="2061845"/>
                    </a:xfrm>
                    <a:prstGeom prst="rect">
                      <a:avLst/>
                    </a:prstGeom>
                  </pic:spPr>
                </pic:pic>
              </a:graphicData>
            </a:graphic>
          </wp:anchor>
        </w:drawing>
      </w:r>
      <w:r>
        <w:rPr>
          <w:rFonts w:hint="eastAsia"/>
        </w:rPr>
        <w:t>表</w:t>
      </w:r>
      <w:r>
        <w:t>1系统配置清单</w:t>
      </w:r>
    </w:p>
    <w:p w14:paraId="489AA82E">
      <w:pPr>
        <w:pStyle w:val="5"/>
        <w:tabs>
          <w:tab w:val="left" w:pos="2230"/>
        </w:tabs>
        <w:kinsoku w:val="0"/>
        <w:overflowPunct w:val="0"/>
        <w:spacing w:line="500" w:lineRule="exact"/>
      </w:pPr>
      <w:r>
        <w:drawing>
          <wp:anchor distT="0" distB="0" distL="114300" distR="114300" simplePos="0" relativeHeight="251670528" behindDoc="0" locked="0" layoutInCell="1" allowOverlap="1">
            <wp:simplePos x="0" y="0"/>
            <wp:positionH relativeFrom="column">
              <wp:posOffset>-17780</wp:posOffset>
            </wp:positionH>
            <wp:positionV relativeFrom="paragraph">
              <wp:posOffset>3296920</wp:posOffset>
            </wp:positionV>
            <wp:extent cx="5759450" cy="1775460"/>
            <wp:effectExtent l="0" t="0" r="0" b="0"/>
            <wp:wrapSquare wrapText="bothSides"/>
            <wp:docPr id="5778593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859359" name="图片 1"/>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5759450" cy="1775460"/>
                    </a:xfrm>
                    <a:prstGeom prst="rect">
                      <a:avLst/>
                    </a:prstGeom>
                  </pic:spPr>
                </pic:pic>
              </a:graphicData>
            </a:graphic>
          </wp:anchor>
        </w:drawing>
      </w:r>
      <w:r>
        <w:drawing>
          <wp:anchor distT="0" distB="0" distL="114300" distR="114300" simplePos="0" relativeHeight="251669504" behindDoc="0" locked="0" layoutInCell="1" allowOverlap="1">
            <wp:simplePos x="0" y="0"/>
            <wp:positionH relativeFrom="column">
              <wp:posOffset>-17780</wp:posOffset>
            </wp:positionH>
            <wp:positionV relativeFrom="paragraph">
              <wp:posOffset>101600</wp:posOffset>
            </wp:positionV>
            <wp:extent cx="5759450" cy="3227705"/>
            <wp:effectExtent l="0" t="0" r="0" b="0"/>
            <wp:wrapSquare wrapText="bothSides"/>
            <wp:docPr id="1767708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70825" name="图片 1"/>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5759450" cy="3227705"/>
                    </a:xfrm>
                    <a:prstGeom prst="rect">
                      <a:avLst/>
                    </a:prstGeom>
                  </pic:spPr>
                </pic:pic>
              </a:graphicData>
            </a:graphic>
          </wp:anchor>
        </w:drawing>
      </w:r>
    </w:p>
    <w:p w14:paraId="6BEF8BD4">
      <w:pPr>
        <w:pStyle w:val="5"/>
        <w:kinsoku w:val="0"/>
        <w:overflowPunct w:val="0"/>
        <w:spacing w:before="0" w:line="500" w:lineRule="exact"/>
        <w:ind w:left="0" w:firstLine="0"/>
        <w:jc w:val="both"/>
        <w:rPr>
          <w:b/>
          <w:bCs/>
        </w:rPr>
      </w:pPr>
      <w:r>
        <w:rPr>
          <w:rFonts w:hint="eastAsia"/>
          <w:b/>
          <w:bCs/>
        </w:rPr>
        <w:t>十一、成绩评定</w:t>
      </w:r>
    </w:p>
    <w:p w14:paraId="5FD424F9">
      <w:pPr>
        <w:pStyle w:val="5"/>
        <w:kinsoku w:val="0"/>
        <w:overflowPunct w:val="0"/>
        <w:spacing w:before="0" w:line="500" w:lineRule="exact"/>
        <w:ind w:left="0" w:firstLine="560" w:firstLineChars="200"/>
        <w:jc w:val="both"/>
      </w:pPr>
      <w:r>
        <w:rPr>
          <w:rFonts w:hint="eastAsia"/>
        </w:rPr>
        <w:t>（一）裁判组成</w:t>
      </w:r>
    </w:p>
    <w:tbl>
      <w:tblPr>
        <w:tblStyle w:val="8"/>
        <w:tblW w:w="0" w:type="auto"/>
        <w:tblInd w:w="120" w:type="dxa"/>
        <w:tblLayout w:type="fixed"/>
        <w:tblCellMar>
          <w:top w:w="0" w:type="dxa"/>
          <w:left w:w="0" w:type="dxa"/>
          <w:bottom w:w="0" w:type="dxa"/>
          <w:right w:w="0" w:type="dxa"/>
        </w:tblCellMar>
      </w:tblPr>
      <w:tblGrid>
        <w:gridCol w:w="802"/>
        <w:gridCol w:w="1725"/>
        <w:gridCol w:w="1881"/>
        <w:gridCol w:w="2410"/>
        <w:gridCol w:w="1701"/>
      </w:tblGrid>
      <w:tr w14:paraId="325DF3CC">
        <w:tblPrEx>
          <w:tblCellMar>
            <w:top w:w="0" w:type="dxa"/>
            <w:left w:w="0" w:type="dxa"/>
            <w:bottom w:w="0" w:type="dxa"/>
            <w:right w:w="0" w:type="dxa"/>
          </w:tblCellMar>
        </w:tblPrEx>
        <w:trPr>
          <w:trHeight w:val="638" w:hRule="exact"/>
        </w:trPr>
        <w:tc>
          <w:tcPr>
            <w:tcW w:w="802" w:type="dxa"/>
            <w:tcBorders>
              <w:top w:val="single" w:color="000000" w:sz="6" w:space="0"/>
              <w:left w:val="single" w:color="000000" w:sz="6" w:space="0"/>
              <w:bottom w:val="single" w:color="000000" w:sz="4" w:space="0"/>
              <w:right w:val="single" w:color="000000" w:sz="4" w:space="0"/>
            </w:tcBorders>
          </w:tcPr>
          <w:p w14:paraId="689B4018">
            <w:pPr>
              <w:pStyle w:val="19"/>
              <w:kinsoku w:val="0"/>
              <w:overflowPunct w:val="0"/>
              <w:spacing w:before="42"/>
              <w:ind w:left="151"/>
              <w:rPr>
                <w:kern w:val="2"/>
              </w:rPr>
            </w:pPr>
            <w:r>
              <w:rPr>
                <w:rFonts w:hint="eastAsia" w:ascii="Microsoft JhengHei" w:eastAsia="Microsoft JhengHei" w:cs="Microsoft JhengHei"/>
                <w:b/>
                <w:bCs/>
                <w:kern w:val="2"/>
              </w:rPr>
              <w:t>序号</w:t>
            </w:r>
          </w:p>
        </w:tc>
        <w:tc>
          <w:tcPr>
            <w:tcW w:w="1725" w:type="dxa"/>
            <w:tcBorders>
              <w:top w:val="single" w:color="000000" w:sz="6" w:space="0"/>
              <w:left w:val="single" w:color="000000" w:sz="4" w:space="0"/>
              <w:bottom w:val="single" w:color="000000" w:sz="4" w:space="0"/>
              <w:right w:val="single" w:color="000000" w:sz="4" w:space="0"/>
            </w:tcBorders>
          </w:tcPr>
          <w:p w14:paraId="26F6B82E">
            <w:pPr>
              <w:pStyle w:val="19"/>
              <w:kinsoku w:val="0"/>
              <w:overflowPunct w:val="0"/>
              <w:spacing w:before="42"/>
              <w:ind w:left="137"/>
              <w:rPr>
                <w:kern w:val="2"/>
              </w:rPr>
            </w:pPr>
            <w:r>
              <w:rPr>
                <w:rFonts w:hint="eastAsia" w:ascii="Microsoft JhengHei" w:eastAsia="Microsoft JhengHei" w:cs="Microsoft JhengHei"/>
                <w:b/>
                <w:bCs/>
                <w:kern w:val="2"/>
              </w:rPr>
              <w:t>专业技术方向</w:t>
            </w:r>
          </w:p>
        </w:tc>
        <w:tc>
          <w:tcPr>
            <w:tcW w:w="1881" w:type="dxa"/>
            <w:tcBorders>
              <w:top w:val="single" w:color="000000" w:sz="6" w:space="0"/>
              <w:left w:val="single" w:color="000000" w:sz="4" w:space="0"/>
              <w:bottom w:val="single" w:color="000000" w:sz="4" w:space="0"/>
              <w:right w:val="single" w:color="000000" w:sz="4" w:space="0"/>
            </w:tcBorders>
          </w:tcPr>
          <w:p w14:paraId="62047FEB">
            <w:pPr>
              <w:pStyle w:val="19"/>
              <w:kinsoku w:val="0"/>
              <w:overflowPunct w:val="0"/>
              <w:spacing w:before="42"/>
              <w:ind w:left="106"/>
              <w:rPr>
                <w:kern w:val="2"/>
              </w:rPr>
            </w:pPr>
            <w:r>
              <w:rPr>
                <w:rFonts w:hint="eastAsia" w:ascii="Microsoft JhengHei" w:eastAsia="Microsoft JhengHei" w:cs="Microsoft JhengHei"/>
                <w:b/>
                <w:bCs/>
                <w:kern w:val="2"/>
              </w:rPr>
              <w:t>知识能力要求</w:t>
            </w:r>
          </w:p>
        </w:tc>
        <w:tc>
          <w:tcPr>
            <w:tcW w:w="2410" w:type="dxa"/>
            <w:tcBorders>
              <w:top w:val="single" w:color="000000" w:sz="6" w:space="0"/>
              <w:left w:val="single" w:color="000000" w:sz="4" w:space="0"/>
              <w:bottom w:val="single" w:color="000000" w:sz="4" w:space="0"/>
              <w:right w:val="single" w:color="000000" w:sz="4" w:space="0"/>
            </w:tcBorders>
          </w:tcPr>
          <w:p w14:paraId="61AC57F3">
            <w:pPr>
              <w:pStyle w:val="19"/>
              <w:kinsoku w:val="0"/>
              <w:overflowPunct w:val="0"/>
              <w:spacing w:line="251" w:lineRule="exact"/>
              <w:ind w:left="104" w:right="-19"/>
              <w:jc w:val="center"/>
              <w:rPr>
                <w:rFonts w:ascii="Microsoft JhengHei" w:eastAsia="Microsoft JhengHei" w:cs="Microsoft JhengHei"/>
                <w:spacing w:val="-9"/>
                <w:kern w:val="2"/>
              </w:rPr>
            </w:pPr>
            <w:r>
              <w:rPr>
                <w:rFonts w:hint="eastAsia" w:ascii="Microsoft JhengHei" w:eastAsia="Microsoft JhengHei" w:cs="Microsoft JhengHei"/>
                <w:b/>
                <w:bCs/>
                <w:spacing w:val="-9"/>
                <w:kern w:val="2"/>
              </w:rPr>
              <w:t>执裁、教学、</w:t>
            </w:r>
          </w:p>
          <w:p w14:paraId="2BB6EF9A">
            <w:pPr>
              <w:pStyle w:val="19"/>
              <w:kinsoku w:val="0"/>
              <w:overflowPunct w:val="0"/>
              <w:spacing w:line="365" w:lineRule="exact"/>
              <w:ind w:left="3"/>
              <w:jc w:val="center"/>
              <w:rPr>
                <w:kern w:val="2"/>
              </w:rPr>
            </w:pPr>
            <w:r>
              <w:rPr>
                <w:rFonts w:hint="eastAsia" w:ascii="Microsoft JhengHei" w:eastAsia="Microsoft JhengHei" w:cs="Microsoft JhengHei"/>
                <w:b/>
                <w:bCs/>
                <w:kern w:val="2"/>
              </w:rPr>
              <w:t>工作经历</w:t>
            </w:r>
          </w:p>
        </w:tc>
        <w:tc>
          <w:tcPr>
            <w:tcW w:w="1701" w:type="dxa"/>
            <w:tcBorders>
              <w:top w:val="single" w:color="000000" w:sz="6" w:space="0"/>
              <w:left w:val="single" w:color="000000" w:sz="4" w:space="0"/>
              <w:bottom w:val="single" w:color="000000" w:sz="4" w:space="0"/>
              <w:right w:val="single" w:color="000000" w:sz="4" w:space="0"/>
            </w:tcBorders>
          </w:tcPr>
          <w:p w14:paraId="2412B71F">
            <w:pPr>
              <w:pStyle w:val="19"/>
              <w:kinsoku w:val="0"/>
              <w:overflowPunct w:val="0"/>
              <w:spacing w:line="251" w:lineRule="exact"/>
              <w:ind w:left="5"/>
              <w:jc w:val="center"/>
              <w:rPr>
                <w:rFonts w:ascii="Microsoft JhengHei" w:eastAsia="Microsoft JhengHei" w:cs="Microsoft JhengHei"/>
                <w:kern w:val="2"/>
              </w:rPr>
            </w:pPr>
            <w:r>
              <w:rPr>
                <w:rFonts w:hint="eastAsia" w:ascii="Microsoft JhengHei" w:eastAsia="Microsoft JhengHei" w:cs="Microsoft JhengHei"/>
                <w:b/>
                <w:bCs/>
                <w:kern w:val="2"/>
              </w:rPr>
              <w:t>专业技术职称</w:t>
            </w:r>
          </w:p>
          <w:p w14:paraId="7D07E15F">
            <w:pPr>
              <w:pStyle w:val="19"/>
              <w:kinsoku w:val="0"/>
              <w:overflowPunct w:val="0"/>
              <w:spacing w:line="365" w:lineRule="exact"/>
              <w:ind w:left="99"/>
              <w:jc w:val="center"/>
              <w:rPr>
                <w:kern w:val="2"/>
              </w:rPr>
            </w:pPr>
            <w:r>
              <w:rPr>
                <w:rFonts w:hint="eastAsia" w:ascii="Microsoft JhengHei" w:eastAsia="Microsoft JhengHei" w:cs="Microsoft JhengHei"/>
                <w:b/>
                <w:bCs/>
                <w:kern w:val="2"/>
              </w:rPr>
              <w:t>（职业资格等级）</w:t>
            </w:r>
          </w:p>
        </w:tc>
      </w:tr>
      <w:tr w14:paraId="675F4908">
        <w:tblPrEx>
          <w:tblCellMar>
            <w:top w:w="0" w:type="dxa"/>
            <w:left w:w="0" w:type="dxa"/>
            <w:bottom w:w="0" w:type="dxa"/>
            <w:right w:w="0" w:type="dxa"/>
          </w:tblCellMar>
        </w:tblPrEx>
        <w:trPr>
          <w:trHeight w:val="2601" w:hRule="exact"/>
        </w:trPr>
        <w:tc>
          <w:tcPr>
            <w:tcW w:w="802" w:type="dxa"/>
            <w:tcBorders>
              <w:top w:val="single" w:color="000000" w:sz="4" w:space="0"/>
              <w:left w:val="single" w:color="000000" w:sz="6" w:space="0"/>
              <w:bottom w:val="single" w:color="000000" w:sz="4" w:space="0"/>
              <w:right w:val="single" w:color="000000" w:sz="4" w:space="0"/>
            </w:tcBorders>
          </w:tcPr>
          <w:p w14:paraId="595E9D5E">
            <w:pPr>
              <w:pStyle w:val="19"/>
              <w:kinsoku w:val="0"/>
              <w:overflowPunct w:val="0"/>
              <w:rPr>
                <w:rFonts w:ascii="宋体" w:eastAsia="宋体" w:cs="宋体"/>
                <w:kern w:val="2"/>
              </w:rPr>
            </w:pPr>
          </w:p>
          <w:p w14:paraId="1DC80B33">
            <w:pPr>
              <w:pStyle w:val="19"/>
              <w:kinsoku w:val="0"/>
              <w:overflowPunct w:val="0"/>
              <w:rPr>
                <w:rFonts w:ascii="宋体" w:eastAsia="宋体" w:cs="宋体"/>
                <w:kern w:val="2"/>
              </w:rPr>
            </w:pPr>
          </w:p>
          <w:p w14:paraId="1E625428">
            <w:pPr>
              <w:pStyle w:val="19"/>
              <w:kinsoku w:val="0"/>
              <w:overflowPunct w:val="0"/>
              <w:rPr>
                <w:rFonts w:ascii="宋体" w:eastAsia="宋体" w:cs="宋体"/>
                <w:kern w:val="2"/>
              </w:rPr>
            </w:pPr>
          </w:p>
          <w:p w14:paraId="3D4357F3">
            <w:pPr>
              <w:pStyle w:val="19"/>
              <w:kinsoku w:val="0"/>
              <w:overflowPunct w:val="0"/>
              <w:rPr>
                <w:rFonts w:ascii="宋体" w:eastAsia="宋体" w:cs="宋体"/>
                <w:kern w:val="2"/>
              </w:rPr>
            </w:pPr>
          </w:p>
          <w:p w14:paraId="5B91E1D0">
            <w:pPr>
              <w:pStyle w:val="19"/>
              <w:kinsoku w:val="0"/>
              <w:overflowPunct w:val="0"/>
              <w:rPr>
                <w:rFonts w:ascii="宋体" w:eastAsia="宋体" w:cs="宋体"/>
                <w:kern w:val="2"/>
              </w:rPr>
            </w:pPr>
          </w:p>
          <w:p w14:paraId="0690CEEB">
            <w:pPr>
              <w:pStyle w:val="19"/>
              <w:kinsoku w:val="0"/>
              <w:overflowPunct w:val="0"/>
              <w:ind w:left="99"/>
              <w:rPr>
                <w:kern w:val="2"/>
              </w:rPr>
            </w:pPr>
            <w:r>
              <w:rPr>
                <w:rFonts w:ascii="Arial Narrow" w:hAnsi="Arial Narrow" w:cs="Arial Narrow"/>
                <w:kern w:val="2"/>
              </w:rPr>
              <w:t>1</w:t>
            </w:r>
          </w:p>
        </w:tc>
        <w:tc>
          <w:tcPr>
            <w:tcW w:w="1725" w:type="dxa"/>
            <w:tcBorders>
              <w:top w:val="single" w:color="000000" w:sz="4" w:space="0"/>
              <w:left w:val="single" w:color="000000" w:sz="4" w:space="0"/>
              <w:bottom w:val="single" w:color="000000" w:sz="4" w:space="0"/>
              <w:right w:val="single" w:color="000000" w:sz="4" w:space="0"/>
            </w:tcBorders>
          </w:tcPr>
          <w:p w14:paraId="7C5EC57D">
            <w:pPr>
              <w:pStyle w:val="19"/>
              <w:kinsoku w:val="0"/>
              <w:overflowPunct w:val="0"/>
              <w:rPr>
                <w:rFonts w:ascii="宋体" w:eastAsia="宋体" w:cs="宋体"/>
                <w:kern w:val="2"/>
              </w:rPr>
            </w:pPr>
          </w:p>
          <w:p w14:paraId="5ACB4E7C">
            <w:pPr>
              <w:pStyle w:val="19"/>
              <w:kinsoku w:val="0"/>
              <w:overflowPunct w:val="0"/>
              <w:rPr>
                <w:rFonts w:ascii="宋体" w:eastAsia="宋体" w:cs="宋体"/>
                <w:kern w:val="2"/>
              </w:rPr>
            </w:pPr>
          </w:p>
          <w:p w14:paraId="448ED179">
            <w:pPr>
              <w:pStyle w:val="19"/>
              <w:kinsoku w:val="0"/>
              <w:overflowPunct w:val="0"/>
              <w:rPr>
                <w:rFonts w:ascii="宋体" w:eastAsia="宋体" w:cs="宋体"/>
                <w:kern w:val="2"/>
              </w:rPr>
            </w:pPr>
          </w:p>
          <w:p w14:paraId="3606F469">
            <w:pPr>
              <w:pStyle w:val="19"/>
              <w:kinsoku w:val="0"/>
              <w:overflowPunct w:val="0"/>
              <w:spacing w:before="7"/>
              <w:rPr>
                <w:rFonts w:ascii="宋体" w:eastAsia="宋体" w:cs="宋体"/>
                <w:kern w:val="2"/>
                <w:sz w:val="34"/>
                <w:szCs w:val="34"/>
              </w:rPr>
            </w:pPr>
          </w:p>
          <w:p w14:paraId="43DB37BC">
            <w:pPr>
              <w:pStyle w:val="19"/>
              <w:kinsoku w:val="0"/>
              <w:overflowPunct w:val="0"/>
              <w:spacing w:line="310" w:lineRule="exact"/>
              <w:ind w:left="103" w:right="100"/>
              <w:rPr>
                <w:kern w:val="2"/>
              </w:rPr>
            </w:pPr>
            <w:r>
              <w:rPr>
                <w:rFonts w:hint="eastAsia" w:ascii="宋体" w:eastAsia="宋体" w:cs="宋体"/>
                <w:spacing w:val="11"/>
                <w:kern w:val="2"/>
              </w:rPr>
              <w:t>机电一体化技</w:t>
            </w:r>
            <w:r>
              <w:rPr>
                <w:rFonts w:hint="eastAsia" w:ascii="宋体" w:eastAsia="宋体" w:cs="宋体"/>
                <w:kern w:val="2"/>
              </w:rPr>
              <w:t xml:space="preserve"> 术</w:t>
            </w:r>
          </w:p>
        </w:tc>
        <w:tc>
          <w:tcPr>
            <w:tcW w:w="1881" w:type="dxa"/>
            <w:tcBorders>
              <w:top w:val="single" w:color="000000" w:sz="4" w:space="0"/>
              <w:left w:val="single" w:color="000000" w:sz="4" w:space="0"/>
              <w:bottom w:val="single" w:color="000000" w:sz="4" w:space="0"/>
              <w:right w:val="single" w:color="000000" w:sz="4" w:space="0"/>
            </w:tcBorders>
          </w:tcPr>
          <w:p w14:paraId="4BF60E19">
            <w:pPr>
              <w:pStyle w:val="19"/>
              <w:kinsoku w:val="0"/>
              <w:overflowPunct w:val="0"/>
              <w:spacing w:line="310" w:lineRule="exact"/>
              <w:ind w:left="463" w:right="99" w:hanging="360"/>
              <w:jc w:val="both"/>
              <w:rPr>
                <w:rFonts w:ascii="宋体" w:hAnsi="Arial Narrow" w:eastAsia="宋体" w:cs="宋体"/>
                <w:kern w:val="2"/>
              </w:rPr>
            </w:pPr>
            <w:r>
              <w:rPr>
                <w:rFonts w:ascii="Arial Narrow" w:hAnsi="Arial Narrow" w:cs="Arial Narrow"/>
                <w:spacing w:val="3"/>
                <w:kern w:val="2"/>
              </w:rPr>
              <w:t>1</w:t>
            </w:r>
            <w:r>
              <w:rPr>
                <w:rFonts w:hint="eastAsia" w:ascii="宋体" w:hAnsi="Arial Narrow" w:eastAsia="宋体" w:cs="宋体"/>
                <w:spacing w:val="3"/>
                <w:kern w:val="2"/>
              </w:rPr>
              <w:t>、具</w:t>
            </w:r>
            <w:r>
              <w:rPr>
                <w:rFonts w:hint="eastAsia" w:ascii="宋体" w:hAnsi="Arial Narrow" w:eastAsia="宋体" w:cs="宋体"/>
                <w:spacing w:val="-77"/>
                <w:kern w:val="2"/>
              </w:rPr>
              <w:t xml:space="preserve"> </w:t>
            </w:r>
            <w:r>
              <w:rPr>
                <w:rFonts w:hint="eastAsia" w:ascii="宋体" w:hAnsi="Arial Narrow" w:eastAsia="宋体" w:cs="宋体"/>
                <w:kern w:val="2"/>
              </w:rPr>
              <w:t>备</w:t>
            </w:r>
            <w:r>
              <w:rPr>
                <w:rFonts w:hint="eastAsia" w:ascii="宋体" w:hAnsi="Arial Narrow" w:eastAsia="宋体" w:cs="宋体"/>
                <w:spacing w:val="-77"/>
                <w:kern w:val="2"/>
              </w:rPr>
              <w:t xml:space="preserve"> </w:t>
            </w:r>
            <w:r>
              <w:rPr>
                <w:rFonts w:hint="eastAsia" w:ascii="宋体" w:hAnsi="Arial Narrow" w:eastAsia="宋体" w:cs="宋体"/>
                <w:kern w:val="2"/>
              </w:rPr>
              <w:t>识</w:t>
            </w:r>
            <w:r>
              <w:rPr>
                <w:rFonts w:hint="eastAsia" w:ascii="宋体" w:hAnsi="Arial Narrow" w:eastAsia="宋体" w:cs="宋体"/>
                <w:spacing w:val="-77"/>
                <w:kern w:val="2"/>
              </w:rPr>
              <w:t xml:space="preserve"> </w:t>
            </w:r>
            <w:r>
              <w:rPr>
                <w:rFonts w:hint="eastAsia" w:ascii="宋体" w:hAnsi="Arial Narrow" w:eastAsia="宋体" w:cs="宋体"/>
                <w:kern w:val="2"/>
              </w:rPr>
              <w:t>图能力；</w:t>
            </w:r>
          </w:p>
          <w:p w14:paraId="2684D771">
            <w:pPr>
              <w:pStyle w:val="19"/>
              <w:kinsoku w:val="0"/>
              <w:overflowPunct w:val="0"/>
              <w:spacing w:before="2" w:line="310" w:lineRule="exact"/>
              <w:ind w:left="463" w:right="-9" w:hanging="360"/>
              <w:rPr>
                <w:rFonts w:ascii="宋体" w:eastAsia="宋体" w:cs="宋体"/>
                <w:kern w:val="2"/>
              </w:rPr>
            </w:pPr>
            <w:r>
              <w:rPr>
                <w:rFonts w:ascii="Arial Narrow" w:hAnsi="Arial Narrow" w:cs="Arial Narrow"/>
                <w:spacing w:val="3"/>
                <w:kern w:val="2"/>
              </w:rPr>
              <w:t>2</w:t>
            </w:r>
            <w:r>
              <w:rPr>
                <w:rFonts w:hint="eastAsia" w:ascii="宋体" w:hAnsi="Arial Narrow" w:eastAsia="宋体" w:cs="宋体"/>
                <w:spacing w:val="3"/>
                <w:kern w:val="2"/>
              </w:rPr>
              <w:t>、具</w:t>
            </w:r>
            <w:r>
              <w:rPr>
                <w:rFonts w:hint="eastAsia" w:ascii="宋体" w:hAnsi="Arial Narrow" w:eastAsia="宋体" w:cs="宋体"/>
                <w:spacing w:val="-77"/>
                <w:kern w:val="2"/>
              </w:rPr>
              <w:t xml:space="preserve"> </w:t>
            </w:r>
            <w:r>
              <w:rPr>
                <w:rFonts w:hint="eastAsia" w:ascii="宋体" w:hAnsi="Arial Narrow" w:eastAsia="宋体" w:cs="宋体"/>
                <w:kern w:val="2"/>
              </w:rPr>
              <w:t>备</w:t>
            </w:r>
            <w:r>
              <w:rPr>
                <w:rFonts w:hint="eastAsia" w:ascii="宋体" w:hAnsi="Arial Narrow" w:eastAsia="宋体" w:cs="宋体"/>
                <w:spacing w:val="-77"/>
                <w:kern w:val="2"/>
              </w:rPr>
              <w:t xml:space="preserve"> </w:t>
            </w:r>
            <w:r>
              <w:rPr>
                <w:rFonts w:hint="eastAsia" w:ascii="宋体" w:hAnsi="Arial Narrow" w:eastAsia="宋体" w:cs="宋体"/>
                <w:kern w:val="2"/>
              </w:rPr>
              <w:t>气</w:t>
            </w:r>
            <w:r>
              <w:rPr>
                <w:rFonts w:hint="eastAsia" w:ascii="宋体" w:hAnsi="Arial Narrow" w:eastAsia="宋体" w:cs="宋体"/>
                <w:spacing w:val="-77"/>
                <w:kern w:val="2"/>
              </w:rPr>
              <w:t xml:space="preserve"> </w:t>
            </w:r>
            <w:r>
              <w:rPr>
                <w:rFonts w:hint="eastAsia" w:ascii="宋体" w:hAnsi="Arial Narrow" w:eastAsia="宋体" w:cs="宋体"/>
                <w:kern w:val="2"/>
              </w:rPr>
              <w:t>动系</w:t>
            </w:r>
            <w:r>
              <w:rPr>
                <w:rFonts w:hint="eastAsia" w:ascii="宋体" w:hAnsi="Arial Narrow" w:eastAsia="宋体" w:cs="宋体"/>
                <w:spacing w:val="-77"/>
                <w:kern w:val="2"/>
              </w:rPr>
              <w:t xml:space="preserve"> </w:t>
            </w:r>
            <w:r>
              <w:rPr>
                <w:rFonts w:hint="eastAsia" w:ascii="宋体" w:hAnsi="Arial Narrow" w:eastAsia="宋体" w:cs="宋体"/>
                <w:kern w:val="2"/>
              </w:rPr>
              <w:t>统</w:t>
            </w:r>
            <w:r>
              <w:rPr>
                <w:rFonts w:hint="eastAsia" w:ascii="宋体" w:hAnsi="Arial Narrow" w:eastAsia="宋体" w:cs="宋体"/>
                <w:spacing w:val="-77"/>
                <w:kern w:val="2"/>
              </w:rPr>
              <w:t xml:space="preserve"> </w:t>
            </w:r>
            <w:r>
              <w:rPr>
                <w:rFonts w:hint="eastAsia" w:ascii="宋体" w:hAnsi="Arial Narrow" w:eastAsia="宋体" w:cs="宋体"/>
                <w:kern w:val="2"/>
              </w:rPr>
              <w:t>安</w:t>
            </w:r>
            <w:r>
              <w:rPr>
                <w:rFonts w:hint="eastAsia" w:ascii="宋体" w:hAnsi="Arial Narrow" w:eastAsia="宋体" w:cs="宋体"/>
                <w:spacing w:val="-77"/>
                <w:kern w:val="2"/>
              </w:rPr>
              <w:t xml:space="preserve"> </w:t>
            </w:r>
            <w:r>
              <w:rPr>
                <w:rFonts w:hint="eastAsia" w:ascii="宋体" w:hAnsi="Arial Narrow" w:eastAsia="宋体" w:cs="宋体"/>
                <w:kern w:val="2"/>
              </w:rPr>
              <w:t>装</w:t>
            </w:r>
            <w:r>
              <w:rPr>
                <w:rFonts w:hint="eastAsia" w:ascii="宋体" w:eastAsia="宋体" w:cs="宋体"/>
                <w:kern w:val="2"/>
              </w:rPr>
              <w:t>调试能力；</w:t>
            </w:r>
          </w:p>
          <w:p w14:paraId="5149CC5D">
            <w:pPr>
              <w:pStyle w:val="19"/>
              <w:kinsoku w:val="0"/>
              <w:overflowPunct w:val="0"/>
              <w:spacing w:before="10" w:line="228" w:lineRule="auto"/>
              <w:ind w:left="463" w:right="99" w:hanging="360"/>
              <w:jc w:val="both"/>
              <w:rPr>
                <w:kern w:val="2"/>
              </w:rPr>
            </w:pPr>
            <w:r>
              <w:rPr>
                <w:rFonts w:ascii="Arial Narrow" w:hAnsi="Arial Narrow" w:cs="Arial Narrow"/>
                <w:spacing w:val="3"/>
                <w:kern w:val="2"/>
              </w:rPr>
              <w:t>3</w:t>
            </w:r>
            <w:r>
              <w:rPr>
                <w:rFonts w:hint="eastAsia" w:ascii="宋体" w:hAnsi="Arial Narrow" w:eastAsia="宋体" w:cs="宋体"/>
                <w:spacing w:val="3"/>
                <w:kern w:val="2"/>
              </w:rPr>
              <w:t>、具</w:t>
            </w:r>
            <w:r>
              <w:rPr>
                <w:rFonts w:hint="eastAsia" w:ascii="宋体" w:hAnsi="Arial Narrow" w:eastAsia="宋体" w:cs="宋体"/>
                <w:spacing w:val="-77"/>
                <w:kern w:val="2"/>
              </w:rPr>
              <w:t xml:space="preserve"> </w:t>
            </w:r>
            <w:r>
              <w:rPr>
                <w:rFonts w:hint="eastAsia" w:ascii="宋体" w:hAnsi="Arial Narrow" w:eastAsia="宋体" w:cs="宋体"/>
                <w:kern w:val="2"/>
              </w:rPr>
              <w:t>备</w:t>
            </w:r>
            <w:r>
              <w:rPr>
                <w:rFonts w:hint="eastAsia" w:ascii="宋体" w:hAnsi="Arial Narrow" w:eastAsia="宋体" w:cs="宋体"/>
                <w:spacing w:val="-77"/>
                <w:kern w:val="2"/>
              </w:rPr>
              <w:t xml:space="preserve"> </w:t>
            </w:r>
            <w:r>
              <w:rPr>
                <w:rFonts w:hint="eastAsia" w:ascii="宋体" w:hAnsi="Arial Narrow" w:eastAsia="宋体" w:cs="宋体"/>
                <w:kern w:val="2"/>
              </w:rPr>
              <w:t>机</w:t>
            </w:r>
            <w:r>
              <w:rPr>
                <w:rFonts w:hint="eastAsia" w:ascii="宋体" w:hAnsi="Arial Narrow" w:eastAsia="宋体" w:cs="宋体"/>
                <w:spacing w:val="-77"/>
                <w:kern w:val="2"/>
              </w:rPr>
              <w:t xml:space="preserve"> </w:t>
            </w:r>
            <w:r>
              <w:rPr>
                <w:rFonts w:hint="eastAsia" w:ascii="宋体" w:hAnsi="Arial Narrow" w:eastAsia="宋体" w:cs="宋体"/>
                <w:kern w:val="2"/>
              </w:rPr>
              <w:t>电产</w:t>
            </w:r>
            <w:r>
              <w:rPr>
                <w:rFonts w:hint="eastAsia" w:ascii="宋体" w:hAnsi="Arial Narrow" w:eastAsia="宋体" w:cs="宋体"/>
                <w:spacing w:val="-77"/>
                <w:kern w:val="2"/>
              </w:rPr>
              <w:t xml:space="preserve"> </w:t>
            </w:r>
            <w:r>
              <w:rPr>
                <w:rFonts w:hint="eastAsia" w:ascii="宋体" w:hAnsi="Arial Narrow" w:eastAsia="宋体" w:cs="宋体"/>
                <w:kern w:val="2"/>
              </w:rPr>
              <w:t>品</w:t>
            </w:r>
            <w:r>
              <w:rPr>
                <w:rFonts w:hint="eastAsia" w:ascii="宋体" w:hAnsi="Arial Narrow" w:eastAsia="宋体" w:cs="宋体"/>
                <w:spacing w:val="-77"/>
                <w:kern w:val="2"/>
              </w:rPr>
              <w:t xml:space="preserve"> </w:t>
            </w:r>
            <w:r>
              <w:rPr>
                <w:rFonts w:hint="eastAsia" w:ascii="宋体" w:hAnsi="Arial Narrow" w:eastAsia="宋体" w:cs="宋体"/>
                <w:kern w:val="2"/>
              </w:rPr>
              <w:t>安</w:t>
            </w:r>
            <w:r>
              <w:rPr>
                <w:rFonts w:hint="eastAsia" w:ascii="宋体" w:hAnsi="Arial Narrow" w:eastAsia="宋体" w:cs="宋体"/>
                <w:spacing w:val="-77"/>
                <w:kern w:val="2"/>
              </w:rPr>
              <w:t xml:space="preserve"> </w:t>
            </w:r>
            <w:r>
              <w:rPr>
                <w:rFonts w:hint="eastAsia" w:ascii="宋体" w:hAnsi="Arial Narrow" w:eastAsia="宋体" w:cs="宋体"/>
                <w:kern w:val="2"/>
              </w:rPr>
              <w:t>装调试能力</w:t>
            </w:r>
          </w:p>
        </w:tc>
        <w:tc>
          <w:tcPr>
            <w:tcW w:w="2410" w:type="dxa"/>
            <w:tcBorders>
              <w:top w:val="single" w:color="000000" w:sz="4" w:space="0"/>
              <w:left w:val="single" w:color="000000" w:sz="4" w:space="0"/>
              <w:bottom w:val="single" w:color="000000" w:sz="4" w:space="0"/>
              <w:right w:val="single" w:color="000000" w:sz="4" w:space="0"/>
            </w:tcBorders>
          </w:tcPr>
          <w:p w14:paraId="6ED5ED38">
            <w:pPr>
              <w:pStyle w:val="19"/>
              <w:kinsoku w:val="0"/>
              <w:overflowPunct w:val="0"/>
              <w:spacing w:line="273" w:lineRule="exact"/>
              <w:ind w:left="102"/>
              <w:jc w:val="both"/>
              <w:rPr>
                <w:kern w:val="2"/>
              </w:rPr>
            </w:pPr>
            <w:r>
              <w:rPr>
                <w:rFonts w:hint="eastAsia" w:ascii="宋体" w:eastAsia="宋体" w:cs="宋体"/>
                <w:spacing w:val="13"/>
                <w:kern w:val="2"/>
              </w:rPr>
              <w:t>需有国赛或省赛执裁经</w:t>
            </w:r>
            <w:r>
              <w:rPr>
                <w:rFonts w:hint="eastAsia" w:ascii="宋体" w:eastAsia="宋体" w:cs="宋体"/>
                <w:kern w:val="2"/>
              </w:rPr>
              <w:t>历</w:t>
            </w:r>
            <w:r>
              <w:rPr>
                <w:rFonts w:hint="eastAsia" w:ascii="宋体" w:eastAsia="宋体" w:cs="宋体"/>
                <w:spacing w:val="-84"/>
                <w:kern w:val="2"/>
              </w:rPr>
              <w:t xml:space="preserve"> </w:t>
            </w:r>
            <w:r>
              <w:rPr>
                <w:rFonts w:hint="eastAsia" w:ascii="宋体" w:eastAsia="宋体" w:cs="宋体"/>
                <w:kern w:val="2"/>
              </w:rPr>
              <w:t>；</w:t>
            </w:r>
            <w:r>
              <w:rPr>
                <w:rFonts w:hint="eastAsia" w:ascii="宋体" w:eastAsia="宋体" w:cs="宋体"/>
                <w:spacing w:val="-87"/>
                <w:kern w:val="2"/>
              </w:rPr>
              <w:t xml:space="preserve"> </w:t>
            </w:r>
            <w:r>
              <w:rPr>
                <w:rFonts w:hint="eastAsia" w:ascii="宋体" w:eastAsia="宋体" w:cs="宋体"/>
                <w:kern w:val="2"/>
              </w:rPr>
              <w:t>具</w:t>
            </w:r>
            <w:r>
              <w:rPr>
                <w:rFonts w:hint="eastAsia" w:ascii="宋体" w:eastAsia="宋体" w:cs="宋体"/>
                <w:spacing w:val="-84"/>
                <w:kern w:val="2"/>
              </w:rPr>
              <w:t xml:space="preserve"> </w:t>
            </w:r>
            <w:r>
              <w:rPr>
                <w:rFonts w:hint="eastAsia" w:ascii="宋体" w:eastAsia="宋体" w:cs="宋体"/>
                <w:kern w:val="2"/>
              </w:rPr>
              <w:t>有</w:t>
            </w:r>
            <w:r>
              <w:rPr>
                <w:rFonts w:hint="eastAsia" w:ascii="宋体" w:eastAsia="宋体" w:cs="宋体"/>
                <w:spacing w:val="-24"/>
                <w:kern w:val="2"/>
              </w:rPr>
              <w:t xml:space="preserve"> </w:t>
            </w:r>
            <w:r>
              <w:rPr>
                <w:rFonts w:ascii="Arial Narrow" w:hAnsi="Arial Narrow" w:eastAsia="宋体" w:cs="Arial Narrow"/>
                <w:kern w:val="2"/>
              </w:rPr>
              <w:t xml:space="preserve">3 </w:t>
            </w:r>
            <w:r>
              <w:rPr>
                <w:rFonts w:hint="eastAsia" w:ascii="宋体" w:hAnsi="Arial Narrow" w:eastAsia="宋体" w:cs="宋体"/>
                <w:spacing w:val="13"/>
                <w:kern w:val="2"/>
              </w:rPr>
              <w:t>年以上企业工作经历；</w:t>
            </w:r>
            <w:r>
              <w:rPr>
                <w:rFonts w:hint="eastAsia" w:ascii="宋体" w:hAnsi="Arial Narrow" w:eastAsia="宋体" w:cs="宋体"/>
                <w:kern w:val="2"/>
              </w:rPr>
              <w:t xml:space="preserve"> </w:t>
            </w:r>
            <w:r>
              <w:rPr>
                <w:rFonts w:hint="eastAsia" w:ascii="宋体" w:hAnsi="Arial Narrow" w:eastAsia="宋体" w:cs="宋体"/>
                <w:spacing w:val="13"/>
                <w:kern w:val="2"/>
              </w:rPr>
              <w:t>承担过机械设计、机械</w:t>
            </w:r>
            <w:r>
              <w:rPr>
                <w:rFonts w:hint="eastAsia" w:ascii="宋体" w:hAnsi="Arial Narrow" w:eastAsia="宋体" w:cs="宋体"/>
                <w:kern w:val="2"/>
              </w:rPr>
              <w:t xml:space="preserve"> </w:t>
            </w:r>
            <w:r>
              <w:rPr>
                <w:rFonts w:hint="eastAsia" w:ascii="宋体" w:hAnsi="Arial Narrow" w:eastAsia="宋体" w:cs="宋体"/>
                <w:spacing w:val="13"/>
                <w:kern w:val="2"/>
              </w:rPr>
              <w:t>制造、液压</w:t>
            </w:r>
            <w:r>
              <w:rPr>
                <w:rFonts w:hint="eastAsia" w:ascii="宋体" w:hAnsi="Arial Narrow" w:eastAsia="宋体" w:cs="宋体"/>
                <w:kern w:val="2"/>
              </w:rPr>
              <w:t xml:space="preserve"> </w:t>
            </w:r>
            <w:r>
              <w:rPr>
                <w:rFonts w:hint="eastAsia" w:ascii="宋体" w:hAnsi="Arial Narrow" w:eastAsia="宋体" w:cs="宋体"/>
                <w:spacing w:val="13"/>
                <w:kern w:val="2"/>
              </w:rPr>
              <w:t>与气动、自动控制等教</w:t>
            </w:r>
            <w:r>
              <w:rPr>
                <w:rFonts w:hint="eastAsia" w:ascii="宋体" w:hAnsi="Arial Narrow" w:eastAsia="宋体" w:cs="宋体"/>
                <w:kern w:val="2"/>
              </w:rPr>
              <w:t xml:space="preserve"> 学任务。</w:t>
            </w:r>
          </w:p>
        </w:tc>
        <w:tc>
          <w:tcPr>
            <w:tcW w:w="1701" w:type="dxa"/>
            <w:tcBorders>
              <w:top w:val="single" w:color="000000" w:sz="4" w:space="0"/>
              <w:left w:val="single" w:color="000000" w:sz="4" w:space="0"/>
              <w:bottom w:val="single" w:color="000000" w:sz="4" w:space="0"/>
              <w:right w:val="single" w:color="000000" w:sz="4" w:space="0"/>
            </w:tcBorders>
          </w:tcPr>
          <w:p w14:paraId="1FFA6F63">
            <w:pPr>
              <w:pStyle w:val="19"/>
              <w:kinsoku w:val="0"/>
              <w:overflowPunct w:val="0"/>
              <w:rPr>
                <w:rFonts w:ascii="宋体" w:eastAsia="宋体" w:cs="宋体"/>
                <w:kern w:val="2"/>
              </w:rPr>
            </w:pPr>
          </w:p>
          <w:p w14:paraId="658FEE1F">
            <w:pPr>
              <w:pStyle w:val="19"/>
              <w:kinsoku w:val="0"/>
              <w:overflowPunct w:val="0"/>
              <w:rPr>
                <w:rFonts w:ascii="宋体" w:eastAsia="宋体" w:cs="宋体"/>
                <w:kern w:val="2"/>
              </w:rPr>
            </w:pPr>
          </w:p>
          <w:p w14:paraId="5DAF0E33">
            <w:pPr>
              <w:pStyle w:val="19"/>
              <w:kinsoku w:val="0"/>
              <w:overflowPunct w:val="0"/>
              <w:rPr>
                <w:rFonts w:ascii="宋体" w:eastAsia="宋体" w:cs="宋体"/>
                <w:kern w:val="2"/>
              </w:rPr>
            </w:pPr>
          </w:p>
          <w:p w14:paraId="1FC0ACCC">
            <w:pPr>
              <w:pStyle w:val="19"/>
              <w:kinsoku w:val="0"/>
              <w:overflowPunct w:val="0"/>
              <w:spacing w:before="5"/>
              <w:rPr>
                <w:rFonts w:ascii="宋体" w:eastAsia="宋体" w:cs="宋体"/>
                <w:kern w:val="2"/>
                <w:sz w:val="20"/>
                <w:szCs w:val="20"/>
              </w:rPr>
            </w:pPr>
          </w:p>
          <w:p w14:paraId="3DB1C1A9">
            <w:pPr>
              <w:pStyle w:val="19"/>
              <w:kinsoku w:val="0"/>
              <w:overflowPunct w:val="0"/>
              <w:spacing w:line="235" w:lineRule="auto"/>
              <w:ind w:left="102" w:right="102"/>
              <w:jc w:val="both"/>
              <w:rPr>
                <w:kern w:val="2"/>
              </w:rPr>
            </w:pPr>
            <w:r>
              <w:rPr>
                <w:rFonts w:hint="eastAsia" w:ascii="宋体" w:eastAsia="宋体" w:cs="宋体"/>
                <w:spacing w:val="21"/>
                <w:kern w:val="2"/>
              </w:rPr>
              <w:t>副教授或高级工</w:t>
            </w:r>
            <w:r>
              <w:rPr>
                <w:rFonts w:hint="eastAsia" w:ascii="宋体" w:eastAsia="宋体" w:cs="宋体"/>
                <w:spacing w:val="-118"/>
                <w:kern w:val="2"/>
              </w:rPr>
              <w:t xml:space="preserve"> </w:t>
            </w:r>
            <w:r>
              <w:rPr>
                <w:rFonts w:hint="eastAsia" w:ascii="宋体" w:eastAsia="宋体" w:cs="宋体"/>
                <w:spacing w:val="-12"/>
                <w:kern w:val="2"/>
              </w:rPr>
              <w:t>程师（或技师）以</w:t>
            </w:r>
            <w:r>
              <w:rPr>
                <w:rFonts w:hint="eastAsia" w:ascii="宋体" w:eastAsia="宋体" w:cs="宋体"/>
                <w:spacing w:val="-114"/>
                <w:kern w:val="2"/>
              </w:rPr>
              <w:t xml:space="preserve"> </w:t>
            </w:r>
            <w:r>
              <w:rPr>
                <w:rFonts w:hint="eastAsia" w:ascii="宋体" w:eastAsia="宋体" w:cs="宋体"/>
                <w:kern w:val="2"/>
              </w:rPr>
              <w:t>上</w:t>
            </w:r>
          </w:p>
        </w:tc>
      </w:tr>
      <w:tr w14:paraId="1858F677">
        <w:tblPrEx>
          <w:tblCellMar>
            <w:top w:w="0" w:type="dxa"/>
            <w:left w:w="0" w:type="dxa"/>
            <w:bottom w:w="0" w:type="dxa"/>
            <w:right w:w="0" w:type="dxa"/>
          </w:tblCellMar>
        </w:tblPrEx>
        <w:trPr>
          <w:trHeight w:val="2189" w:hRule="exact"/>
        </w:trPr>
        <w:tc>
          <w:tcPr>
            <w:tcW w:w="802" w:type="dxa"/>
            <w:tcBorders>
              <w:top w:val="single" w:color="000000" w:sz="4" w:space="0"/>
              <w:left w:val="single" w:color="000000" w:sz="6" w:space="0"/>
              <w:bottom w:val="single" w:color="000000" w:sz="4" w:space="0"/>
              <w:right w:val="single" w:color="000000" w:sz="4" w:space="0"/>
            </w:tcBorders>
          </w:tcPr>
          <w:p w14:paraId="4D81B38A">
            <w:pPr>
              <w:pStyle w:val="19"/>
              <w:kinsoku w:val="0"/>
              <w:overflowPunct w:val="0"/>
              <w:rPr>
                <w:rFonts w:ascii="宋体" w:eastAsia="宋体" w:cs="宋体"/>
                <w:kern w:val="2"/>
              </w:rPr>
            </w:pPr>
          </w:p>
          <w:p w14:paraId="03D183BD">
            <w:pPr>
              <w:pStyle w:val="19"/>
              <w:kinsoku w:val="0"/>
              <w:overflowPunct w:val="0"/>
              <w:rPr>
                <w:rFonts w:ascii="宋体" w:eastAsia="宋体" w:cs="宋体"/>
                <w:kern w:val="2"/>
              </w:rPr>
            </w:pPr>
          </w:p>
          <w:p w14:paraId="17B78B88">
            <w:pPr>
              <w:pStyle w:val="19"/>
              <w:kinsoku w:val="0"/>
              <w:overflowPunct w:val="0"/>
              <w:spacing w:before="8"/>
              <w:rPr>
                <w:rFonts w:ascii="宋体" w:eastAsia="宋体" w:cs="宋体"/>
                <w:kern w:val="2"/>
              </w:rPr>
            </w:pPr>
          </w:p>
          <w:p w14:paraId="777097C6">
            <w:pPr>
              <w:pStyle w:val="19"/>
              <w:kinsoku w:val="0"/>
              <w:overflowPunct w:val="0"/>
              <w:ind w:left="99"/>
              <w:rPr>
                <w:kern w:val="2"/>
              </w:rPr>
            </w:pPr>
            <w:r>
              <w:rPr>
                <w:rFonts w:ascii="Arial Narrow" w:hAnsi="Arial Narrow" w:cs="Arial Narrow"/>
                <w:kern w:val="2"/>
              </w:rPr>
              <w:t>2</w:t>
            </w:r>
          </w:p>
        </w:tc>
        <w:tc>
          <w:tcPr>
            <w:tcW w:w="1725" w:type="dxa"/>
            <w:tcBorders>
              <w:top w:val="single" w:color="000000" w:sz="4" w:space="0"/>
              <w:left w:val="single" w:color="000000" w:sz="4" w:space="0"/>
              <w:bottom w:val="single" w:color="000000" w:sz="4" w:space="0"/>
              <w:right w:val="single" w:color="000000" w:sz="4" w:space="0"/>
            </w:tcBorders>
          </w:tcPr>
          <w:p w14:paraId="357B900D">
            <w:pPr>
              <w:pStyle w:val="19"/>
              <w:kinsoku w:val="0"/>
              <w:overflowPunct w:val="0"/>
              <w:rPr>
                <w:rFonts w:ascii="宋体" w:eastAsia="宋体" w:cs="宋体"/>
                <w:kern w:val="2"/>
              </w:rPr>
            </w:pPr>
          </w:p>
          <w:p w14:paraId="605205C8">
            <w:pPr>
              <w:pStyle w:val="19"/>
              <w:kinsoku w:val="0"/>
              <w:overflowPunct w:val="0"/>
              <w:spacing w:before="11"/>
              <w:rPr>
                <w:rFonts w:ascii="宋体" w:eastAsia="宋体" w:cs="宋体"/>
                <w:kern w:val="2"/>
                <w:sz w:val="34"/>
                <w:szCs w:val="34"/>
              </w:rPr>
            </w:pPr>
          </w:p>
          <w:p w14:paraId="45B4B94D">
            <w:pPr>
              <w:pStyle w:val="19"/>
              <w:kinsoku w:val="0"/>
              <w:overflowPunct w:val="0"/>
              <w:spacing w:line="312" w:lineRule="exact"/>
              <w:ind w:left="103" w:right="100"/>
              <w:rPr>
                <w:kern w:val="2"/>
              </w:rPr>
            </w:pPr>
            <w:r>
              <w:rPr>
                <w:rFonts w:hint="eastAsia" w:ascii="宋体" w:eastAsia="宋体" w:cs="宋体"/>
                <w:spacing w:val="11"/>
                <w:kern w:val="2"/>
              </w:rPr>
              <w:t>电气工程及自</w:t>
            </w:r>
            <w:r>
              <w:rPr>
                <w:rFonts w:hint="eastAsia" w:ascii="宋体" w:eastAsia="宋体" w:cs="宋体"/>
                <w:kern w:val="2"/>
              </w:rPr>
              <w:t>动化</w:t>
            </w:r>
          </w:p>
        </w:tc>
        <w:tc>
          <w:tcPr>
            <w:tcW w:w="1881" w:type="dxa"/>
            <w:tcBorders>
              <w:top w:val="single" w:color="000000" w:sz="4" w:space="0"/>
              <w:left w:val="single" w:color="000000" w:sz="4" w:space="0"/>
              <w:bottom w:val="single" w:color="000000" w:sz="4" w:space="0"/>
              <w:right w:val="single" w:color="000000" w:sz="4" w:space="0"/>
            </w:tcBorders>
          </w:tcPr>
          <w:p w14:paraId="41358B2D">
            <w:pPr>
              <w:pStyle w:val="19"/>
              <w:kinsoku w:val="0"/>
              <w:overflowPunct w:val="0"/>
              <w:spacing w:before="128" w:line="228" w:lineRule="auto"/>
              <w:ind w:left="463" w:right="99" w:hanging="360"/>
              <w:jc w:val="both"/>
              <w:rPr>
                <w:rFonts w:ascii="宋体" w:hAnsi="Arial Narrow" w:eastAsia="宋体" w:cs="宋体"/>
                <w:kern w:val="2"/>
              </w:rPr>
            </w:pPr>
            <w:r>
              <w:rPr>
                <w:rFonts w:ascii="Arial Narrow" w:hAnsi="Arial Narrow" w:cs="Arial Narrow"/>
                <w:spacing w:val="3"/>
                <w:kern w:val="2"/>
              </w:rPr>
              <w:t>1</w:t>
            </w:r>
            <w:r>
              <w:rPr>
                <w:rFonts w:hint="eastAsia" w:ascii="宋体" w:hAnsi="Arial Narrow" w:eastAsia="宋体" w:cs="宋体"/>
                <w:spacing w:val="3"/>
                <w:kern w:val="2"/>
              </w:rPr>
              <w:t>、具</w:t>
            </w:r>
            <w:r>
              <w:rPr>
                <w:rFonts w:hint="eastAsia" w:ascii="宋体" w:hAnsi="Arial Narrow" w:eastAsia="宋体" w:cs="宋体"/>
                <w:spacing w:val="-77"/>
                <w:kern w:val="2"/>
              </w:rPr>
              <w:t xml:space="preserve"> </w:t>
            </w:r>
            <w:r>
              <w:rPr>
                <w:rFonts w:hint="eastAsia" w:ascii="宋体" w:hAnsi="Arial Narrow" w:eastAsia="宋体" w:cs="宋体"/>
                <w:kern w:val="2"/>
              </w:rPr>
              <w:t>备</w:t>
            </w:r>
            <w:r>
              <w:rPr>
                <w:rFonts w:hint="eastAsia" w:ascii="宋体" w:hAnsi="Arial Narrow" w:eastAsia="宋体" w:cs="宋体"/>
                <w:spacing w:val="-77"/>
                <w:kern w:val="2"/>
              </w:rPr>
              <w:t xml:space="preserve"> </w:t>
            </w:r>
            <w:r>
              <w:rPr>
                <w:rFonts w:hint="eastAsia" w:ascii="宋体" w:hAnsi="Arial Narrow" w:eastAsia="宋体" w:cs="宋体"/>
                <w:kern w:val="2"/>
              </w:rPr>
              <w:t>生</w:t>
            </w:r>
            <w:r>
              <w:rPr>
                <w:rFonts w:hint="eastAsia" w:ascii="宋体" w:hAnsi="Arial Narrow" w:eastAsia="宋体" w:cs="宋体"/>
                <w:spacing w:val="-77"/>
                <w:kern w:val="2"/>
              </w:rPr>
              <w:t xml:space="preserve"> </w:t>
            </w:r>
            <w:r>
              <w:rPr>
                <w:rFonts w:hint="eastAsia" w:ascii="宋体" w:hAnsi="Arial Narrow" w:eastAsia="宋体" w:cs="宋体"/>
                <w:kern w:val="2"/>
              </w:rPr>
              <w:t>产 线</w:t>
            </w:r>
            <w:r>
              <w:rPr>
                <w:rFonts w:hint="eastAsia" w:ascii="宋体" w:hAnsi="Arial Narrow" w:eastAsia="宋体" w:cs="宋体"/>
                <w:spacing w:val="-77"/>
                <w:kern w:val="2"/>
              </w:rPr>
              <w:t xml:space="preserve"> </w:t>
            </w:r>
            <w:r>
              <w:rPr>
                <w:rFonts w:hint="eastAsia" w:ascii="宋体" w:hAnsi="Arial Narrow" w:eastAsia="宋体" w:cs="宋体"/>
                <w:kern w:val="2"/>
              </w:rPr>
              <w:t>安</w:t>
            </w:r>
            <w:r>
              <w:rPr>
                <w:rFonts w:hint="eastAsia" w:ascii="宋体" w:hAnsi="Arial Narrow" w:eastAsia="宋体" w:cs="宋体"/>
                <w:spacing w:val="-77"/>
                <w:kern w:val="2"/>
              </w:rPr>
              <w:t xml:space="preserve"> </w:t>
            </w:r>
            <w:r>
              <w:rPr>
                <w:rFonts w:hint="eastAsia" w:ascii="宋体" w:hAnsi="Arial Narrow" w:eastAsia="宋体" w:cs="宋体"/>
                <w:kern w:val="2"/>
              </w:rPr>
              <w:t>装</w:t>
            </w:r>
            <w:r>
              <w:rPr>
                <w:rFonts w:hint="eastAsia" w:ascii="宋体" w:hAnsi="Arial Narrow" w:eastAsia="宋体" w:cs="宋体"/>
                <w:spacing w:val="-77"/>
                <w:kern w:val="2"/>
              </w:rPr>
              <w:t xml:space="preserve"> </w:t>
            </w:r>
            <w:r>
              <w:rPr>
                <w:rFonts w:hint="eastAsia" w:ascii="宋体" w:hAnsi="Arial Narrow" w:eastAsia="宋体" w:cs="宋体"/>
                <w:kern w:val="2"/>
              </w:rPr>
              <w:t>调 试能力；</w:t>
            </w:r>
          </w:p>
          <w:p w14:paraId="3E290CC6">
            <w:pPr>
              <w:pStyle w:val="19"/>
              <w:kinsoku w:val="0"/>
              <w:overflowPunct w:val="0"/>
              <w:spacing w:before="10" w:line="228" w:lineRule="auto"/>
              <w:ind w:left="463" w:right="99" w:hanging="360"/>
              <w:jc w:val="both"/>
              <w:rPr>
                <w:kern w:val="2"/>
              </w:rPr>
            </w:pPr>
            <w:r>
              <w:rPr>
                <w:rFonts w:ascii="Arial Narrow" w:hAnsi="Arial Narrow" w:cs="Arial Narrow"/>
                <w:spacing w:val="3"/>
                <w:kern w:val="2"/>
              </w:rPr>
              <w:t>2</w:t>
            </w:r>
            <w:r>
              <w:rPr>
                <w:rFonts w:hint="eastAsia" w:ascii="宋体" w:hAnsi="Arial Narrow" w:eastAsia="宋体" w:cs="宋体"/>
                <w:spacing w:val="3"/>
                <w:kern w:val="2"/>
              </w:rPr>
              <w:t>、具</w:t>
            </w:r>
            <w:r>
              <w:rPr>
                <w:rFonts w:hint="eastAsia" w:ascii="宋体" w:hAnsi="Arial Narrow" w:eastAsia="宋体" w:cs="宋体"/>
                <w:spacing w:val="-77"/>
                <w:kern w:val="2"/>
              </w:rPr>
              <w:t xml:space="preserve"> </w:t>
            </w:r>
            <w:r>
              <w:rPr>
                <w:rFonts w:hint="eastAsia" w:ascii="宋体" w:hAnsi="Arial Narrow" w:eastAsia="宋体" w:cs="宋体"/>
                <w:kern w:val="2"/>
              </w:rPr>
              <w:t>备</w:t>
            </w:r>
            <w:r>
              <w:rPr>
                <w:rFonts w:hint="eastAsia" w:ascii="宋体" w:hAnsi="Arial Narrow" w:eastAsia="宋体" w:cs="宋体"/>
                <w:spacing w:val="-77"/>
                <w:kern w:val="2"/>
              </w:rPr>
              <w:t xml:space="preserve"> </w:t>
            </w:r>
            <w:r>
              <w:rPr>
                <w:rFonts w:hint="eastAsia" w:ascii="宋体" w:hAnsi="Arial Narrow" w:eastAsia="宋体" w:cs="宋体"/>
                <w:kern w:val="2"/>
              </w:rPr>
              <w:t>电</w:t>
            </w:r>
            <w:r>
              <w:rPr>
                <w:rFonts w:hint="eastAsia" w:ascii="宋体" w:hAnsi="Arial Narrow" w:eastAsia="宋体" w:cs="宋体"/>
                <w:spacing w:val="-77"/>
                <w:kern w:val="2"/>
              </w:rPr>
              <w:t xml:space="preserve"> </w:t>
            </w:r>
            <w:r>
              <w:rPr>
                <w:rFonts w:hint="eastAsia" w:ascii="宋体" w:hAnsi="Arial Narrow" w:eastAsia="宋体" w:cs="宋体"/>
                <w:kern w:val="2"/>
              </w:rPr>
              <w:t>气 控</w:t>
            </w:r>
            <w:r>
              <w:rPr>
                <w:rFonts w:hint="eastAsia" w:ascii="宋体" w:hAnsi="Arial Narrow" w:eastAsia="宋体" w:cs="宋体"/>
                <w:spacing w:val="-77"/>
                <w:kern w:val="2"/>
              </w:rPr>
              <w:t xml:space="preserve"> </w:t>
            </w:r>
            <w:r>
              <w:rPr>
                <w:rFonts w:hint="eastAsia" w:ascii="宋体" w:hAnsi="Arial Narrow" w:eastAsia="宋体" w:cs="宋体"/>
                <w:kern w:val="2"/>
              </w:rPr>
              <w:t>制</w:t>
            </w:r>
            <w:r>
              <w:rPr>
                <w:rFonts w:hint="eastAsia" w:ascii="宋体" w:hAnsi="Arial Narrow" w:eastAsia="宋体" w:cs="宋体"/>
                <w:spacing w:val="-77"/>
                <w:kern w:val="2"/>
              </w:rPr>
              <w:t xml:space="preserve"> </w:t>
            </w:r>
            <w:r>
              <w:rPr>
                <w:rFonts w:hint="eastAsia" w:ascii="宋体" w:hAnsi="Arial Narrow" w:eastAsia="宋体" w:cs="宋体"/>
                <w:kern w:val="2"/>
              </w:rPr>
              <w:t>系</w:t>
            </w:r>
            <w:r>
              <w:rPr>
                <w:rFonts w:hint="eastAsia" w:ascii="宋体" w:hAnsi="Arial Narrow" w:eastAsia="宋体" w:cs="宋体"/>
                <w:spacing w:val="-77"/>
                <w:kern w:val="2"/>
              </w:rPr>
              <w:t xml:space="preserve"> </w:t>
            </w:r>
            <w:r>
              <w:rPr>
                <w:rFonts w:hint="eastAsia" w:ascii="宋体" w:hAnsi="Arial Narrow" w:eastAsia="宋体" w:cs="宋体"/>
                <w:kern w:val="2"/>
              </w:rPr>
              <w:t>统 设计能力</w:t>
            </w:r>
          </w:p>
        </w:tc>
        <w:tc>
          <w:tcPr>
            <w:tcW w:w="2410" w:type="dxa"/>
            <w:tcBorders>
              <w:top w:val="single" w:color="000000" w:sz="4" w:space="0"/>
              <w:left w:val="single" w:color="000000" w:sz="4" w:space="0"/>
              <w:bottom w:val="single" w:color="000000" w:sz="4" w:space="0"/>
              <w:right w:val="single" w:color="000000" w:sz="4" w:space="0"/>
            </w:tcBorders>
          </w:tcPr>
          <w:p w14:paraId="56CAB2C2">
            <w:pPr>
              <w:pStyle w:val="19"/>
              <w:kinsoku w:val="0"/>
              <w:overflowPunct w:val="0"/>
              <w:spacing w:line="275" w:lineRule="exact"/>
              <w:ind w:left="102"/>
              <w:jc w:val="both"/>
              <w:rPr>
                <w:kern w:val="2"/>
              </w:rPr>
            </w:pPr>
            <w:r>
              <w:rPr>
                <w:rFonts w:hint="eastAsia" w:ascii="宋体" w:eastAsia="宋体" w:cs="宋体"/>
                <w:spacing w:val="13"/>
                <w:kern w:val="2"/>
              </w:rPr>
              <w:t>需有国赛执裁或省赛经</w:t>
            </w:r>
            <w:r>
              <w:rPr>
                <w:rFonts w:hint="eastAsia" w:ascii="宋体" w:eastAsia="宋体" w:cs="宋体"/>
                <w:kern w:val="2"/>
              </w:rPr>
              <w:t>历</w:t>
            </w:r>
            <w:r>
              <w:rPr>
                <w:rFonts w:hint="eastAsia" w:ascii="宋体" w:eastAsia="宋体" w:cs="宋体"/>
                <w:spacing w:val="-84"/>
                <w:kern w:val="2"/>
              </w:rPr>
              <w:t xml:space="preserve"> </w:t>
            </w:r>
            <w:r>
              <w:rPr>
                <w:rFonts w:hint="eastAsia" w:ascii="宋体" w:eastAsia="宋体" w:cs="宋体"/>
                <w:kern w:val="2"/>
              </w:rPr>
              <w:t>；</w:t>
            </w:r>
            <w:r>
              <w:rPr>
                <w:rFonts w:hint="eastAsia" w:ascii="宋体" w:eastAsia="宋体" w:cs="宋体"/>
                <w:spacing w:val="-87"/>
                <w:kern w:val="2"/>
              </w:rPr>
              <w:t xml:space="preserve"> </w:t>
            </w:r>
            <w:r>
              <w:rPr>
                <w:rFonts w:hint="eastAsia" w:ascii="宋体" w:eastAsia="宋体" w:cs="宋体"/>
                <w:kern w:val="2"/>
              </w:rPr>
              <w:t>具</w:t>
            </w:r>
            <w:r>
              <w:rPr>
                <w:rFonts w:hint="eastAsia" w:ascii="宋体" w:eastAsia="宋体" w:cs="宋体"/>
                <w:spacing w:val="-84"/>
                <w:kern w:val="2"/>
              </w:rPr>
              <w:t xml:space="preserve"> </w:t>
            </w:r>
            <w:r>
              <w:rPr>
                <w:rFonts w:hint="eastAsia" w:ascii="宋体" w:eastAsia="宋体" w:cs="宋体"/>
                <w:kern w:val="2"/>
              </w:rPr>
              <w:t>有</w:t>
            </w:r>
            <w:r>
              <w:rPr>
                <w:rFonts w:hint="eastAsia" w:ascii="宋体" w:eastAsia="宋体" w:cs="宋体"/>
                <w:spacing w:val="-24"/>
                <w:kern w:val="2"/>
              </w:rPr>
              <w:t xml:space="preserve"> </w:t>
            </w:r>
            <w:r>
              <w:rPr>
                <w:rFonts w:ascii="Arial Narrow" w:hAnsi="Arial Narrow" w:eastAsia="宋体" w:cs="Arial Narrow"/>
                <w:kern w:val="2"/>
              </w:rPr>
              <w:t xml:space="preserve">3 </w:t>
            </w:r>
            <w:r>
              <w:rPr>
                <w:rFonts w:hint="eastAsia" w:ascii="宋体" w:hAnsi="Arial Narrow" w:eastAsia="宋体" w:cs="宋体"/>
                <w:spacing w:val="13"/>
                <w:kern w:val="2"/>
              </w:rPr>
              <w:t>年以上企业工作经历；</w:t>
            </w:r>
            <w:r>
              <w:rPr>
                <w:rFonts w:hint="eastAsia" w:ascii="宋体" w:hAnsi="Arial Narrow" w:eastAsia="宋体" w:cs="宋体"/>
                <w:kern w:val="2"/>
              </w:rPr>
              <w:t xml:space="preserve"> </w:t>
            </w:r>
            <w:r>
              <w:rPr>
                <w:rFonts w:hint="eastAsia" w:ascii="宋体" w:hAnsi="Arial Narrow" w:eastAsia="宋体" w:cs="宋体"/>
                <w:spacing w:val="13"/>
                <w:kern w:val="2"/>
              </w:rPr>
              <w:t>承担过自动</w:t>
            </w:r>
            <w:r>
              <w:rPr>
                <w:rFonts w:hint="eastAsia" w:ascii="宋体" w:hAnsi="Arial Narrow" w:eastAsia="宋体" w:cs="宋体"/>
                <w:kern w:val="2"/>
              </w:rPr>
              <w:t>控制技术、</w:t>
            </w:r>
          </w:p>
        </w:tc>
        <w:tc>
          <w:tcPr>
            <w:tcW w:w="1701" w:type="dxa"/>
            <w:tcBorders>
              <w:top w:val="single" w:color="000000" w:sz="4" w:space="0"/>
              <w:left w:val="single" w:color="000000" w:sz="4" w:space="0"/>
              <w:bottom w:val="single" w:color="000000" w:sz="4" w:space="0"/>
              <w:right w:val="single" w:color="000000" w:sz="4" w:space="0"/>
            </w:tcBorders>
          </w:tcPr>
          <w:p w14:paraId="3938A35B">
            <w:pPr>
              <w:pStyle w:val="19"/>
              <w:kinsoku w:val="0"/>
              <w:overflowPunct w:val="0"/>
              <w:rPr>
                <w:rFonts w:ascii="宋体" w:eastAsia="宋体" w:cs="宋体"/>
                <w:kern w:val="2"/>
              </w:rPr>
            </w:pPr>
          </w:p>
          <w:p w14:paraId="4CDF9C98">
            <w:pPr>
              <w:pStyle w:val="19"/>
              <w:kinsoku w:val="0"/>
              <w:overflowPunct w:val="0"/>
              <w:spacing w:before="12"/>
              <w:rPr>
                <w:rFonts w:ascii="宋体" w:eastAsia="宋体" w:cs="宋体"/>
                <w:kern w:val="2"/>
                <w:sz w:val="22"/>
                <w:szCs w:val="22"/>
              </w:rPr>
            </w:pPr>
          </w:p>
          <w:p w14:paraId="39875873">
            <w:pPr>
              <w:pStyle w:val="19"/>
              <w:kinsoku w:val="0"/>
              <w:overflowPunct w:val="0"/>
              <w:spacing w:line="312" w:lineRule="exact"/>
              <w:ind w:left="102" w:right="102"/>
              <w:jc w:val="both"/>
              <w:rPr>
                <w:kern w:val="2"/>
              </w:rPr>
            </w:pPr>
            <w:r>
              <w:rPr>
                <w:rFonts w:hint="eastAsia" w:ascii="宋体" w:eastAsia="宋体" w:cs="宋体"/>
                <w:spacing w:val="21"/>
                <w:kern w:val="2"/>
              </w:rPr>
              <w:t>副教授或高级工</w:t>
            </w:r>
            <w:r>
              <w:rPr>
                <w:rFonts w:hint="eastAsia" w:ascii="宋体" w:eastAsia="宋体" w:cs="宋体"/>
                <w:spacing w:val="-118"/>
                <w:kern w:val="2"/>
              </w:rPr>
              <w:t xml:space="preserve"> </w:t>
            </w:r>
            <w:r>
              <w:rPr>
                <w:rFonts w:hint="eastAsia" w:ascii="宋体" w:eastAsia="宋体" w:cs="宋体"/>
                <w:spacing w:val="-12"/>
                <w:kern w:val="2"/>
              </w:rPr>
              <w:t>程师（或技师）以</w:t>
            </w:r>
            <w:r>
              <w:rPr>
                <w:rFonts w:hint="eastAsia" w:ascii="宋体" w:eastAsia="宋体" w:cs="宋体"/>
                <w:spacing w:val="-114"/>
                <w:kern w:val="2"/>
              </w:rPr>
              <w:t xml:space="preserve"> </w:t>
            </w:r>
            <w:r>
              <w:rPr>
                <w:rFonts w:hint="eastAsia" w:ascii="宋体" w:eastAsia="宋体" w:cs="宋体"/>
                <w:kern w:val="2"/>
              </w:rPr>
              <w:t>上</w:t>
            </w:r>
          </w:p>
        </w:tc>
      </w:tr>
      <w:tr w14:paraId="23ABFBED">
        <w:tblPrEx>
          <w:tblCellMar>
            <w:top w:w="0" w:type="dxa"/>
            <w:left w:w="0" w:type="dxa"/>
            <w:bottom w:w="0" w:type="dxa"/>
            <w:right w:w="0" w:type="dxa"/>
          </w:tblCellMar>
        </w:tblPrEx>
        <w:trPr>
          <w:trHeight w:val="1255" w:hRule="exact"/>
        </w:trPr>
        <w:tc>
          <w:tcPr>
            <w:tcW w:w="802" w:type="dxa"/>
            <w:tcBorders>
              <w:top w:val="single" w:color="000000" w:sz="4" w:space="0"/>
              <w:left w:val="single" w:color="000000" w:sz="6" w:space="0"/>
              <w:bottom w:val="single" w:color="000000" w:sz="4" w:space="0"/>
              <w:right w:val="single" w:color="000000" w:sz="4" w:space="0"/>
            </w:tcBorders>
          </w:tcPr>
          <w:p w14:paraId="27F40009">
            <w:pPr>
              <w:pStyle w:val="19"/>
              <w:kinsoku w:val="0"/>
              <w:overflowPunct w:val="0"/>
              <w:rPr>
                <w:rFonts w:ascii="宋体" w:eastAsia="宋体" w:cs="宋体"/>
                <w:kern w:val="2"/>
              </w:rPr>
            </w:pPr>
          </w:p>
          <w:p w14:paraId="56B213B6">
            <w:pPr>
              <w:pStyle w:val="19"/>
              <w:kinsoku w:val="0"/>
              <w:overflowPunct w:val="0"/>
              <w:spacing w:before="168"/>
              <w:ind w:left="99"/>
              <w:rPr>
                <w:kern w:val="2"/>
              </w:rPr>
            </w:pPr>
            <w:r>
              <w:rPr>
                <w:rFonts w:ascii="Arial Narrow" w:hAnsi="Arial Narrow" w:cs="Arial Narrow"/>
                <w:kern w:val="2"/>
              </w:rPr>
              <w:t>3</w:t>
            </w:r>
          </w:p>
        </w:tc>
        <w:tc>
          <w:tcPr>
            <w:tcW w:w="1725" w:type="dxa"/>
            <w:tcBorders>
              <w:top w:val="single" w:color="000000" w:sz="4" w:space="0"/>
              <w:left w:val="single" w:color="000000" w:sz="4" w:space="0"/>
              <w:bottom w:val="single" w:color="000000" w:sz="4" w:space="0"/>
              <w:right w:val="single" w:color="000000" w:sz="4" w:space="0"/>
            </w:tcBorders>
          </w:tcPr>
          <w:p w14:paraId="08AB2109">
            <w:pPr>
              <w:pStyle w:val="19"/>
              <w:kinsoku w:val="0"/>
              <w:overflowPunct w:val="0"/>
              <w:spacing w:before="5"/>
              <w:rPr>
                <w:rFonts w:ascii="宋体" w:eastAsia="宋体" w:cs="宋体"/>
                <w:kern w:val="2"/>
                <w:sz w:val="23"/>
                <w:szCs w:val="23"/>
              </w:rPr>
            </w:pPr>
          </w:p>
          <w:p w14:paraId="281F09AC">
            <w:pPr>
              <w:pStyle w:val="19"/>
              <w:kinsoku w:val="0"/>
              <w:overflowPunct w:val="0"/>
              <w:spacing w:line="310" w:lineRule="exact"/>
              <w:ind w:left="103" w:right="100"/>
              <w:rPr>
                <w:kern w:val="2"/>
              </w:rPr>
            </w:pPr>
            <w:r>
              <w:rPr>
                <w:rFonts w:hint="eastAsia" w:ascii="宋体" w:eastAsia="宋体" w:cs="宋体"/>
                <w:spacing w:val="11"/>
                <w:kern w:val="2"/>
              </w:rPr>
              <w:t>机械设计及自</w:t>
            </w:r>
            <w:r>
              <w:rPr>
                <w:rFonts w:hint="eastAsia" w:ascii="宋体" w:eastAsia="宋体" w:cs="宋体"/>
                <w:kern w:val="2"/>
              </w:rPr>
              <w:t>动化</w:t>
            </w:r>
          </w:p>
        </w:tc>
        <w:tc>
          <w:tcPr>
            <w:tcW w:w="1881" w:type="dxa"/>
            <w:tcBorders>
              <w:top w:val="single" w:color="000000" w:sz="4" w:space="0"/>
              <w:left w:val="single" w:color="000000" w:sz="4" w:space="0"/>
              <w:bottom w:val="single" w:color="000000" w:sz="4" w:space="0"/>
              <w:right w:val="single" w:color="000000" w:sz="4" w:space="0"/>
            </w:tcBorders>
          </w:tcPr>
          <w:p w14:paraId="49C2D630">
            <w:pPr>
              <w:pStyle w:val="19"/>
              <w:kinsoku w:val="0"/>
              <w:overflowPunct w:val="0"/>
              <w:spacing w:line="310" w:lineRule="exact"/>
              <w:ind w:left="103" w:right="99"/>
              <w:rPr>
                <w:kern w:val="2"/>
              </w:rPr>
            </w:pPr>
            <w:r>
              <w:rPr>
                <w:rFonts w:hint="eastAsia" w:ascii="宋体" w:eastAsia="宋体" w:cs="宋体"/>
                <w:kern w:val="2"/>
              </w:rPr>
              <w:t>具备机械安装</w:t>
            </w:r>
            <w:r>
              <w:rPr>
                <w:rFonts w:hint="eastAsia" w:ascii="宋体" w:eastAsia="宋体" w:cs="宋体"/>
                <w:spacing w:val="-113"/>
                <w:kern w:val="2"/>
              </w:rPr>
              <w:t xml:space="preserve"> </w:t>
            </w:r>
            <w:r>
              <w:rPr>
                <w:rFonts w:hint="eastAsia" w:ascii="宋体" w:eastAsia="宋体" w:cs="宋体"/>
                <w:kern w:val="2"/>
              </w:rPr>
              <w:t>调试能力</w:t>
            </w:r>
          </w:p>
        </w:tc>
        <w:tc>
          <w:tcPr>
            <w:tcW w:w="2410" w:type="dxa"/>
            <w:tcBorders>
              <w:top w:val="single" w:color="000000" w:sz="4" w:space="0"/>
              <w:left w:val="single" w:color="000000" w:sz="4" w:space="0"/>
              <w:bottom w:val="single" w:color="000000" w:sz="4" w:space="0"/>
              <w:right w:val="single" w:color="000000" w:sz="4" w:space="0"/>
            </w:tcBorders>
          </w:tcPr>
          <w:p w14:paraId="529FCCF2">
            <w:pPr>
              <w:pStyle w:val="19"/>
              <w:kinsoku w:val="0"/>
              <w:overflowPunct w:val="0"/>
              <w:spacing w:line="274" w:lineRule="exact"/>
              <w:ind w:left="102"/>
              <w:jc w:val="both"/>
              <w:rPr>
                <w:rFonts w:ascii="宋体" w:eastAsia="宋体" w:cs="宋体"/>
                <w:spacing w:val="13"/>
                <w:kern w:val="2"/>
              </w:rPr>
            </w:pPr>
            <w:r>
              <w:rPr>
                <w:rFonts w:hint="eastAsia" w:ascii="宋体" w:eastAsia="宋体" w:cs="宋体"/>
                <w:spacing w:val="13"/>
                <w:kern w:val="2"/>
              </w:rPr>
              <w:t>承担过液压</w:t>
            </w:r>
          </w:p>
          <w:p w14:paraId="57865420">
            <w:pPr>
              <w:pStyle w:val="19"/>
              <w:kinsoku w:val="0"/>
              <w:overflowPunct w:val="0"/>
              <w:spacing w:before="1" w:line="235" w:lineRule="auto"/>
              <w:ind w:left="102" w:right="101"/>
              <w:jc w:val="both"/>
              <w:rPr>
                <w:kern w:val="2"/>
              </w:rPr>
            </w:pPr>
            <w:r>
              <w:rPr>
                <w:rFonts w:hint="eastAsia" w:ascii="宋体" w:eastAsia="宋体" w:cs="宋体"/>
                <w:spacing w:val="13"/>
                <w:kern w:val="2"/>
              </w:rPr>
              <w:t>与气动、机械设计等教</w:t>
            </w:r>
            <w:r>
              <w:rPr>
                <w:rFonts w:hint="eastAsia" w:ascii="宋体" w:eastAsia="宋体" w:cs="宋体"/>
                <w:kern w:val="2"/>
              </w:rPr>
              <w:t xml:space="preserve"> 学任务</w:t>
            </w:r>
          </w:p>
        </w:tc>
        <w:tc>
          <w:tcPr>
            <w:tcW w:w="1701" w:type="dxa"/>
            <w:tcBorders>
              <w:top w:val="single" w:color="000000" w:sz="4" w:space="0"/>
              <w:left w:val="single" w:color="000000" w:sz="4" w:space="0"/>
              <w:bottom w:val="single" w:color="000000" w:sz="4" w:space="0"/>
              <w:right w:val="single" w:color="000000" w:sz="4" w:space="0"/>
            </w:tcBorders>
          </w:tcPr>
          <w:p w14:paraId="57564543">
            <w:pPr>
              <w:pStyle w:val="19"/>
              <w:kinsoku w:val="0"/>
              <w:overflowPunct w:val="0"/>
              <w:spacing w:before="120" w:line="235" w:lineRule="auto"/>
              <w:ind w:left="102" w:right="102"/>
              <w:jc w:val="both"/>
              <w:rPr>
                <w:kern w:val="2"/>
              </w:rPr>
            </w:pPr>
            <w:r>
              <w:rPr>
                <w:rFonts w:hint="eastAsia" w:ascii="宋体" w:eastAsia="宋体" w:cs="宋体"/>
                <w:spacing w:val="21"/>
                <w:kern w:val="2"/>
              </w:rPr>
              <w:t>副教授或高级工</w:t>
            </w:r>
            <w:r>
              <w:rPr>
                <w:rFonts w:hint="eastAsia" w:ascii="宋体" w:eastAsia="宋体" w:cs="宋体"/>
                <w:spacing w:val="-118"/>
                <w:kern w:val="2"/>
              </w:rPr>
              <w:t xml:space="preserve"> </w:t>
            </w:r>
            <w:r>
              <w:rPr>
                <w:rFonts w:hint="eastAsia" w:ascii="宋体" w:eastAsia="宋体" w:cs="宋体"/>
                <w:spacing w:val="-12"/>
                <w:kern w:val="2"/>
              </w:rPr>
              <w:t>程师（或技师）以</w:t>
            </w:r>
            <w:r>
              <w:rPr>
                <w:rFonts w:hint="eastAsia" w:ascii="宋体" w:eastAsia="宋体" w:cs="宋体"/>
                <w:spacing w:val="-114"/>
                <w:kern w:val="2"/>
              </w:rPr>
              <w:t xml:space="preserve"> </w:t>
            </w:r>
            <w:r>
              <w:rPr>
                <w:rFonts w:hint="eastAsia" w:ascii="宋体" w:eastAsia="宋体" w:cs="宋体"/>
                <w:kern w:val="2"/>
              </w:rPr>
              <w:t>上</w:t>
            </w:r>
          </w:p>
        </w:tc>
      </w:tr>
    </w:tbl>
    <w:p w14:paraId="17EC6BBF">
      <w:pPr>
        <w:pStyle w:val="5"/>
        <w:kinsoku w:val="0"/>
        <w:overflowPunct w:val="0"/>
        <w:spacing w:before="0" w:line="500" w:lineRule="exact"/>
        <w:ind w:left="0" w:firstLine="600" w:firstLineChars="200"/>
        <w:jc w:val="both"/>
      </w:pPr>
      <w:r>
        <w:rPr>
          <w:rFonts w:hint="eastAsia"/>
          <w:sz w:val="30"/>
          <w:szCs w:val="30"/>
        </w:rPr>
        <w:t>（二）评分体系</w:t>
      </w:r>
    </w:p>
    <w:p w14:paraId="63EE3E26">
      <w:pPr>
        <w:pStyle w:val="5"/>
        <w:kinsoku w:val="0"/>
        <w:overflowPunct w:val="0"/>
        <w:spacing w:before="0" w:line="500" w:lineRule="exact"/>
        <w:ind w:left="0" w:firstLine="560" w:firstLineChars="200"/>
      </w:pPr>
      <w:r>
        <w:rPr>
          <w:rFonts w:hint="eastAsia"/>
        </w:rPr>
        <w:t>比赛共4小时连续进行，评分细则如表2</w:t>
      </w:r>
      <w:r>
        <w:t>-</w:t>
      </w:r>
      <w:r>
        <w:rPr>
          <w:rFonts w:hint="eastAsia"/>
        </w:rPr>
        <w:t>表3。</w:t>
      </w:r>
      <w:r>
        <w:t xml:space="preserve"> </w:t>
      </w:r>
    </w:p>
    <w:p w14:paraId="45D327BF">
      <w:pPr>
        <w:pStyle w:val="5"/>
        <w:kinsoku w:val="0"/>
        <w:overflowPunct w:val="0"/>
        <w:spacing w:before="0" w:line="500" w:lineRule="exact"/>
        <w:ind w:left="0" w:firstLine="560" w:firstLineChars="200"/>
        <w:jc w:val="center"/>
      </w:pPr>
      <w:r>
        <w:rPr>
          <w:rFonts w:hint="eastAsia"/>
        </w:rPr>
        <w:t>表</w:t>
      </w:r>
      <w:r>
        <w:t xml:space="preserve"> 2 </w:t>
      </w:r>
      <w:r>
        <w:rPr>
          <w:rFonts w:hint="eastAsia"/>
        </w:rPr>
        <w:t>评分细则（备注：正式比赛中，任务可能有调整）</w:t>
      </w:r>
    </w:p>
    <w:tbl>
      <w:tblPr>
        <w:tblStyle w:val="8"/>
        <w:tblW w:w="7759" w:type="dxa"/>
        <w:tblInd w:w="252" w:type="dxa"/>
        <w:tblLayout w:type="fixed"/>
        <w:tblCellMar>
          <w:top w:w="0" w:type="dxa"/>
          <w:left w:w="0" w:type="dxa"/>
          <w:bottom w:w="0" w:type="dxa"/>
          <w:right w:w="0" w:type="dxa"/>
        </w:tblCellMar>
      </w:tblPr>
      <w:tblGrid>
        <w:gridCol w:w="1330"/>
        <w:gridCol w:w="1194"/>
        <w:gridCol w:w="2066"/>
        <w:gridCol w:w="1701"/>
        <w:gridCol w:w="1468"/>
      </w:tblGrid>
      <w:tr w14:paraId="788F1F75">
        <w:tblPrEx>
          <w:tblCellMar>
            <w:top w:w="0" w:type="dxa"/>
            <w:left w:w="0" w:type="dxa"/>
            <w:bottom w:w="0" w:type="dxa"/>
            <w:right w:w="0" w:type="dxa"/>
          </w:tblCellMar>
        </w:tblPrEx>
        <w:trPr>
          <w:trHeight w:val="471" w:hRule="exact"/>
        </w:trPr>
        <w:tc>
          <w:tcPr>
            <w:tcW w:w="1330" w:type="dxa"/>
            <w:tcBorders>
              <w:top w:val="single" w:color="000000" w:sz="4" w:space="0"/>
              <w:left w:val="single" w:color="000000" w:sz="4" w:space="0"/>
              <w:bottom w:val="single" w:color="000000" w:sz="4" w:space="0"/>
              <w:right w:val="single" w:color="000000" w:sz="4" w:space="0"/>
            </w:tcBorders>
          </w:tcPr>
          <w:p w14:paraId="72D33E2B">
            <w:pPr>
              <w:pStyle w:val="19"/>
              <w:kinsoku w:val="0"/>
              <w:overflowPunct w:val="0"/>
              <w:spacing w:line="375" w:lineRule="exact"/>
              <w:ind w:left="103"/>
              <w:rPr>
                <w:kern w:val="2"/>
              </w:rPr>
            </w:pPr>
            <w:r>
              <w:rPr>
                <w:rFonts w:hint="eastAsia" w:ascii="Microsoft JhengHei" w:eastAsia="Microsoft JhengHei" w:cs="Microsoft JhengHei"/>
                <w:b/>
                <w:bCs/>
                <w:kern w:val="2"/>
              </w:rPr>
              <w:t>比赛内容</w:t>
            </w:r>
          </w:p>
        </w:tc>
        <w:tc>
          <w:tcPr>
            <w:tcW w:w="1194" w:type="dxa"/>
            <w:tcBorders>
              <w:top w:val="single" w:color="000000" w:sz="4" w:space="0"/>
              <w:left w:val="single" w:color="000000" w:sz="4" w:space="0"/>
              <w:bottom w:val="single" w:color="000000" w:sz="4" w:space="0"/>
              <w:right w:val="single" w:color="000000" w:sz="4" w:space="0"/>
            </w:tcBorders>
          </w:tcPr>
          <w:p w14:paraId="2D04E7A4">
            <w:pPr>
              <w:pStyle w:val="19"/>
              <w:kinsoku w:val="0"/>
              <w:overflowPunct w:val="0"/>
              <w:spacing w:line="375" w:lineRule="exact"/>
              <w:ind w:left="110"/>
              <w:rPr>
                <w:kern w:val="2"/>
              </w:rPr>
            </w:pPr>
            <w:r>
              <w:rPr>
                <w:rFonts w:hint="eastAsia" w:ascii="Microsoft JhengHei" w:eastAsia="Microsoft JhengHei" w:cs="Microsoft JhengHei"/>
                <w:b/>
                <w:bCs/>
                <w:kern w:val="2"/>
              </w:rPr>
              <w:t>分值</w:t>
            </w:r>
          </w:p>
        </w:tc>
        <w:tc>
          <w:tcPr>
            <w:tcW w:w="2066" w:type="dxa"/>
            <w:tcBorders>
              <w:top w:val="single" w:color="000000" w:sz="4" w:space="0"/>
              <w:left w:val="single" w:color="000000" w:sz="4" w:space="0"/>
              <w:bottom w:val="single" w:color="000000" w:sz="4" w:space="0"/>
              <w:right w:val="single" w:color="000000" w:sz="4" w:space="0"/>
            </w:tcBorders>
          </w:tcPr>
          <w:p w14:paraId="30374756">
            <w:pPr>
              <w:pStyle w:val="19"/>
              <w:kinsoku w:val="0"/>
              <w:overflowPunct w:val="0"/>
              <w:spacing w:line="375" w:lineRule="exact"/>
              <w:ind w:left="790"/>
              <w:rPr>
                <w:kern w:val="2"/>
              </w:rPr>
            </w:pPr>
            <w:r>
              <w:rPr>
                <w:rFonts w:hint="eastAsia" w:ascii="Microsoft JhengHei" w:eastAsia="Microsoft JhengHei" w:cs="Microsoft JhengHei"/>
                <w:b/>
                <w:bCs/>
                <w:kern w:val="2"/>
              </w:rPr>
              <w:t>评分方法</w:t>
            </w:r>
          </w:p>
        </w:tc>
        <w:tc>
          <w:tcPr>
            <w:tcW w:w="1701" w:type="dxa"/>
            <w:tcBorders>
              <w:top w:val="single" w:color="000000" w:sz="4" w:space="0"/>
              <w:left w:val="single" w:color="000000" w:sz="4" w:space="0"/>
              <w:bottom w:val="single" w:color="000000" w:sz="4" w:space="0"/>
              <w:right w:val="single" w:color="000000" w:sz="4" w:space="0"/>
            </w:tcBorders>
          </w:tcPr>
          <w:p w14:paraId="53B87007">
            <w:pPr>
              <w:pStyle w:val="19"/>
              <w:kinsoku w:val="0"/>
              <w:overflowPunct w:val="0"/>
              <w:spacing w:line="375" w:lineRule="exact"/>
              <w:ind w:left="366"/>
              <w:rPr>
                <w:kern w:val="2"/>
              </w:rPr>
            </w:pPr>
            <w:r>
              <w:rPr>
                <w:rFonts w:hint="eastAsia" w:ascii="Microsoft JhengHei" w:eastAsia="Microsoft JhengHei" w:cs="Microsoft JhengHei"/>
                <w:b/>
                <w:bCs/>
                <w:kern w:val="2"/>
              </w:rPr>
              <w:t>审核方法</w:t>
            </w:r>
          </w:p>
        </w:tc>
        <w:tc>
          <w:tcPr>
            <w:tcW w:w="1468" w:type="dxa"/>
            <w:tcBorders>
              <w:top w:val="single" w:color="000000" w:sz="4" w:space="0"/>
              <w:left w:val="single" w:color="000000" w:sz="4" w:space="0"/>
              <w:bottom w:val="single" w:color="000000" w:sz="4" w:space="0"/>
              <w:right w:val="single" w:color="000000" w:sz="4" w:space="0"/>
            </w:tcBorders>
          </w:tcPr>
          <w:p w14:paraId="65AEA8D0">
            <w:pPr>
              <w:pStyle w:val="19"/>
              <w:kinsoku w:val="0"/>
              <w:overflowPunct w:val="0"/>
              <w:spacing w:line="375" w:lineRule="exact"/>
              <w:ind w:left="249"/>
              <w:rPr>
                <w:kern w:val="2"/>
              </w:rPr>
            </w:pPr>
            <w:r>
              <w:rPr>
                <w:rFonts w:hint="eastAsia" w:ascii="Microsoft JhengHei" w:eastAsia="Microsoft JhengHei" w:cs="Microsoft JhengHei"/>
                <w:b/>
                <w:bCs/>
                <w:kern w:val="2"/>
              </w:rPr>
              <w:t>公布方法</w:t>
            </w:r>
          </w:p>
        </w:tc>
      </w:tr>
      <w:tr w14:paraId="0C924461">
        <w:tblPrEx>
          <w:tblCellMar>
            <w:top w:w="0" w:type="dxa"/>
            <w:left w:w="0" w:type="dxa"/>
            <w:bottom w:w="0" w:type="dxa"/>
            <w:right w:w="0" w:type="dxa"/>
          </w:tblCellMar>
        </w:tblPrEx>
        <w:trPr>
          <w:trHeight w:val="400" w:hRule="atLeast"/>
        </w:trPr>
        <w:tc>
          <w:tcPr>
            <w:tcW w:w="1330" w:type="dxa"/>
            <w:tcBorders>
              <w:top w:val="single" w:color="000000" w:sz="4" w:space="0"/>
              <w:left w:val="single" w:color="000000" w:sz="4" w:space="0"/>
              <w:bottom w:val="single" w:color="000000" w:sz="4" w:space="0"/>
              <w:right w:val="single" w:color="000000" w:sz="4" w:space="0"/>
            </w:tcBorders>
          </w:tcPr>
          <w:p w14:paraId="4F93DAC1">
            <w:pPr>
              <w:pStyle w:val="19"/>
              <w:kinsoku w:val="0"/>
              <w:overflowPunct w:val="0"/>
              <w:spacing w:line="311" w:lineRule="exact"/>
              <w:ind w:left="300"/>
              <w:rPr>
                <w:kern w:val="2"/>
              </w:rPr>
            </w:pPr>
            <w:r>
              <w:rPr>
                <w:rFonts w:hint="eastAsia" w:ascii="宋体" w:eastAsia="宋体" w:cs="宋体"/>
                <w:kern w:val="2"/>
              </w:rPr>
              <w:t>任务一</w:t>
            </w:r>
          </w:p>
        </w:tc>
        <w:tc>
          <w:tcPr>
            <w:tcW w:w="1194" w:type="dxa"/>
            <w:tcBorders>
              <w:top w:val="single" w:color="000000" w:sz="4" w:space="0"/>
              <w:left w:val="single" w:color="000000" w:sz="4" w:space="0"/>
              <w:bottom w:val="single" w:color="000000" w:sz="4" w:space="0"/>
              <w:right w:val="single" w:color="000000" w:sz="4" w:space="0"/>
            </w:tcBorders>
          </w:tcPr>
          <w:p w14:paraId="763C0DD4">
            <w:pPr>
              <w:pStyle w:val="19"/>
              <w:kinsoku w:val="0"/>
              <w:overflowPunct w:val="0"/>
              <w:spacing w:line="311" w:lineRule="exact"/>
              <w:ind w:left="230"/>
              <w:rPr>
                <w:kern w:val="2"/>
              </w:rPr>
            </w:pPr>
            <w:r>
              <w:rPr>
                <w:rFonts w:ascii="宋体" w:eastAsia="宋体" w:cs="宋体"/>
                <w:kern w:val="2"/>
              </w:rPr>
              <w:t>15</w:t>
            </w:r>
          </w:p>
        </w:tc>
        <w:tc>
          <w:tcPr>
            <w:tcW w:w="2066" w:type="dxa"/>
            <w:vMerge w:val="restart"/>
            <w:tcBorders>
              <w:top w:val="single" w:color="000000" w:sz="4" w:space="0"/>
              <w:left w:val="single" w:color="000000" w:sz="4" w:space="0"/>
              <w:right w:val="single" w:color="000000" w:sz="4" w:space="0"/>
            </w:tcBorders>
            <w:vAlign w:val="center"/>
          </w:tcPr>
          <w:p w14:paraId="78EB778C">
            <w:pPr>
              <w:pStyle w:val="19"/>
              <w:kinsoku w:val="0"/>
              <w:overflowPunct w:val="0"/>
              <w:ind w:left="101"/>
              <w:rPr>
                <w:kern w:val="2"/>
              </w:rPr>
            </w:pPr>
            <w:r>
              <w:rPr>
                <w:rFonts w:hint="eastAsia" w:ascii="宋体" w:eastAsia="宋体" w:cs="宋体"/>
                <w:kern w:val="2"/>
              </w:rPr>
              <w:t>现场根据评分表评分</w:t>
            </w:r>
          </w:p>
        </w:tc>
        <w:tc>
          <w:tcPr>
            <w:tcW w:w="1701" w:type="dxa"/>
            <w:vMerge w:val="restart"/>
            <w:tcBorders>
              <w:top w:val="single" w:color="000000" w:sz="4" w:space="0"/>
              <w:left w:val="single" w:color="000000" w:sz="4" w:space="0"/>
              <w:right w:val="single" w:color="000000" w:sz="4" w:space="0"/>
            </w:tcBorders>
            <w:vAlign w:val="center"/>
          </w:tcPr>
          <w:p w14:paraId="7C5627AC">
            <w:pPr>
              <w:pStyle w:val="19"/>
              <w:kinsoku w:val="0"/>
              <w:overflowPunct w:val="0"/>
              <w:spacing w:before="163" w:line="312" w:lineRule="exact"/>
              <w:ind w:left="102" w:right="147"/>
              <w:jc w:val="both"/>
              <w:rPr>
                <w:kern w:val="2"/>
              </w:rPr>
            </w:pPr>
            <w:r>
              <w:rPr>
                <w:rFonts w:hint="eastAsia" w:ascii="宋体" w:eastAsia="宋体" w:cs="宋体"/>
                <w:kern w:val="2"/>
              </w:rPr>
              <w:t>参赛选手、现 场评分裁判、 监督仲裁签字</w:t>
            </w:r>
          </w:p>
        </w:tc>
        <w:tc>
          <w:tcPr>
            <w:tcW w:w="1468" w:type="dxa"/>
            <w:vMerge w:val="restart"/>
            <w:tcBorders>
              <w:top w:val="single" w:color="000000" w:sz="4" w:space="0"/>
              <w:left w:val="single" w:color="000000" w:sz="4" w:space="0"/>
              <w:right w:val="single" w:color="000000" w:sz="4" w:space="0"/>
            </w:tcBorders>
            <w:vAlign w:val="center"/>
          </w:tcPr>
          <w:p w14:paraId="103CEE65">
            <w:pPr>
              <w:pStyle w:val="19"/>
              <w:kinsoku w:val="0"/>
              <w:overflowPunct w:val="0"/>
              <w:spacing w:line="312" w:lineRule="exact"/>
              <w:ind w:left="489" w:right="127" w:hanging="360"/>
              <w:rPr>
                <w:kern w:val="2"/>
              </w:rPr>
            </w:pPr>
            <w:r>
              <w:rPr>
                <w:rFonts w:hint="eastAsia" w:ascii="宋体" w:eastAsia="宋体" w:cs="宋体"/>
                <w:kern w:val="2"/>
              </w:rPr>
              <w:t>赛项执委会 公布</w:t>
            </w:r>
          </w:p>
        </w:tc>
      </w:tr>
      <w:tr w14:paraId="019371EF">
        <w:tblPrEx>
          <w:tblCellMar>
            <w:top w:w="0" w:type="dxa"/>
            <w:left w:w="0" w:type="dxa"/>
            <w:bottom w:w="0" w:type="dxa"/>
            <w:right w:w="0" w:type="dxa"/>
          </w:tblCellMar>
        </w:tblPrEx>
        <w:trPr>
          <w:trHeight w:val="399" w:hRule="exact"/>
        </w:trPr>
        <w:tc>
          <w:tcPr>
            <w:tcW w:w="1330" w:type="dxa"/>
            <w:tcBorders>
              <w:top w:val="single" w:color="000000" w:sz="4" w:space="0"/>
              <w:left w:val="single" w:color="000000" w:sz="4" w:space="0"/>
              <w:bottom w:val="single" w:color="000000" w:sz="4" w:space="0"/>
              <w:right w:val="single" w:color="000000" w:sz="4" w:space="0"/>
            </w:tcBorders>
          </w:tcPr>
          <w:p w14:paraId="15681502">
            <w:pPr>
              <w:pStyle w:val="19"/>
              <w:kinsoku w:val="0"/>
              <w:overflowPunct w:val="0"/>
              <w:spacing w:line="312" w:lineRule="exact"/>
              <w:ind w:left="300"/>
              <w:rPr>
                <w:kern w:val="2"/>
              </w:rPr>
            </w:pPr>
            <w:r>
              <w:rPr>
                <w:rFonts w:hint="eastAsia" w:ascii="宋体" w:eastAsia="宋体" w:cs="宋体"/>
                <w:kern w:val="2"/>
              </w:rPr>
              <w:t>任务二</w:t>
            </w:r>
          </w:p>
        </w:tc>
        <w:tc>
          <w:tcPr>
            <w:tcW w:w="1194" w:type="dxa"/>
            <w:tcBorders>
              <w:top w:val="single" w:color="000000" w:sz="4" w:space="0"/>
              <w:left w:val="single" w:color="000000" w:sz="4" w:space="0"/>
              <w:bottom w:val="single" w:color="000000" w:sz="4" w:space="0"/>
              <w:right w:val="single" w:color="000000" w:sz="4" w:space="0"/>
            </w:tcBorders>
          </w:tcPr>
          <w:p w14:paraId="54FABB5A">
            <w:pPr>
              <w:pStyle w:val="19"/>
              <w:kinsoku w:val="0"/>
              <w:overflowPunct w:val="0"/>
              <w:spacing w:line="312" w:lineRule="exact"/>
              <w:ind w:left="230"/>
              <w:rPr>
                <w:kern w:val="2"/>
              </w:rPr>
            </w:pPr>
            <w:r>
              <w:rPr>
                <w:rFonts w:ascii="宋体" w:eastAsia="宋体" w:cs="宋体"/>
                <w:kern w:val="2"/>
              </w:rPr>
              <w:t>10</w:t>
            </w:r>
          </w:p>
        </w:tc>
        <w:tc>
          <w:tcPr>
            <w:tcW w:w="2066" w:type="dxa"/>
            <w:vMerge w:val="continue"/>
            <w:tcBorders>
              <w:left w:val="single" w:color="000000" w:sz="4" w:space="0"/>
              <w:right w:val="single" w:color="000000" w:sz="4" w:space="0"/>
            </w:tcBorders>
            <w:vAlign w:val="center"/>
          </w:tcPr>
          <w:p w14:paraId="31F24C6E">
            <w:pPr>
              <w:widowControl/>
              <w:rPr>
                <w:rFonts w:ascii="Times New Roman" w:hAnsi="Times New Roman"/>
                <w:sz w:val="24"/>
                <w:szCs w:val="24"/>
              </w:rPr>
            </w:pPr>
          </w:p>
        </w:tc>
        <w:tc>
          <w:tcPr>
            <w:tcW w:w="1701" w:type="dxa"/>
            <w:vMerge w:val="continue"/>
            <w:tcBorders>
              <w:left w:val="single" w:color="000000" w:sz="4" w:space="0"/>
              <w:right w:val="single" w:color="000000" w:sz="4" w:space="0"/>
            </w:tcBorders>
            <w:vAlign w:val="center"/>
          </w:tcPr>
          <w:p w14:paraId="376ADE8B">
            <w:pPr>
              <w:widowControl/>
              <w:rPr>
                <w:rFonts w:ascii="Times New Roman" w:hAnsi="Times New Roman"/>
                <w:sz w:val="24"/>
                <w:szCs w:val="24"/>
              </w:rPr>
            </w:pPr>
          </w:p>
        </w:tc>
        <w:tc>
          <w:tcPr>
            <w:tcW w:w="1468" w:type="dxa"/>
            <w:vMerge w:val="continue"/>
            <w:tcBorders>
              <w:left w:val="single" w:color="000000" w:sz="4" w:space="0"/>
              <w:right w:val="single" w:color="000000" w:sz="4" w:space="0"/>
            </w:tcBorders>
            <w:vAlign w:val="center"/>
          </w:tcPr>
          <w:p w14:paraId="19E85862">
            <w:pPr>
              <w:widowControl/>
              <w:rPr>
                <w:rFonts w:ascii="Times New Roman" w:hAnsi="Times New Roman"/>
                <w:sz w:val="24"/>
                <w:szCs w:val="24"/>
              </w:rPr>
            </w:pPr>
          </w:p>
        </w:tc>
      </w:tr>
      <w:tr w14:paraId="50632FAE">
        <w:tblPrEx>
          <w:tblCellMar>
            <w:top w:w="0" w:type="dxa"/>
            <w:left w:w="0" w:type="dxa"/>
            <w:bottom w:w="0" w:type="dxa"/>
            <w:right w:w="0" w:type="dxa"/>
          </w:tblCellMar>
        </w:tblPrEx>
        <w:trPr>
          <w:trHeight w:val="399" w:hRule="exact"/>
        </w:trPr>
        <w:tc>
          <w:tcPr>
            <w:tcW w:w="1330" w:type="dxa"/>
            <w:tcBorders>
              <w:top w:val="single" w:color="000000" w:sz="4" w:space="0"/>
              <w:left w:val="single" w:color="000000" w:sz="4" w:space="0"/>
              <w:bottom w:val="single" w:color="000000" w:sz="4" w:space="0"/>
              <w:right w:val="single" w:color="000000" w:sz="4" w:space="0"/>
            </w:tcBorders>
          </w:tcPr>
          <w:p w14:paraId="1694FC3C">
            <w:pPr>
              <w:pStyle w:val="19"/>
              <w:kinsoku w:val="0"/>
              <w:overflowPunct w:val="0"/>
              <w:spacing w:line="312" w:lineRule="exact"/>
              <w:ind w:left="300"/>
              <w:rPr>
                <w:kern w:val="2"/>
              </w:rPr>
            </w:pPr>
            <w:r>
              <w:rPr>
                <w:rFonts w:hint="eastAsia" w:ascii="宋体" w:eastAsia="宋体" w:cs="宋体"/>
                <w:kern w:val="2"/>
              </w:rPr>
              <w:t>任务三</w:t>
            </w:r>
          </w:p>
        </w:tc>
        <w:tc>
          <w:tcPr>
            <w:tcW w:w="1194" w:type="dxa"/>
            <w:tcBorders>
              <w:top w:val="single" w:color="000000" w:sz="4" w:space="0"/>
              <w:left w:val="single" w:color="000000" w:sz="4" w:space="0"/>
              <w:bottom w:val="single" w:color="000000" w:sz="4" w:space="0"/>
              <w:right w:val="single" w:color="000000" w:sz="4" w:space="0"/>
            </w:tcBorders>
          </w:tcPr>
          <w:p w14:paraId="6C9D3C55">
            <w:pPr>
              <w:pStyle w:val="19"/>
              <w:kinsoku w:val="0"/>
              <w:overflowPunct w:val="0"/>
              <w:spacing w:line="312" w:lineRule="exact"/>
              <w:ind w:left="230"/>
              <w:rPr>
                <w:rFonts w:hint="eastAsia"/>
                <w:kern w:val="2"/>
              </w:rPr>
            </w:pPr>
            <w:r>
              <w:rPr>
                <w:rFonts w:hint="eastAsia" w:ascii="宋体" w:eastAsia="宋体" w:cs="宋体"/>
                <w:kern w:val="2"/>
              </w:rPr>
              <w:t>30</w:t>
            </w:r>
          </w:p>
        </w:tc>
        <w:tc>
          <w:tcPr>
            <w:tcW w:w="2066" w:type="dxa"/>
            <w:vMerge w:val="continue"/>
            <w:tcBorders>
              <w:left w:val="single" w:color="000000" w:sz="4" w:space="0"/>
              <w:right w:val="single" w:color="000000" w:sz="4" w:space="0"/>
            </w:tcBorders>
            <w:vAlign w:val="center"/>
          </w:tcPr>
          <w:p w14:paraId="672089B7">
            <w:pPr>
              <w:widowControl/>
              <w:rPr>
                <w:rFonts w:ascii="Times New Roman" w:hAnsi="Times New Roman"/>
                <w:sz w:val="24"/>
                <w:szCs w:val="24"/>
              </w:rPr>
            </w:pPr>
          </w:p>
        </w:tc>
        <w:tc>
          <w:tcPr>
            <w:tcW w:w="1701" w:type="dxa"/>
            <w:vMerge w:val="continue"/>
            <w:tcBorders>
              <w:left w:val="single" w:color="000000" w:sz="4" w:space="0"/>
              <w:right w:val="single" w:color="000000" w:sz="4" w:space="0"/>
            </w:tcBorders>
            <w:vAlign w:val="center"/>
          </w:tcPr>
          <w:p w14:paraId="66502B3D">
            <w:pPr>
              <w:widowControl/>
              <w:rPr>
                <w:rFonts w:ascii="Times New Roman" w:hAnsi="Times New Roman"/>
                <w:sz w:val="24"/>
                <w:szCs w:val="24"/>
              </w:rPr>
            </w:pPr>
          </w:p>
        </w:tc>
        <w:tc>
          <w:tcPr>
            <w:tcW w:w="1468" w:type="dxa"/>
            <w:vMerge w:val="continue"/>
            <w:tcBorders>
              <w:left w:val="single" w:color="000000" w:sz="4" w:space="0"/>
              <w:right w:val="single" w:color="000000" w:sz="4" w:space="0"/>
            </w:tcBorders>
            <w:vAlign w:val="center"/>
          </w:tcPr>
          <w:p w14:paraId="2C97A35F">
            <w:pPr>
              <w:widowControl/>
              <w:rPr>
                <w:rFonts w:ascii="Times New Roman" w:hAnsi="Times New Roman"/>
                <w:sz w:val="24"/>
                <w:szCs w:val="24"/>
              </w:rPr>
            </w:pPr>
          </w:p>
        </w:tc>
      </w:tr>
      <w:tr w14:paraId="11B4CE3E">
        <w:tblPrEx>
          <w:tblCellMar>
            <w:top w:w="0" w:type="dxa"/>
            <w:left w:w="0" w:type="dxa"/>
            <w:bottom w:w="0" w:type="dxa"/>
            <w:right w:w="0" w:type="dxa"/>
          </w:tblCellMar>
        </w:tblPrEx>
        <w:trPr>
          <w:trHeight w:val="399" w:hRule="exact"/>
        </w:trPr>
        <w:tc>
          <w:tcPr>
            <w:tcW w:w="1330" w:type="dxa"/>
            <w:tcBorders>
              <w:top w:val="single" w:color="000000" w:sz="4" w:space="0"/>
              <w:left w:val="single" w:color="000000" w:sz="4" w:space="0"/>
              <w:bottom w:val="single" w:color="000000" w:sz="4" w:space="0"/>
              <w:right w:val="single" w:color="000000" w:sz="4" w:space="0"/>
            </w:tcBorders>
          </w:tcPr>
          <w:p w14:paraId="2721EDD6">
            <w:pPr>
              <w:pStyle w:val="19"/>
              <w:kinsoku w:val="0"/>
              <w:overflowPunct w:val="0"/>
              <w:spacing w:line="311" w:lineRule="exact"/>
              <w:ind w:left="300"/>
              <w:rPr>
                <w:kern w:val="2"/>
              </w:rPr>
            </w:pPr>
            <w:r>
              <w:rPr>
                <w:rFonts w:hint="eastAsia" w:ascii="宋体" w:eastAsia="宋体" w:cs="宋体"/>
                <w:kern w:val="2"/>
              </w:rPr>
              <w:t>任务四</w:t>
            </w:r>
          </w:p>
        </w:tc>
        <w:tc>
          <w:tcPr>
            <w:tcW w:w="1194" w:type="dxa"/>
            <w:tcBorders>
              <w:top w:val="single" w:color="000000" w:sz="4" w:space="0"/>
              <w:left w:val="single" w:color="000000" w:sz="4" w:space="0"/>
              <w:bottom w:val="single" w:color="000000" w:sz="4" w:space="0"/>
              <w:right w:val="single" w:color="000000" w:sz="4" w:space="0"/>
            </w:tcBorders>
          </w:tcPr>
          <w:p w14:paraId="5BADFE10">
            <w:pPr>
              <w:pStyle w:val="19"/>
              <w:kinsoku w:val="0"/>
              <w:overflowPunct w:val="0"/>
              <w:spacing w:line="311" w:lineRule="exact"/>
              <w:ind w:left="230"/>
              <w:rPr>
                <w:kern w:val="2"/>
              </w:rPr>
            </w:pPr>
            <w:r>
              <w:rPr>
                <w:rFonts w:ascii="宋体" w:eastAsia="宋体" w:cs="宋体"/>
                <w:kern w:val="2"/>
              </w:rPr>
              <w:t>10</w:t>
            </w:r>
          </w:p>
        </w:tc>
        <w:tc>
          <w:tcPr>
            <w:tcW w:w="2066" w:type="dxa"/>
            <w:vMerge w:val="continue"/>
            <w:tcBorders>
              <w:left w:val="single" w:color="000000" w:sz="4" w:space="0"/>
              <w:right w:val="single" w:color="000000" w:sz="4" w:space="0"/>
            </w:tcBorders>
            <w:vAlign w:val="center"/>
          </w:tcPr>
          <w:p w14:paraId="3CF8850D">
            <w:pPr>
              <w:widowControl/>
              <w:rPr>
                <w:rFonts w:ascii="Times New Roman" w:hAnsi="Times New Roman"/>
                <w:sz w:val="24"/>
                <w:szCs w:val="24"/>
              </w:rPr>
            </w:pPr>
          </w:p>
        </w:tc>
        <w:tc>
          <w:tcPr>
            <w:tcW w:w="1701" w:type="dxa"/>
            <w:vMerge w:val="continue"/>
            <w:tcBorders>
              <w:left w:val="single" w:color="000000" w:sz="4" w:space="0"/>
              <w:right w:val="single" w:color="000000" w:sz="4" w:space="0"/>
            </w:tcBorders>
            <w:vAlign w:val="center"/>
          </w:tcPr>
          <w:p w14:paraId="25152A60">
            <w:pPr>
              <w:widowControl/>
              <w:rPr>
                <w:rFonts w:ascii="Times New Roman" w:hAnsi="Times New Roman"/>
                <w:sz w:val="24"/>
                <w:szCs w:val="24"/>
              </w:rPr>
            </w:pPr>
          </w:p>
        </w:tc>
        <w:tc>
          <w:tcPr>
            <w:tcW w:w="1468" w:type="dxa"/>
            <w:vMerge w:val="continue"/>
            <w:tcBorders>
              <w:left w:val="single" w:color="000000" w:sz="4" w:space="0"/>
              <w:right w:val="single" w:color="000000" w:sz="4" w:space="0"/>
            </w:tcBorders>
            <w:vAlign w:val="center"/>
          </w:tcPr>
          <w:p w14:paraId="380778DF">
            <w:pPr>
              <w:widowControl/>
              <w:rPr>
                <w:rFonts w:ascii="Times New Roman" w:hAnsi="Times New Roman"/>
                <w:sz w:val="24"/>
                <w:szCs w:val="24"/>
              </w:rPr>
            </w:pPr>
          </w:p>
        </w:tc>
      </w:tr>
      <w:tr w14:paraId="47FCD949">
        <w:tblPrEx>
          <w:tblCellMar>
            <w:top w:w="0" w:type="dxa"/>
            <w:left w:w="0" w:type="dxa"/>
            <w:bottom w:w="0" w:type="dxa"/>
            <w:right w:w="0" w:type="dxa"/>
          </w:tblCellMar>
        </w:tblPrEx>
        <w:trPr>
          <w:trHeight w:val="322" w:hRule="exact"/>
        </w:trPr>
        <w:tc>
          <w:tcPr>
            <w:tcW w:w="1330" w:type="dxa"/>
            <w:tcBorders>
              <w:top w:val="single" w:color="000000" w:sz="4" w:space="0"/>
              <w:left w:val="single" w:color="000000" w:sz="4" w:space="0"/>
              <w:bottom w:val="single" w:color="000000" w:sz="4" w:space="0"/>
              <w:right w:val="single" w:color="000000" w:sz="4" w:space="0"/>
            </w:tcBorders>
          </w:tcPr>
          <w:p w14:paraId="4CE63D5C">
            <w:pPr>
              <w:pStyle w:val="19"/>
              <w:kinsoku w:val="0"/>
              <w:overflowPunct w:val="0"/>
              <w:spacing w:line="274" w:lineRule="exact"/>
              <w:ind w:left="300"/>
              <w:rPr>
                <w:kern w:val="2"/>
              </w:rPr>
            </w:pPr>
            <w:r>
              <w:rPr>
                <w:rFonts w:hint="eastAsia" w:ascii="宋体" w:eastAsia="宋体" w:cs="宋体"/>
                <w:kern w:val="2"/>
              </w:rPr>
              <w:t>任务五</w:t>
            </w:r>
          </w:p>
        </w:tc>
        <w:tc>
          <w:tcPr>
            <w:tcW w:w="1194" w:type="dxa"/>
            <w:tcBorders>
              <w:top w:val="single" w:color="000000" w:sz="4" w:space="0"/>
              <w:left w:val="single" w:color="000000" w:sz="4" w:space="0"/>
              <w:bottom w:val="single" w:color="000000" w:sz="4" w:space="0"/>
              <w:right w:val="single" w:color="000000" w:sz="4" w:space="0"/>
            </w:tcBorders>
          </w:tcPr>
          <w:p w14:paraId="37CCC452">
            <w:pPr>
              <w:pStyle w:val="19"/>
              <w:kinsoku w:val="0"/>
              <w:overflowPunct w:val="0"/>
              <w:spacing w:line="274" w:lineRule="exact"/>
              <w:ind w:left="230"/>
              <w:rPr>
                <w:rFonts w:hint="eastAsia"/>
                <w:kern w:val="2"/>
              </w:rPr>
            </w:pPr>
            <w:r>
              <w:rPr>
                <w:rFonts w:hint="eastAsia" w:ascii="宋体" w:eastAsia="宋体" w:cs="宋体"/>
                <w:kern w:val="2"/>
              </w:rPr>
              <w:t>15</w:t>
            </w:r>
          </w:p>
        </w:tc>
        <w:tc>
          <w:tcPr>
            <w:tcW w:w="2066" w:type="dxa"/>
            <w:vMerge w:val="continue"/>
            <w:tcBorders>
              <w:left w:val="single" w:color="000000" w:sz="4" w:space="0"/>
              <w:right w:val="single" w:color="000000" w:sz="4" w:space="0"/>
            </w:tcBorders>
            <w:vAlign w:val="center"/>
          </w:tcPr>
          <w:p w14:paraId="459445B8">
            <w:pPr>
              <w:widowControl/>
              <w:rPr>
                <w:rFonts w:ascii="Times New Roman" w:hAnsi="Times New Roman"/>
                <w:sz w:val="24"/>
                <w:szCs w:val="24"/>
              </w:rPr>
            </w:pPr>
          </w:p>
        </w:tc>
        <w:tc>
          <w:tcPr>
            <w:tcW w:w="1701" w:type="dxa"/>
            <w:vMerge w:val="continue"/>
            <w:tcBorders>
              <w:left w:val="single" w:color="000000" w:sz="4" w:space="0"/>
              <w:right w:val="single" w:color="000000" w:sz="4" w:space="0"/>
            </w:tcBorders>
            <w:vAlign w:val="center"/>
          </w:tcPr>
          <w:p w14:paraId="64438C11">
            <w:pPr>
              <w:widowControl/>
              <w:rPr>
                <w:rFonts w:ascii="Times New Roman" w:hAnsi="Times New Roman"/>
                <w:sz w:val="24"/>
                <w:szCs w:val="24"/>
              </w:rPr>
            </w:pPr>
          </w:p>
        </w:tc>
        <w:tc>
          <w:tcPr>
            <w:tcW w:w="1468" w:type="dxa"/>
            <w:vMerge w:val="continue"/>
            <w:tcBorders>
              <w:left w:val="single" w:color="000000" w:sz="4" w:space="0"/>
              <w:right w:val="single" w:color="000000" w:sz="4" w:space="0"/>
            </w:tcBorders>
            <w:vAlign w:val="center"/>
          </w:tcPr>
          <w:p w14:paraId="0E615B6B">
            <w:pPr>
              <w:widowControl/>
              <w:rPr>
                <w:rFonts w:ascii="Times New Roman" w:hAnsi="Times New Roman"/>
                <w:sz w:val="24"/>
                <w:szCs w:val="24"/>
              </w:rPr>
            </w:pPr>
          </w:p>
        </w:tc>
      </w:tr>
      <w:tr w14:paraId="29BCFA41">
        <w:tblPrEx>
          <w:tblCellMar>
            <w:top w:w="0" w:type="dxa"/>
            <w:left w:w="0" w:type="dxa"/>
            <w:bottom w:w="0" w:type="dxa"/>
            <w:right w:w="0" w:type="dxa"/>
          </w:tblCellMar>
        </w:tblPrEx>
        <w:trPr>
          <w:trHeight w:val="322" w:hRule="exact"/>
        </w:trPr>
        <w:tc>
          <w:tcPr>
            <w:tcW w:w="1330" w:type="dxa"/>
            <w:tcBorders>
              <w:top w:val="single" w:color="000000" w:sz="4" w:space="0"/>
              <w:left w:val="single" w:color="000000" w:sz="4" w:space="0"/>
              <w:bottom w:val="single" w:color="000000" w:sz="4" w:space="0"/>
              <w:right w:val="single" w:color="000000" w:sz="4" w:space="0"/>
            </w:tcBorders>
          </w:tcPr>
          <w:p w14:paraId="62F6C41B">
            <w:pPr>
              <w:pStyle w:val="19"/>
              <w:kinsoku w:val="0"/>
              <w:overflowPunct w:val="0"/>
              <w:spacing w:line="274" w:lineRule="exact"/>
              <w:ind w:left="300"/>
              <w:rPr>
                <w:kern w:val="2"/>
              </w:rPr>
            </w:pPr>
            <w:r>
              <w:rPr>
                <w:rFonts w:hint="eastAsia" w:ascii="宋体" w:eastAsia="宋体" w:cs="宋体"/>
                <w:kern w:val="2"/>
              </w:rPr>
              <w:t>任务六</w:t>
            </w:r>
          </w:p>
        </w:tc>
        <w:tc>
          <w:tcPr>
            <w:tcW w:w="1194" w:type="dxa"/>
            <w:tcBorders>
              <w:top w:val="single" w:color="000000" w:sz="4" w:space="0"/>
              <w:left w:val="single" w:color="000000" w:sz="4" w:space="0"/>
              <w:bottom w:val="single" w:color="000000" w:sz="4" w:space="0"/>
              <w:right w:val="single" w:color="000000" w:sz="4" w:space="0"/>
            </w:tcBorders>
          </w:tcPr>
          <w:p w14:paraId="2FCE323A">
            <w:pPr>
              <w:pStyle w:val="19"/>
              <w:kinsoku w:val="0"/>
              <w:overflowPunct w:val="0"/>
              <w:spacing w:line="274" w:lineRule="exact"/>
              <w:ind w:left="230"/>
              <w:rPr>
                <w:kern w:val="2"/>
              </w:rPr>
            </w:pPr>
            <w:r>
              <w:rPr>
                <w:rFonts w:ascii="宋体" w:eastAsia="宋体" w:cs="宋体"/>
                <w:kern w:val="2"/>
              </w:rPr>
              <w:t>10</w:t>
            </w:r>
          </w:p>
        </w:tc>
        <w:tc>
          <w:tcPr>
            <w:tcW w:w="2066" w:type="dxa"/>
            <w:vMerge w:val="continue"/>
            <w:tcBorders>
              <w:left w:val="single" w:color="000000" w:sz="4" w:space="0"/>
              <w:right w:val="single" w:color="000000" w:sz="4" w:space="0"/>
            </w:tcBorders>
            <w:vAlign w:val="center"/>
          </w:tcPr>
          <w:p w14:paraId="14699C90">
            <w:pPr>
              <w:widowControl/>
              <w:rPr>
                <w:rFonts w:ascii="Times New Roman" w:hAnsi="Times New Roman"/>
                <w:sz w:val="24"/>
                <w:szCs w:val="24"/>
              </w:rPr>
            </w:pPr>
          </w:p>
        </w:tc>
        <w:tc>
          <w:tcPr>
            <w:tcW w:w="1701" w:type="dxa"/>
            <w:vMerge w:val="continue"/>
            <w:tcBorders>
              <w:left w:val="single" w:color="000000" w:sz="4" w:space="0"/>
              <w:right w:val="single" w:color="000000" w:sz="4" w:space="0"/>
            </w:tcBorders>
            <w:vAlign w:val="center"/>
          </w:tcPr>
          <w:p w14:paraId="32A7EA59">
            <w:pPr>
              <w:widowControl/>
              <w:rPr>
                <w:rFonts w:ascii="Times New Roman" w:hAnsi="Times New Roman"/>
                <w:sz w:val="24"/>
                <w:szCs w:val="24"/>
              </w:rPr>
            </w:pPr>
          </w:p>
        </w:tc>
        <w:tc>
          <w:tcPr>
            <w:tcW w:w="1468" w:type="dxa"/>
            <w:vMerge w:val="continue"/>
            <w:tcBorders>
              <w:left w:val="single" w:color="000000" w:sz="4" w:space="0"/>
              <w:right w:val="single" w:color="000000" w:sz="4" w:space="0"/>
            </w:tcBorders>
            <w:vAlign w:val="center"/>
          </w:tcPr>
          <w:p w14:paraId="6ED62E59">
            <w:pPr>
              <w:widowControl/>
              <w:rPr>
                <w:rFonts w:ascii="Times New Roman" w:hAnsi="Times New Roman"/>
                <w:sz w:val="24"/>
                <w:szCs w:val="24"/>
              </w:rPr>
            </w:pPr>
          </w:p>
        </w:tc>
      </w:tr>
      <w:tr w14:paraId="42F46A90">
        <w:tblPrEx>
          <w:tblCellMar>
            <w:top w:w="0" w:type="dxa"/>
            <w:left w:w="0" w:type="dxa"/>
            <w:bottom w:w="0" w:type="dxa"/>
            <w:right w:w="0" w:type="dxa"/>
          </w:tblCellMar>
        </w:tblPrEx>
        <w:trPr>
          <w:trHeight w:val="322" w:hRule="exact"/>
        </w:trPr>
        <w:tc>
          <w:tcPr>
            <w:tcW w:w="1330" w:type="dxa"/>
            <w:tcBorders>
              <w:top w:val="single" w:color="000000" w:sz="4" w:space="0"/>
              <w:left w:val="single" w:color="000000" w:sz="4" w:space="0"/>
              <w:bottom w:val="single" w:color="000000" w:sz="4" w:space="0"/>
              <w:right w:val="single" w:color="000000" w:sz="4" w:space="0"/>
            </w:tcBorders>
          </w:tcPr>
          <w:p w14:paraId="19A17BFE">
            <w:pPr>
              <w:pStyle w:val="19"/>
              <w:kinsoku w:val="0"/>
              <w:overflowPunct w:val="0"/>
              <w:spacing w:line="274" w:lineRule="exact"/>
              <w:ind w:left="300"/>
              <w:rPr>
                <w:kern w:val="2"/>
              </w:rPr>
            </w:pPr>
            <w:r>
              <w:rPr>
                <w:rFonts w:hint="eastAsia" w:ascii="宋体" w:eastAsia="宋体" w:cs="宋体"/>
                <w:kern w:val="2"/>
              </w:rPr>
              <w:t>任务七</w:t>
            </w:r>
          </w:p>
        </w:tc>
        <w:tc>
          <w:tcPr>
            <w:tcW w:w="1194" w:type="dxa"/>
            <w:tcBorders>
              <w:top w:val="single" w:color="000000" w:sz="4" w:space="0"/>
              <w:left w:val="single" w:color="000000" w:sz="4" w:space="0"/>
              <w:bottom w:val="single" w:color="000000" w:sz="4" w:space="0"/>
              <w:right w:val="single" w:color="000000" w:sz="4" w:space="0"/>
            </w:tcBorders>
          </w:tcPr>
          <w:p w14:paraId="631E7AB1">
            <w:pPr>
              <w:pStyle w:val="19"/>
              <w:kinsoku w:val="0"/>
              <w:overflowPunct w:val="0"/>
              <w:spacing w:line="274" w:lineRule="exact"/>
              <w:ind w:left="230"/>
              <w:rPr>
                <w:kern w:val="2"/>
              </w:rPr>
            </w:pPr>
            <w:r>
              <w:rPr>
                <w:rFonts w:ascii="宋体" w:eastAsia="宋体" w:cs="宋体"/>
                <w:kern w:val="2"/>
              </w:rPr>
              <w:t>5</w:t>
            </w:r>
          </w:p>
        </w:tc>
        <w:tc>
          <w:tcPr>
            <w:tcW w:w="2066" w:type="dxa"/>
            <w:vMerge w:val="continue"/>
            <w:tcBorders>
              <w:left w:val="single" w:color="000000" w:sz="4" w:space="0"/>
              <w:right w:val="single" w:color="000000" w:sz="4" w:space="0"/>
            </w:tcBorders>
            <w:vAlign w:val="center"/>
          </w:tcPr>
          <w:p w14:paraId="2355B3B7">
            <w:pPr>
              <w:widowControl/>
              <w:rPr>
                <w:rFonts w:ascii="Times New Roman" w:hAnsi="Times New Roman"/>
                <w:sz w:val="24"/>
                <w:szCs w:val="24"/>
              </w:rPr>
            </w:pPr>
          </w:p>
        </w:tc>
        <w:tc>
          <w:tcPr>
            <w:tcW w:w="1701" w:type="dxa"/>
            <w:vMerge w:val="continue"/>
            <w:tcBorders>
              <w:left w:val="single" w:color="000000" w:sz="4" w:space="0"/>
              <w:right w:val="single" w:color="000000" w:sz="4" w:space="0"/>
            </w:tcBorders>
            <w:vAlign w:val="center"/>
          </w:tcPr>
          <w:p w14:paraId="29DC3E09">
            <w:pPr>
              <w:widowControl/>
              <w:rPr>
                <w:rFonts w:ascii="Times New Roman" w:hAnsi="Times New Roman"/>
                <w:sz w:val="24"/>
                <w:szCs w:val="24"/>
              </w:rPr>
            </w:pPr>
          </w:p>
        </w:tc>
        <w:tc>
          <w:tcPr>
            <w:tcW w:w="1468" w:type="dxa"/>
            <w:vMerge w:val="continue"/>
            <w:tcBorders>
              <w:left w:val="single" w:color="000000" w:sz="4" w:space="0"/>
              <w:right w:val="single" w:color="000000" w:sz="4" w:space="0"/>
            </w:tcBorders>
            <w:vAlign w:val="center"/>
          </w:tcPr>
          <w:p w14:paraId="0144AED9">
            <w:pPr>
              <w:widowControl/>
              <w:rPr>
                <w:rFonts w:ascii="Times New Roman" w:hAnsi="Times New Roman"/>
                <w:sz w:val="24"/>
                <w:szCs w:val="24"/>
              </w:rPr>
            </w:pPr>
          </w:p>
        </w:tc>
      </w:tr>
      <w:tr w14:paraId="65B20BAD">
        <w:tblPrEx>
          <w:tblCellMar>
            <w:top w:w="0" w:type="dxa"/>
            <w:left w:w="0" w:type="dxa"/>
            <w:bottom w:w="0" w:type="dxa"/>
            <w:right w:w="0" w:type="dxa"/>
          </w:tblCellMar>
        </w:tblPrEx>
        <w:trPr>
          <w:trHeight w:val="322" w:hRule="exact"/>
        </w:trPr>
        <w:tc>
          <w:tcPr>
            <w:tcW w:w="1330" w:type="dxa"/>
            <w:tcBorders>
              <w:top w:val="single" w:color="000000" w:sz="4" w:space="0"/>
              <w:left w:val="single" w:color="000000" w:sz="4" w:space="0"/>
              <w:bottom w:val="single" w:color="000000" w:sz="4" w:space="0"/>
              <w:right w:val="single" w:color="000000" w:sz="4" w:space="0"/>
            </w:tcBorders>
          </w:tcPr>
          <w:p w14:paraId="30381CB5">
            <w:pPr>
              <w:pStyle w:val="19"/>
              <w:kinsoku w:val="0"/>
              <w:overflowPunct w:val="0"/>
              <w:spacing w:line="274" w:lineRule="exact"/>
              <w:ind w:left="300"/>
              <w:rPr>
                <w:rFonts w:ascii="宋体" w:eastAsia="宋体" w:cs="宋体"/>
                <w:kern w:val="2"/>
              </w:rPr>
            </w:pPr>
            <w:r>
              <w:rPr>
                <w:rFonts w:hint="eastAsia" w:ascii="宋体" w:eastAsia="宋体" w:cs="宋体"/>
                <w:kern w:val="2"/>
              </w:rPr>
              <w:t>任务八</w:t>
            </w:r>
          </w:p>
        </w:tc>
        <w:tc>
          <w:tcPr>
            <w:tcW w:w="1194" w:type="dxa"/>
            <w:tcBorders>
              <w:top w:val="single" w:color="000000" w:sz="4" w:space="0"/>
              <w:left w:val="single" w:color="000000" w:sz="4" w:space="0"/>
              <w:bottom w:val="single" w:color="000000" w:sz="4" w:space="0"/>
              <w:right w:val="single" w:color="000000" w:sz="4" w:space="0"/>
            </w:tcBorders>
          </w:tcPr>
          <w:p w14:paraId="73B21FE5">
            <w:pPr>
              <w:pStyle w:val="19"/>
              <w:kinsoku w:val="0"/>
              <w:overflowPunct w:val="0"/>
              <w:spacing w:line="274" w:lineRule="exact"/>
              <w:ind w:left="230"/>
              <w:rPr>
                <w:rFonts w:ascii="宋体" w:eastAsia="宋体" w:cs="宋体"/>
                <w:kern w:val="2"/>
              </w:rPr>
            </w:pPr>
            <w:r>
              <w:rPr>
                <w:rFonts w:hint="eastAsia" w:ascii="宋体" w:eastAsia="宋体" w:cs="宋体"/>
                <w:kern w:val="2"/>
              </w:rPr>
              <w:t>5</w:t>
            </w:r>
          </w:p>
        </w:tc>
        <w:tc>
          <w:tcPr>
            <w:tcW w:w="2066" w:type="dxa"/>
            <w:vMerge w:val="continue"/>
            <w:tcBorders>
              <w:left w:val="single" w:color="000000" w:sz="4" w:space="0"/>
              <w:bottom w:val="single" w:color="000000" w:sz="4" w:space="0"/>
              <w:right w:val="single" w:color="000000" w:sz="4" w:space="0"/>
            </w:tcBorders>
            <w:vAlign w:val="center"/>
          </w:tcPr>
          <w:p w14:paraId="137E93B9">
            <w:pPr>
              <w:widowControl/>
              <w:rPr>
                <w:rFonts w:ascii="Times New Roman" w:hAnsi="Times New Roman"/>
                <w:sz w:val="24"/>
                <w:szCs w:val="24"/>
              </w:rPr>
            </w:pPr>
          </w:p>
        </w:tc>
        <w:tc>
          <w:tcPr>
            <w:tcW w:w="1701" w:type="dxa"/>
            <w:vMerge w:val="continue"/>
            <w:tcBorders>
              <w:left w:val="single" w:color="000000" w:sz="4" w:space="0"/>
              <w:bottom w:val="single" w:color="000000" w:sz="4" w:space="0"/>
              <w:right w:val="single" w:color="000000" w:sz="4" w:space="0"/>
            </w:tcBorders>
            <w:vAlign w:val="center"/>
          </w:tcPr>
          <w:p w14:paraId="79F5D9AC">
            <w:pPr>
              <w:widowControl/>
              <w:rPr>
                <w:rFonts w:ascii="Times New Roman" w:hAnsi="Times New Roman"/>
                <w:sz w:val="24"/>
                <w:szCs w:val="24"/>
              </w:rPr>
            </w:pPr>
          </w:p>
        </w:tc>
        <w:tc>
          <w:tcPr>
            <w:tcW w:w="1468" w:type="dxa"/>
            <w:vMerge w:val="continue"/>
            <w:tcBorders>
              <w:left w:val="single" w:color="000000" w:sz="4" w:space="0"/>
              <w:bottom w:val="single" w:color="000000" w:sz="4" w:space="0"/>
              <w:right w:val="single" w:color="000000" w:sz="4" w:space="0"/>
            </w:tcBorders>
            <w:vAlign w:val="center"/>
          </w:tcPr>
          <w:p w14:paraId="67ACA7E6">
            <w:pPr>
              <w:widowControl/>
              <w:rPr>
                <w:rFonts w:ascii="Times New Roman" w:hAnsi="Times New Roman"/>
                <w:sz w:val="24"/>
                <w:szCs w:val="24"/>
              </w:rPr>
            </w:pPr>
          </w:p>
        </w:tc>
      </w:tr>
    </w:tbl>
    <w:p w14:paraId="51E1A6A7">
      <w:pPr>
        <w:pStyle w:val="5"/>
        <w:kinsoku w:val="0"/>
        <w:overflowPunct w:val="0"/>
        <w:spacing w:before="0" w:line="500" w:lineRule="exact"/>
        <w:ind w:left="0" w:firstLine="420" w:firstLineChars="200"/>
        <w:jc w:val="center"/>
        <w:rPr>
          <w:rFonts w:ascii="仿宋" w:eastAsia="仿宋" w:cs="仿宋"/>
          <w:sz w:val="21"/>
          <w:szCs w:val="21"/>
        </w:rPr>
      </w:pPr>
    </w:p>
    <w:p w14:paraId="65EA2787">
      <w:pPr>
        <w:pStyle w:val="5"/>
        <w:kinsoku w:val="0"/>
        <w:overflowPunct w:val="0"/>
        <w:spacing w:before="0" w:line="500" w:lineRule="exact"/>
        <w:ind w:left="0" w:firstLine="560" w:firstLineChars="200"/>
        <w:jc w:val="center"/>
      </w:pPr>
      <w:r>
        <w:rPr>
          <w:rFonts w:hint="eastAsia"/>
        </w:rPr>
        <w:t>表3</w:t>
      </w:r>
      <w:r>
        <w:t xml:space="preserve"> </w:t>
      </w:r>
      <w:r>
        <w:rPr>
          <w:rFonts w:hint="eastAsia"/>
        </w:rPr>
        <w:t>职业素养与安全意识打分细则</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3118"/>
        <w:gridCol w:w="2977"/>
        <w:gridCol w:w="1134"/>
        <w:gridCol w:w="851"/>
      </w:tblGrid>
      <w:tr w14:paraId="62C01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14:paraId="7D965729">
            <w:pPr>
              <w:pStyle w:val="5"/>
              <w:kinsoku w:val="0"/>
              <w:overflowPunct w:val="0"/>
              <w:spacing w:before="0" w:line="500" w:lineRule="exact"/>
              <w:ind w:left="0" w:firstLine="0"/>
              <w:jc w:val="center"/>
              <w:rPr>
                <w:rFonts w:hAnsi="宋体" w:cs="仿宋"/>
                <w:kern w:val="2"/>
                <w:sz w:val="24"/>
                <w:szCs w:val="24"/>
              </w:rPr>
            </w:pPr>
            <w:r>
              <w:rPr>
                <w:rFonts w:hint="eastAsia" w:hAnsi="宋体" w:cs="仿宋"/>
                <w:kern w:val="2"/>
                <w:sz w:val="24"/>
                <w:szCs w:val="24"/>
              </w:rPr>
              <w:t>序号</w:t>
            </w:r>
          </w:p>
        </w:tc>
        <w:tc>
          <w:tcPr>
            <w:tcW w:w="3118" w:type="dxa"/>
          </w:tcPr>
          <w:p w14:paraId="0B9ABF47">
            <w:pPr>
              <w:pStyle w:val="5"/>
              <w:kinsoku w:val="0"/>
              <w:overflowPunct w:val="0"/>
              <w:spacing w:before="0" w:line="500" w:lineRule="exact"/>
              <w:ind w:left="0" w:firstLine="0"/>
              <w:jc w:val="center"/>
              <w:rPr>
                <w:rFonts w:hAnsi="宋体" w:cs="仿宋"/>
                <w:kern w:val="2"/>
                <w:sz w:val="24"/>
                <w:szCs w:val="24"/>
              </w:rPr>
            </w:pPr>
            <w:r>
              <w:rPr>
                <w:rFonts w:hint="eastAsia" w:hAnsi="宋体" w:cs="仿宋"/>
                <w:kern w:val="2"/>
                <w:sz w:val="24"/>
                <w:szCs w:val="24"/>
              </w:rPr>
              <w:t>评分细则</w:t>
            </w:r>
          </w:p>
        </w:tc>
        <w:tc>
          <w:tcPr>
            <w:tcW w:w="2977" w:type="dxa"/>
          </w:tcPr>
          <w:p w14:paraId="4AA8B22D">
            <w:pPr>
              <w:pStyle w:val="5"/>
              <w:kinsoku w:val="0"/>
              <w:overflowPunct w:val="0"/>
              <w:spacing w:before="0" w:line="500" w:lineRule="exact"/>
              <w:ind w:left="0" w:firstLine="0"/>
              <w:jc w:val="center"/>
              <w:rPr>
                <w:rFonts w:hAnsi="宋体" w:cs="仿宋"/>
                <w:kern w:val="2"/>
                <w:sz w:val="24"/>
                <w:szCs w:val="24"/>
              </w:rPr>
            </w:pPr>
            <w:r>
              <w:rPr>
                <w:rFonts w:hint="eastAsia" w:hAnsi="宋体" w:cs="仿宋"/>
                <w:kern w:val="2"/>
                <w:sz w:val="24"/>
                <w:szCs w:val="24"/>
              </w:rPr>
              <w:t>违规记录</w:t>
            </w:r>
          </w:p>
        </w:tc>
        <w:tc>
          <w:tcPr>
            <w:tcW w:w="1134" w:type="dxa"/>
          </w:tcPr>
          <w:p w14:paraId="44C848B5">
            <w:pPr>
              <w:pStyle w:val="5"/>
              <w:kinsoku w:val="0"/>
              <w:overflowPunct w:val="0"/>
              <w:spacing w:before="0" w:line="500" w:lineRule="exact"/>
              <w:ind w:left="0" w:firstLine="0"/>
              <w:jc w:val="center"/>
              <w:rPr>
                <w:rFonts w:hAnsi="宋体" w:cs="仿宋"/>
                <w:kern w:val="2"/>
                <w:sz w:val="24"/>
                <w:szCs w:val="24"/>
              </w:rPr>
            </w:pPr>
            <w:r>
              <w:rPr>
                <w:rFonts w:hAnsi="宋体" w:cs="仿宋"/>
                <w:kern w:val="2"/>
                <w:sz w:val="24"/>
                <w:szCs w:val="24"/>
              </w:rPr>
              <w:t>扣分</w:t>
            </w:r>
          </w:p>
        </w:tc>
        <w:tc>
          <w:tcPr>
            <w:tcW w:w="851" w:type="dxa"/>
          </w:tcPr>
          <w:p w14:paraId="529A11DB">
            <w:pPr>
              <w:pStyle w:val="5"/>
              <w:kinsoku w:val="0"/>
              <w:overflowPunct w:val="0"/>
              <w:spacing w:before="0" w:line="500" w:lineRule="exact"/>
              <w:ind w:left="0" w:firstLine="0"/>
              <w:jc w:val="center"/>
              <w:rPr>
                <w:rFonts w:hAnsi="宋体" w:cs="仿宋"/>
                <w:kern w:val="2"/>
                <w:sz w:val="24"/>
                <w:szCs w:val="24"/>
              </w:rPr>
            </w:pPr>
            <w:r>
              <w:rPr>
                <w:rFonts w:hAnsi="宋体" w:cs="仿宋"/>
                <w:kern w:val="2"/>
                <w:sz w:val="24"/>
                <w:szCs w:val="24"/>
              </w:rPr>
              <w:t>得分</w:t>
            </w:r>
          </w:p>
        </w:tc>
      </w:tr>
      <w:tr w14:paraId="3DD66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14:paraId="7E6C3668">
            <w:pPr>
              <w:pStyle w:val="5"/>
              <w:kinsoku w:val="0"/>
              <w:overflowPunct w:val="0"/>
              <w:spacing w:before="0" w:line="500" w:lineRule="exact"/>
              <w:ind w:left="0" w:firstLine="0"/>
              <w:jc w:val="center"/>
              <w:rPr>
                <w:rFonts w:hAnsi="宋体" w:cs="仿宋"/>
                <w:kern w:val="2"/>
                <w:sz w:val="24"/>
                <w:szCs w:val="24"/>
              </w:rPr>
            </w:pPr>
            <w:r>
              <w:rPr>
                <w:rFonts w:hint="eastAsia" w:hAnsi="宋体" w:cs="仿宋"/>
                <w:kern w:val="2"/>
                <w:sz w:val="24"/>
                <w:szCs w:val="24"/>
              </w:rPr>
              <w:t>1</w:t>
            </w:r>
          </w:p>
        </w:tc>
        <w:tc>
          <w:tcPr>
            <w:tcW w:w="3118" w:type="dxa"/>
          </w:tcPr>
          <w:p w14:paraId="18703F9A">
            <w:pPr>
              <w:pStyle w:val="5"/>
              <w:kinsoku w:val="0"/>
              <w:overflowPunct w:val="0"/>
              <w:spacing w:line="500" w:lineRule="exact"/>
              <w:ind w:firstLine="0"/>
              <w:rPr>
                <w:rFonts w:hAnsi="宋体" w:cs="仿宋"/>
                <w:kern w:val="2"/>
                <w:sz w:val="24"/>
                <w:szCs w:val="24"/>
              </w:rPr>
            </w:pPr>
            <w:r>
              <w:rPr>
                <w:rFonts w:hint="eastAsia" w:hAnsi="宋体" w:cs="仿宋"/>
                <w:kern w:val="2"/>
                <w:sz w:val="24"/>
                <w:szCs w:val="24"/>
              </w:rPr>
              <w:t>违反比赛规定，提前进行比赛操作或比赛终止仍继续操作扣</w:t>
            </w:r>
            <w:r>
              <w:rPr>
                <w:rFonts w:hAnsi="宋体" w:cs="仿宋"/>
                <w:kern w:val="2"/>
                <w:sz w:val="24"/>
                <w:szCs w:val="24"/>
              </w:rPr>
              <w:t>1分</w:t>
            </w:r>
          </w:p>
        </w:tc>
        <w:tc>
          <w:tcPr>
            <w:tcW w:w="2977" w:type="dxa"/>
          </w:tcPr>
          <w:p w14:paraId="2544A853">
            <w:pPr>
              <w:pStyle w:val="5"/>
              <w:kinsoku w:val="0"/>
              <w:overflowPunct w:val="0"/>
              <w:spacing w:before="0" w:line="500" w:lineRule="exact"/>
              <w:ind w:left="0" w:firstLine="0"/>
              <w:jc w:val="center"/>
              <w:rPr>
                <w:rFonts w:hAnsi="宋体" w:cs="仿宋"/>
                <w:kern w:val="2"/>
                <w:sz w:val="24"/>
                <w:szCs w:val="24"/>
              </w:rPr>
            </w:pPr>
          </w:p>
        </w:tc>
        <w:tc>
          <w:tcPr>
            <w:tcW w:w="1134" w:type="dxa"/>
          </w:tcPr>
          <w:p w14:paraId="55FA4687">
            <w:pPr>
              <w:pStyle w:val="5"/>
              <w:kinsoku w:val="0"/>
              <w:overflowPunct w:val="0"/>
              <w:spacing w:before="0" w:line="500" w:lineRule="exact"/>
              <w:ind w:left="0" w:firstLine="0"/>
              <w:jc w:val="center"/>
              <w:rPr>
                <w:rFonts w:hAnsi="宋体" w:cs="仿宋"/>
                <w:kern w:val="2"/>
                <w:sz w:val="24"/>
                <w:szCs w:val="24"/>
              </w:rPr>
            </w:pPr>
          </w:p>
        </w:tc>
        <w:tc>
          <w:tcPr>
            <w:tcW w:w="851" w:type="dxa"/>
            <w:vMerge w:val="restart"/>
          </w:tcPr>
          <w:p w14:paraId="7D7082BB">
            <w:pPr>
              <w:pStyle w:val="5"/>
              <w:kinsoku w:val="0"/>
              <w:overflowPunct w:val="0"/>
              <w:spacing w:before="0" w:line="500" w:lineRule="exact"/>
              <w:ind w:left="0" w:firstLine="0"/>
              <w:jc w:val="center"/>
              <w:rPr>
                <w:rFonts w:hAnsi="宋体" w:cs="仿宋"/>
                <w:kern w:val="2"/>
                <w:sz w:val="24"/>
                <w:szCs w:val="24"/>
              </w:rPr>
            </w:pPr>
          </w:p>
        </w:tc>
      </w:tr>
      <w:tr w14:paraId="369F6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14:paraId="6572926B">
            <w:pPr>
              <w:pStyle w:val="5"/>
              <w:kinsoku w:val="0"/>
              <w:overflowPunct w:val="0"/>
              <w:spacing w:before="0" w:line="500" w:lineRule="exact"/>
              <w:ind w:left="0" w:firstLine="0"/>
              <w:jc w:val="center"/>
              <w:rPr>
                <w:rFonts w:hAnsi="宋体"/>
                <w:sz w:val="24"/>
                <w:szCs w:val="24"/>
              </w:rPr>
            </w:pPr>
            <w:r>
              <w:rPr>
                <w:rFonts w:hint="eastAsia" w:hAnsi="宋体"/>
                <w:sz w:val="24"/>
                <w:szCs w:val="24"/>
              </w:rPr>
              <w:t>2</w:t>
            </w:r>
          </w:p>
        </w:tc>
        <w:tc>
          <w:tcPr>
            <w:tcW w:w="3118" w:type="dxa"/>
          </w:tcPr>
          <w:p w14:paraId="7767F001">
            <w:pPr>
              <w:pStyle w:val="5"/>
              <w:kinsoku w:val="0"/>
              <w:overflowPunct w:val="0"/>
              <w:spacing w:line="500" w:lineRule="exact"/>
              <w:ind w:firstLine="54"/>
              <w:rPr>
                <w:rFonts w:hAnsi="宋体"/>
                <w:sz w:val="24"/>
                <w:szCs w:val="24"/>
              </w:rPr>
            </w:pPr>
            <w:r>
              <w:rPr>
                <w:rFonts w:hint="eastAsia" w:hAnsi="宋体" w:cs="仿宋"/>
                <w:kern w:val="2"/>
                <w:sz w:val="24"/>
                <w:szCs w:val="24"/>
              </w:rPr>
              <w:t>未戴安全帽扣</w:t>
            </w:r>
            <w:r>
              <w:rPr>
                <w:rFonts w:hAnsi="宋体" w:cs="仿宋"/>
                <w:kern w:val="2"/>
                <w:sz w:val="24"/>
                <w:szCs w:val="24"/>
              </w:rPr>
              <w:t>1分，未穿工</w:t>
            </w:r>
            <w:r>
              <w:rPr>
                <w:rFonts w:hint="eastAsia" w:hAnsi="宋体" w:cs="仿宋"/>
                <w:kern w:val="2"/>
                <w:sz w:val="24"/>
                <w:szCs w:val="24"/>
              </w:rPr>
              <w:t>作服扣</w:t>
            </w:r>
            <w:r>
              <w:rPr>
                <w:rFonts w:hAnsi="宋体" w:cs="仿宋"/>
                <w:kern w:val="2"/>
                <w:sz w:val="24"/>
                <w:szCs w:val="24"/>
              </w:rPr>
              <w:t>1分，未穿工作鞋扣1分</w:t>
            </w:r>
          </w:p>
        </w:tc>
        <w:tc>
          <w:tcPr>
            <w:tcW w:w="2977" w:type="dxa"/>
          </w:tcPr>
          <w:p w14:paraId="696F4E19">
            <w:pPr>
              <w:pStyle w:val="5"/>
              <w:kinsoku w:val="0"/>
              <w:overflowPunct w:val="0"/>
              <w:spacing w:before="0" w:line="500" w:lineRule="exact"/>
              <w:ind w:left="0" w:firstLine="0"/>
              <w:jc w:val="center"/>
            </w:pPr>
          </w:p>
        </w:tc>
        <w:tc>
          <w:tcPr>
            <w:tcW w:w="1134" w:type="dxa"/>
          </w:tcPr>
          <w:p w14:paraId="6E13F91C">
            <w:pPr>
              <w:pStyle w:val="5"/>
              <w:kinsoku w:val="0"/>
              <w:overflowPunct w:val="0"/>
              <w:spacing w:before="0" w:line="500" w:lineRule="exact"/>
              <w:ind w:left="0" w:firstLine="0"/>
              <w:jc w:val="center"/>
            </w:pPr>
          </w:p>
        </w:tc>
        <w:tc>
          <w:tcPr>
            <w:tcW w:w="851" w:type="dxa"/>
            <w:vMerge w:val="continue"/>
          </w:tcPr>
          <w:p w14:paraId="0F4893D2">
            <w:pPr>
              <w:pStyle w:val="5"/>
              <w:kinsoku w:val="0"/>
              <w:overflowPunct w:val="0"/>
              <w:spacing w:before="0" w:line="500" w:lineRule="exact"/>
              <w:ind w:left="0" w:firstLine="0"/>
              <w:jc w:val="center"/>
            </w:pPr>
          </w:p>
        </w:tc>
      </w:tr>
      <w:tr w14:paraId="457D2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14:paraId="1B55B4D2">
            <w:pPr>
              <w:pStyle w:val="5"/>
              <w:kinsoku w:val="0"/>
              <w:overflowPunct w:val="0"/>
              <w:spacing w:before="0" w:line="500" w:lineRule="exact"/>
              <w:ind w:left="0" w:firstLine="0"/>
              <w:jc w:val="center"/>
              <w:rPr>
                <w:rFonts w:hAnsi="宋体"/>
                <w:sz w:val="24"/>
                <w:szCs w:val="24"/>
              </w:rPr>
            </w:pPr>
            <w:r>
              <w:rPr>
                <w:rFonts w:hint="eastAsia" w:hAnsi="宋体"/>
                <w:sz w:val="24"/>
                <w:szCs w:val="24"/>
              </w:rPr>
              <w:t>3</w:t>
            </w:r>
          </w:p>
        </w:tc>
        <w:tc>
          <w:tcPr>
            <w:tcW w:w="3118" w:type="dxa"/>
          </w:tcPr>
          <w:p w14:paraId="42069E87">
            <w:pPr>
              <w:pStyle w:val="5"/>
              <w:kinsoku w:val="0"/>
              <w:overflowPunct w:val="0"/>
              <w:spacing w:line="500" w:lineRule="exact"/>
              <w:ind w:hanging="87"/>
              <w:rPr>
                <w:rFonts w:hAnsi="宋体" w:cs="仿宋"/>
                <w:kern w:val="2"/>
                <w:sz w:val="24"/>
                <w:szCs w:val="24"/>
              </w:rPr>
            </w:pPr>
            <w:r>
              <w:rPr>
                <w:rFonts w:hint="eastAsia" w:hAnsi="宋体" w:cs="仿宋"/>
                <w:kern w:val="2"/>
                <w:sz w:val="24"/>
                <w:szCs w:val="24"/>
              </w:rPr>
              <w:t>工作台表面遗留工具，零件，每个扣</w:t>
            </w:r>
            <w:r>
              <w:rPr>
                <w:rFonts w:hAnsi="宋体" w:cs="仿宋"/>
                <w:kern w:val="2"/>
                <w:sz w:val="24"/>
                <w:szCs w:val="24"/>
              </w:rPr>
              <w:t>0.5分</w:t>
            </w:r>
          </w:p>
        </w:tc>
        <w:tc>
          <w:tcPr>
            <w:tcW w:w="2977" w:type="dxa"/>
          </w:tcPr>
          <w:p w14:paraId="12FC6A67">
            <w:pPr>
              <w:pStyle w:val="5"/>
              <w:kinsoku w:val="0"/>
              <w:overflowPunct w:val="0"/>
              <w:spacing w:before="0" w:line="500" w:lineRule="exact"/>
              <w:ind w:left="0" w:firstLine="0"/>
              <w:jc w:val="center"/>
            </w:pPr>
          </w:p>
        </w:tc>
        <w:tc>
          <w:tcPr>
            <w:tcW w:w="1134" w:type="dxa"/>
          </w:tcPr>
          <w:p w14:paraId="788A9E39">
            <w:pPr>
              <w:pStyle w:val="5"/>
              <w:kinsoku w:val="0"/>
              <w:overflowPunct w:val="0"/>
              <w:spacing w:before="0" w:line="500" w:lineRule="exact"/>
              <w:ind w:left="0" w:firstLine="0"/>
              <w:jc w:val="center"/>
            </w:pPr>
          </w:p>
        </w:tc>
        <w:tc>
          <w:tcPr>
            <w:tcW w:w="851" w:type="dxa"/>
            <w:vMerge w:val="continue"/>
          </w:tcPr>
          <w:p w14:paraId="78E4E25F">
            <w:pPr>
              <w:pStyle w:val="5"/>
              <w:kinsoku w:val="0"/>
              <w:overflowPunct w:val="0"/>
              <w:spacing w:before="0" w:line="500" w:lineRule="exact"/>
              <w:ind w:left="0" w:firstLine="0"/>
              <w:jc w:val="center"/>
            </w:pPr>
          </w:p>
        </w:tc>
      </w:tr>
      <w:tr w14:paraId="054E1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14:paraId="6831D41D">
            <w:pPr>
              <w:pStyle w:val="5"/>
              <w:kinsoku w:val="0"/>
              <w:overflowPunct w:val="0"/>
              <w:spacing w:before="0" w:line="500" w:lineRule="exact"/>
              <w:ind w:left="0" w:firstLine="0"/>
              <w:jc w:val="center"/>
              <w:rPr>
                <w:rFonts w:hAnsi="宋体"/>
                <w:sz w:val="24"/>
                <w:szCs w:val="24"/>
              </w:rPr>
            </w:pPr>
            <w:r>
              <w:rPr>
                <w:rFonts w:hint="eastAsia" w:hAnsi="宋体"/>
                <w:sz w:val="24"/>
                <w:szCs w:val="24"/>
              </w:rPr>
              <w:t>4</w:t>
            </w:r>
          </w:p>
        </w:tc>
        <w:tc>
          <w:tcPr>
            <w:tcW w:w="3118" w:type="dxa"/>
          </w:tcPr>
          <w:p w14:paraId="5AA34EB9">
            <w:pPr>
              <w:pStyle w:val="5"/>
              <w:kinsoku w:val="0"/>
              <w:overflowPunct w:val="0"/>
              <w:spacing w:line="500" w:lineRule="exact"/>
              <w:ind w:hanging="87"/>
              <w:rPr>
                <w:rFonts w:hAnsi="宋体" w:cs="仿宋"/>
                <w:kern w:val="2"/>
                <w:sz w:val="24"/>
                <w:szCs w:val="24"/>
              </w:rPr>
            </w:pPr>
            <w:r>
              <w:rPr>
                <w:rFonts w:hint="eastAsia" w:hAnsi="宋体" w:cs="仿宋"/>
                <w:kern w:val="2"/>
                <w:sz w:val="24"/>
                <w:szCs w:val="24"/>
              </w:rPr>
              <w:t>比赛结束，未整理清扫场地，扣</w:t>
            </w:r>
            <w:r>
              <w:rPr>
                <w:rFonts w:hAnsi="宋体" w:cs="仿宋"/>
                <w:kern w:val="2"/>
                <w:sz w:val="24"/>
                <w:szCs w:val="24"/>
              </w:rPr>
              <w:t>1分</w:t>
            </w:r>
          </w:p>
        </w:tc>
        <w:tc>
          <w:tcPr>
            <w:tcW w:w="2977" w:type="dxa"/>
          </w:tcPr>
          <w:p w14:paraId="46100884">
            <w:pPr>
              <w:pStyle w:val="5"/>
              <w:kinsoku w:val="0"/>
              <w:overflowPunct w:val="0"/>
              <w:spacing w:before="0" w:line="500" w:lineRule="exact"/>
              <w:ind w:left="0" w:firstLine="0"/>
              <w:jc w:val="center"/>
            </w:pPr>
          </w:p>
        </w:tc>
        <w:tc>
          <w:tcPr>
            <w:tcW w:w="1134" w:type="dxa"/>
          </w:tcPr>
          <w:p w14:paraId="70238CB6">
            <w:pPr>
              <w:pStyle w:val="5"/>
              <w:kinsoku w:val="0"/>
              <w:overflowPunct w:val="0"/>
              <w:spacing w:before="0" w:line="500" w:lineRule="exact"/>
              <w:ind w:left="0" w:firstLine="0"/>
              <w:jc w:val="center"/>
            </w:pPr>
          </w:p>
        </w:tc>
        <w:tc>
          <w:tcPr>
            <w:tcW w:w="851" w:type="dxa"/>
            <w:vMerge w:val="continue"/>
          </w:tcPr>
          <w:p w14:paraId="1EDA1D60">
            <w:pPr>
              <w:pStyle w:val="5"/>
              <w:kinsoku w:val="0"/>
              <w:overflowPunct w:val="0"/>
              <w:spacing w:before="0" w:line="500" w:lineRule="exact"/>
              <w:ind w:left="0" w:firstLine="0"/>
              <w:jc w:val="center"/>
            </w:pPr>
          </w:p>
        </w:tc>
      </w:tr>
    </w:tbl>
    <w:p w14:paraId="206C7A53">
      <w:pPr>
        <w:pStyle w:val="3"/>
        <w:kinsoku w:val="0"/>
        <w:overflowPunct w:val="0"/>
        <w:spacing w:before="0" w:line="500" w:lineRule="exact"/>
        <w:ind w:left="0"/>
        <w:rPr>
          <w:rFonts w:hAnsi="宋体"/>
          <w:sz w:val="28"/>
          <w:szCs w:val="28"/>
        </w:rPr>
      </w:pPr>
      <w:r>
        <w:rPr>
          <w:rFonts w:hint="eastAsia" w:hAnsi="宋体"/>
          <w:sz w:val="28"/>
          <w:szCs w:val="28"/>
        </w:rPr>
        <w:t>（三）成绩排名</w:t>
      </w:r>
    </w:p>
    <w:p w14:paraId="7C9D8B34">
      <w:pPr>
        <w:pStyle w:val="5"/>
        <w:kinsoku w:val="0"/>
        <w:overflowPunct w:val="0"/>
        <w:spacing w:before="0" w:line="500" w:lineRule="exact"/>
        <w:ind w:left="0" w:firstLine="540" w:firstLineChars="200"/>
        <w:jc w:val="both"/>
        <w:rPr>
          <w:rFonts w:hAnsi="宋体"/>
        </w:rPr>
      </w:pPr>
      <w:r>
        <w:rPr>
          <w:rFonts w:hint="eastAsia" w:hAnsi="宋体"/>
          <w:spacing w:val="-5"/>
        </w:rPr>
        <w:t>参赛队的成绩为职业素养分和任务得分之和，比赛成绩按照总得</w:t>
      </w:r>
      <w:r>
        <w:rPr>
          <w:rFonts w:hint="eastAsia" w:hAnsi="宋体"/>
          <w:spacing w:val="-10"/>
        </w:rPr>
        <w:t>分从高到低排列，若总得分相同，则按照完成比赛总任务的时间排名，</w:t>
      </w:r>
      <w:r>
        <w:rPr>
          <w:rFonts w:hAnsi="宋体"/>
          <w:spacing w:val="-84"/>
        </w:rPr>
        <w:t xml:space="preserve"> </w:t>
      </w:r>
      <w:r>
        <w:rPr>
          <w:rFonts w:hint="eastAsia" w:hAnsi="宋体"/>
          <w:spacing w:val="-5"/>
        </w:rPr>
        <w:t>完成时间少的队伍排名在前；若完成任务的时间相同，</w:t>
      </w:r>
      <w:r>
        <w:rPr>
          <w:rFonts w:hint="eastAsia" w:hAnsi="宋体"/>
        </w:rPr>
        <w:t>则由裁判组综合评定。</w:t>
      </w:r>
    </w:p>
    <w:p w14:paraId="42F24DEA">
      <w:pPr>
        <w:pStyle w:val="3"/>
        <w:kinsoku w:val="0"/>
        <w:overflowPunct w:val="0"/>
        <w:spacing w:before="0" w:line="500" w:lineRule="exact"/>
        <w:ind w:left="0"/>
        <w:rPr>
          <w:rFonts w:hAnsi="宋体"/>
          <w:sz w:val="28"/>
          <w:szCs w:val="28"/>
        </w:rPr>
      </w:pPr>
      <w:r>
        <w:rPr>
          <w:rFonts w:hint="eastAsia" w:hAnsi="宋体"/>
          <w:sz w:val="28"/>
          <w:szCs w:val="28"/>
        </w:rPr>
        <w:t>（四）裁判评分</w:t>
      </w:r>
    </w:p>
    <w:p w14:paraId="64A3E5F1">
      <w:pPr>
        <w:pStyle w:val="5"/>
        <w:kinsoku w:val="0"/>
        <w:overflowPunct w:val="0"/>
        <w:spacing w:before="0" w:line="500" w:lineRule="exact"/>
        <w:ind w:left="0" w:firstLine="560" w:firstLineChars="200"/>
        <w:jc w:val="both"/>
        <w:rPr>
          <w:rFonts w:hAnsi="宋体"/>
        </w:rPr>
      </w:pPr>
      <w:r>
        <w:rPr>
          <w:rFonts w:hint="eastAsia" w:hAnsi="宋体"/>
        </w:rPr>
        <w:t>1.赛项裁判组负责赛项成绩评定工作，评分裁判分为两组：一</w:t>
      </w:r>
      <w:r>
        <w:rPr>
          <w:rFonts w:hint="eastAsia" w:hAnsi="宋体"/>
          <w:spacing w:val="-6"/>
        </w:rPr>
        <w:t>组为固定赛位裁判，每个赛位</w:t>
      </w:r>
      <w:r>
        <w:rPr>
          <w:rFonts w:hint="eastAsia" w:hAnsi="宋体"/>
          <w:spacing w:val="-63"/>
        </w:rPr>
        <w:t xml:space="preserve"> </w:t>
      </w:r>
      <w:r>
        <w:rPr>
          <w:rFonts w:hint="eastAsia" w:hAnsi="宋体"/>
        </w:rPr>
        <w:t>1-2</w:t>
      </w:r>
      <w:r>
        <w:rPr>
          <w:rFonts w:hint="eastAsia" w:hAnsi="宋体"/>
          <w:spacing w:val="-64"/>
        </w:rPr>
        <w:t xml:space="preserve"> </w:t>
      </w:r>
      <w:r>
        <w:rPr>
          <w:rFonts w:hint="eastAsia" w:hAnsi="宋体"/>
          <w:spacing w:val="-8"/>
        </w:rPr>
        <w:t>名裁判，负责现场</w:t>
      </w:r>
      <w:r>
        <w:rPr>
          <w:rFonts w:hint="eastAsia" w:hAnsi="宋体"/>
          <w:spacing w:val="-63"/>
        </w:rPr>
        <w:t xml:space="preserve"> </w:t>
      </w:r>
      <w:r>
        <w:rPr>
          <w:rFonts w:hint="eastAsia" w:hAnsi="宋体"/>
        </w:rPr>
        <w:t>1</w:t>
      </w:r>
      <w:r>
        <w:rPr>
          <w:rFonts w:hint="eastAsia" w:hAnsi="宋体"/>
          <w:spacing w:val="-62"/>
        </w:rPr>
        <w:t xml:space="preserve"> </w:t>
      </w:r>
      <w:r>
        <w:rPr>
          <w:rFonts w:hint="eastAsia" w:hAnsi="宋体"/>
        </w:rPr>
        <w:t>个赛位的部分</w:t>
      </w:r>
      <w:r>
        <w:rPr>
          <w:rFonts w:hint="eastAsia" w:hAnsi="宋体"/>
          <w:spacing w:val="-5"/>
        </w:rPr>
        <w:t>任务现场过程评分工作；另外一组为流动评分裁判，每</w:t>
      </w:r>
      <w:r>
        <w:rPr>
          <w:rFonts w:hint="eastAsia" w:hAnsi="宋体"/>
          <w:spacing w:val="-50"/>
        </w:rPr>
        <w:t xml:space="preserve"> </w:t>
      </w:r>
      <w:r>
        <w:rPr>
          <w:rFonts w:hint="eastAsia" w:hAnsi="宋体"/>
        </w:rPr>
        <w:t>2</w:t>
      </w:r>
      <w:r>
        <w:rPr>
          <w:rFonts w:hint="eastAsia" w:hAnsi="宋体"/>
          <w:spacing w:val="-48"/>
        </w:rPr>
        <w:t xml:space="preserve"> </w:t>
      </w:r>
      <w:r>
        <w:rPr>
          <w:rFonts w:hint="eastAsia" w:hAnsi="宋体"/>
          <w:spacing w:val="-8"/>
        </w:rPr>
        <w:t>人一组，负</w:t>
      </w:r>
      <w:r>
        <w:rPr>
          <w:rFonts w:hint="eastAsia" w:hAnsi="宋体"/>
          <w:spacing w:val="-133"/>
        </w:rPr>
        <w:t xml:space="preserve"> </w:t>
      </w:r>
      <w:r>
        <w:rPr>
          <w:rFonts w:hint="eastAsia" w:hAnsi="宋体"/>
        </w:rPr>
        <w:t>责现场指定工位的部分过程和结果评分工作。</w:t>
      </w:r>
    </w:p>
    <w:p w14:paraId="7EB949E1">
      <w:pPr>
        <w:pStyle w:val="5"/>
        <w:kinsoku w:val="0"/>
        <w:overflowPunct w:val="0"/>
        <w:spacing w:before="0" w:line="500" w:lineRule="exact"/>
        <w:ind w:left="0"/>
        <w:jc w:val="both"/>
        <w:rPr>
          <w:rFonts w:hAnsi="宋体"/>
        </w:rPr>
      </w:pPr>
      <w:r>
        <w:rPr>
          <w:rFonts w:hint="eastAsia" w:hAnsi="宋体"/>
        </w:rPr>
        <w:t>2.裁判评分方法：采用过程评分和结果评分，过程评分由现场</w:t>
      </w:r>
      <w:r>
        <w:rPr>
          <w:rFonts w:hint="eastAsia" w:hAnsi="宋体"/>
          <w:spacing w:val="-5"/>
        </w:rPr>
        <w:t>裁判对照评分表即时判分，结果评分由现场裁判或流动裁判对照标准</w:t>
      </w:r>
      <w:r>
        <w:rPr>
          <w:rFonts w:hint="eastAsia" w:hAnsi="宋体"/>
          <w:spacing w:val="-102"/>
        </w:rPr>
        <w:t xml:space="preserve"> </w:t>
      </w:r>
      <w:r>
        <w:rPr>
          <w:rFonts w:hint="eastAsia" w:hAnsi="宋体"/>
        </w:rPr>
        <w:t>答案评分。</w:t>
      </w:r>
    </w:p>
    <w:p w14:paraId="25543C31">
      <w:pPr>
        <w:pStyle w:val="5"/>
        <w:kinsoku w:val="0"/>
        <w:overflowPunct w:val="0"/>
        <w:spacing w:before="0" w:line="500" w:lineRule="exact"/>
        <w:ind w:left="0" w:firstLine="560" w:firstLineChars="200"/>
        <w:jc w:val="both"/>
        <w:rPr>
          <w:rFonts w:hAnsi="宋体"/>
        </w:rPr>
      </w:pPr>
      <w:r>
        <w:rPr>
          <w:rFonts w:hint="eastAsia" w:hAnsi="宋体"/>
        </w:rPr>
        <w:t>3.两名记分员在监督仲裁人员现场监督下，对参赛队的评分结</w:t>
      </w:r>
      <w:r>
        <w:rPr>
          <w:rFonts w:hint="eastAsia" w:hAnsi="宋体"/>
          <w:spacing w:val="-5"/>
        </w:rPr>
        <w:t>果进行分步汇总，所有步骤成绩的汇总值作为该参赛队的最后任务得</w:t>
      </w:r>
      <w:r>
        <w:rPr>
          <w:rFonts w:hint="eastAsia" w:hAnsi="宋体"/>
          <w:spacing w:val="-103"/>
        </w:rPr>
        <w:t xml:space="preserve"> </w:t>
      </w:r>
      <w:r>
        <w:rPr>
          <w:rFonts w:hint="eastAsia" w:hAnsi="宋体"/>
          <w:spacing w:val="-10"/>
        </w:rPr>
        <w:t>分，最终生成参赛队总成绩表，由裁判长签字确认后，将工作任务书、</w:t>
      </w:r>
      <w:r>
        <w:rPr>
          <w:rFonts w:hint="eastAsia" w:hAnsi="宋体"/>
          <w:spacing w:val="-84"/>
        </w:rPr>
        <w:t xml:space="preserve"> </w:t>
      </w:r>
      <w:r>
        <w:rPr>
          <w:rFonts w:hint="eastAsia" w:hAnsi="宋体"/>
        </w:rPr>
        <w:t>评分表等相关纸质文档进行封存签字，移交到执委会。</w:t>
      </w:r>
    </w:p>
    <w:p w14:paraId="2B95FC98">
      <w:pPr>
        <w:pStyle w:val="5"/>
        <w:kinsoku w:val="0"/>
        <w:overflowPunct w:val="0"/>
        <w:spacing w:before="0" w:line="500" w:lineRule="exact"/>
        <w:ind w:left="0"/>
        <w:jc w:val="both"/>
        <w:rPr>
          <w:rFonts w:hAnsi="宋体"/>
        </w:rPr>
      </w:pPr>
      <w:r>
        <w:rPr>
          <w:rFonts w:hint="eastAsia" w:hAnsi="宋体"/>
          <w:spacing w:val="-5"/>
        </w:rPr>
        <w:t>4.评分表中所有涂改处均需向裁判长说明并备案；在复查中发现</w:t>
      </w:r>
      <w:r>
        <w:rPr>
          <w:rFonts w:hint="eastAsia" w:hAnsi="宋体"/>
        </w:rPr>
        <w:t>的问题均需向裁判长说明并备案。</w:t>
      </w:r>
    </w:p>
    <w:p w14:paraId="34081010">
      <w:pPr>
        <w:pStyle w:val="5"/>
        <w:kinsoku w:val="0"/>
        <w:overflowPunct w:val="0"/>
        <w:spacing w:before="0" w:line="500" w:lineRule="exact"/>
        <w:ind w:left="0"/>
        <w:jc w:val="both"/>
        <w:rPr>
          <w:rFonts w:hAnsi="宋体"/>
        </w:rPr>
      </w:pPr>
      <w:r>
        <w:rPr>
          <w:rFonts w:hint="eastAsia" w:hAnsi="宋体"/>
        </w:rPr>
        <w:t>5.成绩公布 记分员将解密后的各参赛队伍成绩汇总成比赛成绩，经裁判长、监督仲裁组签字后，公布比赛结果。公布 1小时无异议后，将赛项总 成绩的最终结果录入赛务管理系统，经裁判长、监督仲裁组长从系统导出成绩单上审核签字后，在闭赛式上宣布并颁发证书。</w:t>
      </w:r>
    </w:p>
    <w:p w14:paraId="345CFC2C">
      <w:pPr>
        <w:pStyle w:val="5"/>
        <w:kinsoku w:val="0"/>
        <w:overflowPunct w:val="0"/>
        <w:spacing w:before="0" w:line="500" w:lineRule="exact"/>
        <w:ind w:left="0" w:firstLine="560" w:firstLineChars="200"/>
        <w:jc w:val="both"/>
        <w:rPr>
          <w:rFonts w:hAnsi="宋体"/>
        </w:rPr>
      </w:pPr>
      <w:r>
        <w:rPr>
          <w:rFonts w:hAnsi="宋体"/>
        </w:rPr>
        <w:t>6.</w:t>
      </w:r>
      <w:r>
        <w:rPr>
          <w:rFonts w:hint="eastAsia" w:hAnsi="宋体"/>
        </w:rPr>
        <w:t>竞赛现场与裁判工作现场进行全程视频录像。</w:t>
      </w:r>
    </w:p>
    <w:p w14:paraId="6E42ECF6">
      <w:pPr>
        <w:pStyle w:val="5"/>
        <w:kinsoku w:val="0"/>
        <w:overflowPunct w:val="0"/>
        <w:spacing w:before="0" w:line="500" w:lineRule="exact"/>
        <w:ind w:left="0" w:firstLine="0"/>
        <w:jc w:val="both"/>
        <w:rPr>
          <w:rFonts w:hAnsi="宋体"/>
          <w:b/>
          <w:bCs/>
          <w:spacing w:val="-5"/>
        </w:rPr>
      </w:pPr>
      <w:r>
        <w:rPr>
          <w:rFonts w:hint="eastAsia" w:hAnsi="宋体"/>
          <w:b/>
          <w:bCs/>
        </w:rPr>
        <w:t>十二、奖项设定</w:t>
      </w:r>
    </w:p>
    <w:p w14:paraId="1889966D">
      <w:pPr>
        <w:pStyle w:val="5"/>
        <w:kinsoku w:val="0"/>
        <w:overflowPunct w:val="0"/>
        <w:spacing w:before="0" w:line="500" w:lineRule="exact"/>
        <w:ind w:left="0" w:firstLine="520" w:firstLineChars="200"/>
        <w:jc w:val="both"/>
        <w:rPr>
          <w:rFonts w:hAnsi="宋体"/>
          <w:spacing w:val="-5"/>
        </w:rPr>
      </w:pPr>
      <w:r>
        <w:rPr>
          <w:rFonts w:hint="eastAsia" w:hAnsi="宋体"/>
          <w:spacing w:val="-10"/>
        </w:rPr>
        <w:t>赛项设团体一、二、三等奖。以赛项实际参赛队总数为基数，一、</w:t>
      </w:r>
      <w:r>
        <w:rPr>
          <w:rFonts w:hAnsi="宋体"/>
        </w:rPr>
        <w:t xml:space="preserve"> </w:t>
      </w:r>
      <w:r>
        <w:rPr>
          <w:rFonts w:hint="eastAsia" w:hAnsi="宋体"/>
        </w:rPr>
        <w:t>二、三等奖获奖比例分别为</w:t>
      </w:r>
      <w:r>
        <w:rPr>
          <w:rFonts w:hAnsi="宋体"/>
          <w:spacing w:val="-64"/>
        </w:rPr>
        <w:t xml:space="preserve"> </w:t>
      </w:r>
      <w:r>
        <w:rPr>
          <w:rFonts w:hAnsi="宋体" w:cs="Arial Narrow"/>
          <w:spacing w:val="-8"/>
        </w:rPr>
        <w:t>10%</w:t>
      </w:r>
      <w:r>
        <w:rPr>
          <w:rFonts w:hint="eastAsia" w:hAnsi="宋体"/>
          <w:spacing w:val="-8"/>
        </w:rPr>
        <w:t>、</w:t>
      </w:r>
      <w:r>
        <w:rPr>
          <w:rFonts w:hAnsi="宋体" w:cs="Arial Narrow"/>
          <w:spacing w:val="-8"/>
        </w:rPr>
        <w:t>20%</w:t>
      </w:r>
      <w:r>
        <w:rPr>
          <w:rFonts w:hint="eastAsia" w:hAnsi="宋体"/>
          <w:spacing w:val="-8"/>
        </w:rPr>
        <w:t>、</w:t>
      </w:r>
      <w:r>
        <w:rPr>
          <w:rFonts w:hAnsi="宋体" w:cs="Arial Narrow"/>
          <w:spacing w:val="-8"/>
        </w:rPr>
        <w:t>30%</w:t>
      </w:r>
      <w:r>
        <w:rPr>
          <w:rFonts w:hint="eastAsia" w:hAnsi="宋体"/>
          <w:spacing w:val="-8"/>
        </w:rPr>
        <w:t>（小数点后四舍五入）。</w:t>
      </w:r>
      <w:r>
        <w:rPr>
          <w:rFonts w:hAnsi="宋体"/>
          <w:spacing w:val="-123"/>
        </w:rPr>
        <w:t xml:space="preserve"> </w:t>
      </w:r>
    </w:p>
    <w:p w14:paraId="715C8D37">
      <w:pPr>
        <w:pStyle w:val="5"/>
        <w:kinsoku w:val="0"/>
        <w:overflowPunct w:val="0"/>
        <w:spacing w:before="0" w:line="500" w:lineRule="exact"/>
        <w:ind w:left="0" w:firstLine="0"/>
        <w:jc w:val="both"/>
        <w:rPr>
          <w:b/>
          <w:bCs/>
          <w:spacing w:val="-5"/>
        </w:rPr>
      </w:pPr>
      <w:r>
        <w:rPr>
          <w:rFonts w:hint="eastAsia"/>
          <w:b/>
          <w:bCs/>
        </w:rPr>
        <w:t>十三、赛场预案</w:t>
      </w:r>
    </w:p>
    <w:p w14:paraId="06A26AF9">
      <w:pPr>
        <w:pStyle w:val="5"/>
        <w:kinsoku w:val="0"/>
        <w:overflowPunct w:val="0"/>
        <w:spacing w:before="0" w:line="500" w:lineRule="exact"/>
        <w:ind w:left="0"/>
        <w:jc w:val="both"/>
        <w:rPr>
          <w:rFonts w:hAnsi="宋体"/>
        </w:rPr>
      </w:pPr>
      <w:r>
        <w:rPr>
          <w:rFonts w:hAnsi="宋体" w:cs="Arial Narrow"/>
        </w:rPr>
        <w:t>1.</w:t>
      </w:r>
      <w:r>
        <w:rPr>
          <w:rFonts w:hint="eastAsia" w:hAnsi="宋体"/>
        </w:rPr>
        <w:t>竞赛过程中出现设备掉电、故障等意外时，现场裁判需及时确</w:t>
      </w:r>
      <w:r>
        <w:rPr>
          <w:rFonts w:hint="eastAsia" w:hAnsi="宋体"/>
          <w:spacing w:val="-2"/>
        </w:rPr>
        <w:t>认情况，联系现场技术支持人员进行处理，现场裁判登记详细情况，</w:t>
      </w:r>
      <w:r>
        <w:rPr>
          <w:rFonts w:hint="eastAsia" w:hAnsi="宋体"/>
          <w:spacing w:val="-99"/>
        </w:rPr>
        <w:t xml:space="preserve"> </w:t>
      </w:r>
      <w:r>
        <w:rPr>
          <w:rFonts w:hint="eastAsia" w:hAnsi="宋体"/>
          <w:spacing w:val="-5"/>
        </w:rPr>
        <w:t>填写补时登记表，报裁判长批准后，方可安排延长补足相应选手的比</w:t>
      </w:r>
      <w:r>
        <w:rPr>
          <w:rFonts w:hint="eastAsia" w:hAnsi="宋体"/>
          <w:spacing w:val="-103"/>
        </w:rPr>
        <w:t xml:space="preserve"> </w:t>
      </w:r>
      <w:r>
        <w:rPr>
          <w:rFonts w:hint="eastAsia" w:hAnsi="宋体"/>
        </w:rPr>
        <w:t>赛时间。</w:t>
      </w:r>
    </w:p>
    <w:p w14:paraId="1FEE8CD4">
      <w:pPr>
        <w:pStyle w:val="5"/>
        <w:kinsoku w:val="0"/>
        <w:overflowPunct w:val="0"/>
        <w:spacing w:before="0" w:line="500" w:lineRule="exact"/>
        <w:ind w:left="0"/>
        <w:jc w:val="both"/>
        <w:rPr>
          <w:rFonts w:hAnsi="宋体"/>
          <w:spacing w:val="-125"/>
        </w:rPr>
      </w:pPr>
      <w:r>
        <w:rPr>
          <w:rFonts w:hint="eastAsia" w:hAnsi="宋体" w:cs="Arial Narrow"/>
          <w:spacing w:val="-2"/>
        </w:rPr>
        <w:t>2</w:t>
      </w:r>
      <w:r>
        <w:rPr>
          <w:rFonts w:hAnsi="宋体" w:cs="Arial Narrow"/>
          <w:spacing w:val="-2"/>
        </w:rPr>
        <w:t>.</w:t>
      </w:r>
      <w:r>
        <w:rPr>
          <w:rFonts w:hint="eastAsia" w:hAnsi="宋体"/>
          <w:spacing w:val="-2"/>
        </w:rPr>
        <w:t>本赛项竞赛时为各参赛队独立作业，如竞赛时某赛位参赛队出现意外境况不会影响其它赛位正常比赛，不会由此对成绩产生影响。</w:t>
      </w:r>
      <w:r>
        <w:rPr>
          <w:rFonts w:hint="eastAsia" w:hAnsi="宋体"/>
          <w:spacing w:val="-125"/>
        </w:rPr>
        <w:t xml:space="preserve"> </w:t>
      </w:r>
    </w:p>
    <w:p w14:paraId="1D9D679A">
      <w:pPr>
        <w:pStyle w:val="5"/>
        <w:kinsoku w:val="0"/>
        <w:overflowPunct w:val="0"/>
        <w:spacing w:before="0" w:line="500" w:lineRule="exact"/>
        <w:ind w:left="0"/>
        <w:jc w:val="both"/>
        <w:rPr>
          <w:rFonts w:hAnsi="宋体"/>
        </w:rPr>
      </w:pPr>
      <w:r>
        <w:rPr>
          <w:rFonts w:hint="eastAsia" w:hAnsi="宋体" w:cs="Arial Narrow"/>
        </w:rPr>
        <w:t>3</w:t>
      </w:r>
      <w:r>
        <w:rPr>
          <w:rFonts w:hAnsi="宋体" w:cs="Arial Narrow"/>
        </w:rPr>
        <w:t>.</w:t>
      </w:r>
      <w:r>
        <w:rPr>
          <w:rFonts w:hint="eastAsia" w:hAnsi="宋体"/>
        </w:rPr>
        <w:t>赛场双路供电和备用电源，设有应急医疗点。</w:t>
      </w:r>
    </w:p>
    <w:p w14:paraId="3A9C3678">
      <w:pPr>
        <w:pStyle w:val="5"/>
        <w:kinsoku w:val="0"/>
        <w:overflowPunct w:val="0"/>
        <w:spacing w:before="0" w:line="500" w:lineRule="exact"/>
        <w:ind w:left="0" w:firstLine="552" w:firstLineChars="200"/>
        <w:jc w:val="both"/>
        <w:rPr>
          <w:rFonts w:hAnsi="宋体"/>
          <w:spacing w:val="-5"/>
        </w:rPr>
      </w:pPr>
      <w:r>
        <w:rPr>
          <w:rFonts w:hint="eastAsia" w:hAnsi="宋体" w:cs="Arial Narrow"/>
          <w:spacing w:val="-2"/>
        </w:rPr>
        <w:t>4</w:t>
      </w:r>
      <w:r>
        <w:rPr>
          <w:rFonts w:hAnsi="宋体" w:cs="Arial Narrow"/>
          <w:spacing w:val="-2"/>
        </w:rPr>
        <w:t>.</w:t>
      </w:r>
      <w:r>
        <w:rPr>
          <w:rFonts w:hint="eastAsia" w:hAnsi="宋体"/>
          <w:spacing w:val="-2"/>
        </w:rPr>
        <w:t>比赛期间发生大规模意外事故和安全问题，发现者应第一时间</w:t>
      </w:r>
      <w:r>
        <w:rPr>
          <w:rFonts w:hint="eastAsia" w:hAnsi="宋体"/>
          <w:spacing w:val="-5"/>
        </w:rPr>
        <w:t>报告赛项执委会，赛项执委会应采取中止比赛、快速疏散人群等措施</w:t>
      </w:r>
      <w:r>
        <w:rPr>
          <w:rFonts w:hAnsi="宋体"/>
          <w:spacing w:val="-103"/>
        </w:rPr>
        <w:t xml:space="preserve"> </w:t>
      </w:r>
      <w:r>
        <w:rPr>
          <w:rFonts w:hint="eastAsia" w:hAnsi="宋体"/>
          <w:spacing w:val="-5"/>
        </w:rPr>
        <w:t>避免事态扩大，并第一时间报告赛区执委会。赛项出现重大安全问题</w:t>
      </w:r>
      <w:r>
        <w:rPr>
          <w:rFonts w:hAnsi="宋体"/>
          <w:spacing w:val="-103"/>
        </w:rPr>
        <w:t xml:space="preserve"> </w:t>
      </w:r>
      <w:r>
        <w:rPr>
          <w:rFonts w:hint="eastAsia" w:hAnsi="宋体"/>
          <w:spacing w:val="-5"/>
        </w:rPr>
        <w:t>可以停赛，是否停赛由赛区执委会决定。事后，赛区执委会应向大赛</w:t>
      </w:r>
      <w:r>
        <w:rPr>
          <w:rFonts w:hAnsi="宋体"/>
          <w:spacing w:val="-100"/>
        </w:rPr>
        <w:t xml:space="preserve"> </w:t>
      </w:r>
      <w:r>
        <w:rPr>
          <w:rFonts w:hint="eastAsia" w:hAnsi="宋体"/>
        </w:rPr>
        <w:t>执委会报告详细情况。</w:t>
      </w:r>
    </w:p>
    <w:p w14:paraId="15E263ED">
      <w:pPr>
        <w:pStyle w:val="5"/>
        <w:kinsoku w:val="0"/>
        <w:overflowPunct w:val="0"/>
        <w:spacing w:before="0" w:line="500" w:lineRule="exact"/>
        <w:ind w:left="0" w:firstLine="0"/>
        <w:rPr>
          <w:b/>
          <w:bCs/>
        </w:rPr>
      </w:pPr>
      <w:r>
        <w:rPr>
          <w:rFonts w:hint="eastAsia"/>
          <w:b/>
          <w:bCs/>
        </w:rPr>
        <w:t>十四、赛项安全</w:t>
      </w:r>
    </w:p>
    <w:p w14:paraId="292035C5">
      <w:pPr>
        <w:pStyle w:val="5"/>
        <w:kinsoku w:val="0"/>
        <w:overflowPunct w:val="0"/>
        <w:spacing w:before="0" w:line="500" w:lineRule="exact"/>
        <w:ind w:left="0"/>
        <w:jc w:val="both"/>
      </w:pPr>
      <w:r>
        <w:rPr>
          <w:rFonts w:hint="eastAsia"/>
          <w:spacing w:val="-5"/>
        </w:rPr>
        <w:t>赛事安全是技能竞赛一切工作顺利开展的先决条件，是赛事筹备</w:t>
      </w:r>
      <w:r>
        <w:rPr>
          <w:rFonts w:hint="eastAsia"/>
        </w:rPr>
        <w:t xml:space="preserve"> </w:t>
      </w:r>
      <w:r>
        <w:rPr>
          <w:rFonts w:hint="eastAsia"/>
          <w:spacing w:val="-5"/>
        </w:rPr>
        <w:t>和运行工作必须考虑的核心问题。赛项执委会采取切实有效措施保证</w:t>
      </w:r>
      <w:r>
        <w:rPr>
          <w:rFonts w:hint="eastAsia"/>
          <w:spacing w:val="-102"/>
        </w:rPr>
        <w:t xml:space="preserve"> </w:t>
      </w:r>
      <w:r>
        <w:rPr>
          <w:rFonts w:hint="eastAsia"/>
          <w:spacing w:val="-10"/>
        </w:rPr>
        <w:t>大赛期间参赛选手、裁判员、工作人员及观众的人身安全。</w:t>
      </w:r>
      <w:r>
        <w:rPr>
          <w:rFonts w:hint="eastAsia"/>
          <w:spacing w:val="-84"/>
        </w:rPr>
        <w:t xml:space="preserve"> </w:t>
      </w:r>
    </w:p>
    <w:p w14:paraId="53BB82A8">
      <w:pPr>
        <w:pStyle w:val="3"/>
        <w:kinsoku w:val="0"/>
        <w:overflowPunct w:val="0"/>
        <w:spacing w:before="0" w:line="500" w:lineRule="exact"/>
        <w:ind w:left="0" w:firstLine="560" w:firstLineChars="200"/>
        <w:rPr>
          <w:sz w:val="28"/>
          <w:szCs w:val="28"/>
        </w:rPr>
      </w:pPr>
      <w:r>
        <w:rPr>
          <w:rFonts w:hint="eastAsia"/>
          <w:sz w:val="28"/>
          <w:szCs w:val="28"/>
        </w:rPr>
        <w:t>（一）比赛环境</w:t>
      </w:r>
    </w:p>
    <w:p w14:paraId="5B905ACB">
      <w:pPr>
        <w:pStyle w:val="5"/>
        <w:kinsoku w:val="0"/>
        <w:overflowPunct w:val="0"/>
        <w:spacing w:before="0" w:line="500" w:lineRule="exact"/>
        <w:ind w:left="0"/>
        <w:jc w:val="both"/>
        <w:rPr>
          <w:rFonts w:hAnsi="宋体"/>
        </w:rPr>
      </w:pPr>
      <w:r>
        <w:rPr>
          <w:rFonts w:hAnsi="宋体" w:cs="Arial Narrow"/>
        </w:rPr>
        <w:t>1.</w:t>
      </w:r>
      <w:r>
        <w:rPr>
          <w:rFonts w:hint="eastAsia" w:hAnsi="宋体"/>
        </w:rPr>
        <w:t xml:space="preserve">执委会须在赛前组织专人对比赛现场、住宿场所和交通保障进 </w:t>
      </w:r>
      <w:r>
        <w:rPr>
          <w:rFonts w:hint="eastAsia" w:hAnsi="宋体"/>
          <w:spacing w:val="-2"/>
        </w:rPr>
        <w:t>行考察，并对安全工作提出明确要求。赛场的布置，赛场内的器材、</w:t>
      </w:r>
      <w:r>
        <w:rPr>
          <w:rFonts w:hint="eastAsia" w:hAnsi="宋体"/>
          <w:spacing w:val="-99"/>
        </w:rPr>
        <w:t xml:space="preserve"> </w:t>
      </w:r>
      <w:r>
        <w:rPr>
          <w:rFonts w:hint="eastAsia" w:hAnsi="宋体"/>
          <w:spacing w:val="-5"/>
        </w:rPr>
        <w:t>设备，应符合国家有关安全规定。如有必要，也可进行赛场仿真模拟</w:t>
      </w:r>
      <w:r>
        <w:rPr>
          <w:rFonts w:hint="eastAsia" w:hAnsi="宋体"/>
          <w:spacing w:val="-100"/>
        </w:rPr>
        <w:t xml:space="preserve"> </w:t>
      </w:r>
      <w:r>
        <w:rPr>
          <w:rFonts w:hint="eastAsia" w:hAnsi="宋体"/>
          <w:spacing w:val="-5"/>
        </w:rPr>
        <w:t>测试，以发现可能出现的问题。承办单位赛前须按照执委会要求排除</w:t>
      </w:r>
      <w:r>
        <w:rPr>
          <w:rFonts w:hint="eastAsia" w:hAnsi="宋体"/>
        </w:rPr>
        <w:t>安全隐患。</w:t>
      </w:r>
    </w:p>
    <w:p w14:paraId="4BF80FF0">
      <w:pPr>
        <w:pStyle w:val="5"/>
        <w:kinsoku w:val="0"/>
        <w:overflowPunct w:val="0"/>
        <w:spacing w:before="0" w:line="500" w:lineRule="exact"/>
        <w:ind w:left="0"/>
        <w:jc w:val="both"/>
        <w:rPr>
          <w:rFonts w:hAnsi="宋体"/>
        </w:rPr>
      </w:pPr>
      <w:r>
        <w:rPr>
          <w:rFonts w:hAnsi="宋体" w:cs="Arial Narrow"/>
          <w:spacing w:val="-2"/>
        </w:rPr>
        <w:t>2.</w:t>
      </w:r>
      <w:r>
        <w:rPr>
          <w:rFonts w:hint="eastAsia" w:hAnsi="宋体"/>
          <w:spacing w:val="-2"/>
        </w:rPr>
        <w:t>赛场周围要设立警戒线，要求所有参赛人员必须凭执委会印发</w:t>
      </w:r>
      <w:r>
        <w:rPr>
          <w:rFonts w:hint="eastAsia" w:hAnsi="宋体"/>
          <w:spacing w:val="-5"/>
        </w:rPr>
        <w:t>的有效证件进入场地，防止无关人员进入发生意外事件。比赛现场内</w:t>
      </w:r>
      <w:r>
        <w:rPr>
          <w:rFonts w:hint="eastAsia" w:hAnsi="宋体"/>
          <w:spacing w:val="-103"/>
        </w:rPr>
        <w:t xml:space="preserve"> </w:t>
      </w:r>
      <w:r>
        <w:rPr>
          <w:rFonts w:hint="eastAsia" w:hAnsi="宋体"/>
          <w:spacing w:val="-5"/>
        </w:rPr>
        <w:t>应参照相关职业岗位的要求为选手提供必要的劳动保护。在具有危险</w:t>
      </w:r>
      <w:r>
        <w:rPr>
          <w:rFonts w:hint="eastAsia" w:hAnsi="宋体"/>
          <w:spacing w:val="-103"/>
        </w:rPr>
        <w:t xml:space="preserve"> </w:t>
      </w:r>
      <w:r>
        <w:rPr>
          <w:rFonts w:hint="eastAsia" w:hAnsi="宋体"/>
        </w:rPr>
        <w:t>性的操作环节，裁判员要严防选手出现错误操作。</w:t>
      </w:r>
    </w:p>
    <w:p w14:paraId="06883D23">
      <w:pPr>
        <w:pStyle w:val="5"/>
        <w:kinsoku w:val="0"/>
        <w:overflowPunct w:val="0"/>
        <w:spacing w:before="0" w:line="500" w:lineRule="exact"/>
        <w:ind w:left="0"/>
        <w:jc w:val="both"/>
        <w:rPr>
          <w:rFonts w:hAnsi="宋体"/>
        </w:rPr>
      </w:pPr>
      <w:r>
        <w:rPr>
          <w:rFonts w:hAnsi="宋体" w:cs="Arial Narrow"/>
          <w:spacing w:val="-2"/>
        </w:rPr>
        <w:t>3.</w:t>
      </w:r>
      <w:r>
        <w:rPr>
          <w:rFonts w:hint="eastAsia" w:hAnsi="宋体"/>
          <w:spacing w:val="-2"/>
        </w:rPr>
        <w:t>承办单位应提供保证应急预案实施的条件。对于比赛内容涉及</w:t>
      </w:r>
      <w:r>
        <w:rPr>
          <w:rFonts w:hint="eastAsia" w:hAnsi="宋体"/>
          <w:spacing w:val="-5"/>
        </w:rPr>
        <w:t>高空作业、可能有坠物、大用电量、易发生火灾等情况的赛项，必须</w:t>
      </w:r>
      <w:r>
        <w:rPr>
          <w:rFonts w:hint="eastAsia" w:hAnsi="宋体"/>
          <w:spacing w:val="-101"/>
        </w:rPr>
        <w:t xml:space="preserve"> </w:t>
      </w:r>
      <w:r>
        <w:rPr>
          <w:rFonts w:hint="eastAsia" w:hAnsi="宋体"/>
        </w:rPr>
        <w:t>明确制度和预案，并配备急救人员与设施。</w:t>
      </w:r>
    </w:p>
    <w:p w14:paraId="339E1E1D">
      <w:pPr>
        <w:pStyle w:val="5"/>
        <w:kinsoku w:val="0"/>
        <w:overflowPunct w:val="0"/>
        <w:spacing w:before="0" w:line="500" w:lineRule="exact"/>
        <w:ind w:left="0"/>
        <w:jc w:val="both"/>
        <w:rPr>
          <w:rFonts w:hAnsi="宋体"/>
        </w:rPr>
      </w:pPr>
      <w:r>
        <w:rPr>
          <w:rFonts w:hAnsi="宋体" w:cs="Arial Narrow"/>
          <w:spacing w:val="7"/>
        </w:rPr>
        <w:t>4.</w:t>
      </w:r>
      <w:r>
        <w:rPr>
          <w:rFonts w:hint="eastAsia" w:hAnsi="宋体"/>
          <w:spacing w:val="7"/>
        </w:rPr>
        <w:t>严格控制与参赛无关的易燃易爆以及各类危险品进入比赛场</w:t>
      </w:r>
      <w:r>
        <w:rPr>
          <w:rFonts w:hint="eastAsia" w:hAnsi="宋体"/>
        </w:rPr>
        <w:t xml:space="preserve"> 地，不许随便携带书包进入赛场。</w:t>
      </w:r>
    </w:p>
    <w:p w14:paraId="53F6136E">
      <w:pPr>
        <w:pStyle w:val="5"/>
        <w:kinsoku w:val="0"/>
        <w:overflowPunct w:val="0"/>
        <w:spacing w:before="0" w:line="500" w:lineRule="exact"/>
        <w:ind w:left="0"/>
        <w:jc w:val="both"/>
        <w:rPr>
          <w:rFonts w:hAnsi="宋体"/>
        </w:rPr>
      </w:pPr>
      <w:r>
        <w:rPr>
          <w:rFonts w:hAnsi="宋体" w:cs="Arial Narrow"/>
          <w:spacing w:val="-2"/>
        </w:rPr>
        <w:t>5.</w:t>
      </w:r>
      <w:r>
        <w:rPr>
          <w:rFonts w:hint="eastAsia" w:hAnsi="宋体"/>
          <w:spacing w:val="-2"/>
        </w:rPr>
        <w:t>配备先进的仪器，防止有人利用电磁波干扰比赛秩序。大赛现</w:t>
      </w:r>
      <w:r>
        <w:rPr>
          <w:rFonts w:hint="eastAsia" w:hAnsi="宋体"/>
          <w:spacing w:val="-5"/>
        </w:rPr>
        <w:t>场需对赛场进行网络安全控制，以免场内外信息交互，充分体现大赛</w:t>
      </w:r>
      <w:r>
        <w:rPr>
          <w:rFonts w:hint="eastAsia" w:hAnsi="宋体"/>
          <w:spacing w:val="-103"/>
        </w:rPr>
        <w:t xml:space="preserve"> </w:t>
      </w:r>
      <w:r>
        <w:rPr>
          <w:rFonts w:hint="eastAsia" w:hAnsi="宋体"/>
        </w:rPr>
        <w:t>的严肃、公平和公正性。</w:t>
      </w:r>
    </w:p>
    <w:p w14:paraId="22543516">
      <w:pPr>
        <w:pStyle w:val="5"/>
        <w:kinsoku w:val="0"/>
        <w:overflowPunct w:val="0"/>
        <w:spacing w:before="0" w:line="500" w:lineRule="exact"/>
        <w:ind w:left="0"/>
        <w:jc w:val="both"/>
        <w:rPr>
          <w:rFonts w:hAnsi="宋体"/>
        </w:rPr>
      </w:pPr>
      <w:r>
        <w:rPr>
          <w:rFonts w:hAnsi="宋体" w:cs="Arial Narrow"/>
          <w:spacing w:val="7"/>
        </w:rPr>
        <w:t>6.</w:t>
      </w:r>
      <w:r>
        <w:rPr>
          <w:rFonts w:hint="eastAsia" w:hAnsi="宋体"/>
          <w:spacing w:val="7"/>
        </w:rPr>
        <w:t>执委会须会同承办单位制定开放赛场和体验区的人员疏导方</w:t>
      </w:r>
      <w:r>
        <w:rPr>
          <w:rFonts w:hint="eastAsia" w:hAnsi="宋体"/>
        </w:rPr>
        <w:t xml:space="preserve"> </w:t>
      </w:r>
      <w:r>
        <w:rPr>
          <w:rFonts w:hint="eastAsia" w:hAnsi="宋体"/>
          <w:spacing w:val="-5"/>
        </w:rPr>
        <w:t>案。赛场环境中存在人员密集、车流人流交错的区域，除了设置齐全</w:t>
      </w:r>
      <w:r>
        <w:rPr>
          <w:rFonts w:hint="eastAsia" w:hAnsi="宋体"/>
          <w:spacing w:val="-102"/>
        </w:rPr>
        <w:t xml:space="preserve"> </w:t>
      </w:r>
      <w:r>
        <w:rPr>
          <w:rFonts w:hint="eastAsia" w:hAnsi="宋体"/>
        </w:rPr>
        <w:t>的指示标志外，须增加引导人员，并开辟备用通道。</w:t>
      </w:r>
    </w:p>
    <w:p w14:paraId="13854378">
      <w:pPr>
        <w:pStyle w:val="5"/>
        <w:kinsoku w:val="0"/>
        <w:overflowPunct w:val="0"/>
        <w:spacing w:before="0" w:line="500" w:lineRule="exact"/>
        <w:ind w:left="0"/>
        <w:jc w:val="both"/>
        <w:rPr>
          <w:rFonts w:hAnsi="宋体"/>
        </w:rPr>
      </w:pPr>
      <w:r>
        <w:rPr>
          <w:rFonts w:hAnsi="宋体" w:cs="Arial Narrow"/>
          <w:spacing w:val="-2"/>
        </w:rPr>
        <w:t>7.</w:t>
      </w:r>
      <w:r>
        <w:rPr>
          <w:rFonts w:hint="eastAsia" w:hAnsi="宋体"/>
          <w:spacing w:val="-2"/>
        </w:rPr>
        <w:t>大赛期间，承办单位须在赛场管理的关键岗位，增加力量，建</w:t>
      </w:r>
      <w:r>
        <w:rPr>
          <w:rFonts w:hint="eastAsia" w:hAnsi="宋体"/>
        </w:rPr>
        <w:t>立安全管理日志。</w:t>
      </w:r>
    </w:p>
    <w:p w14:paraId="7A7A0817">
      <w:pPr>
        <w:pStyle w:val="3"/>
        <w:kinsoku w:val="0"/>
        <w:overflowPunct w:val="0"/>
        <w:spacing w:before="0" w:line="500" w:lineRule="exact"/>
        <w:ind w:left="0" w:firstLine="560" w:firstLineChars="200"/>
        <w:rPr>
          <w:sz w:val="28"/>
          <w:szCs w:val="28"/>
        </w:rPr>
      </w:pPr>
      <w:r>
        <w:rPr>
          <w:rFonts w:hint="eastAsia"/>
          <w:sz w:val="28"/>
          <w:szCs w:val="28"/>
        </w:rPr>
        <w:t>（二）生活条件</w:t>
      </w:r>
    </w:p>
    <w:p w14:paraId="36954EB8">
      <w:pPr>
        <w:pStyle w:val="5"/>
        <w:kinsoku w:val="0"/>
        <w:overflowPunct w:val="0"/>
        <w:spacing w:before="0" w:line="500" w:lineRule="exact"/>
        <w:ind w:left="0"/>
        <w:jc w:val="both"/>
        <w:rPr>
          <w:rFonts w:hAnsi="宋体"/>
        </w:rPr>
      </w:pPr>
      <w:r>
        <w:rPr>
          <w:rFonts w:hAnsi="宋体" w:cs="Arial Narrow"/>
          <w:spacing w:val="-2"/>
        </w:rPr>
        <w:t>1.</w:t>
      </w:r>
      <w:r>
        <w:rPr>
          <w:rFonts w:hint="eastAsia" w:hAnsi="宋体"/>
          <w:spacing w:val="-2"/>
        </w:rPr>
        <w:t>比赛期间，原则上由赛项执委会统一安排参赛选手</w:t>
      </w:r>
      <w:r>
        <w:rPr>
          <w:rFonts w:hint="eastAsia" w:hAnsi="宋体"/>
          <w:spacing w:val="-5"/>
        </w:rPr>
        <w:t>食宿。承办单位须尊重少数民族的信仰及文化，根据国家相关的民族</w:t>
      </w:r>
      <w:r>
        <w:rPr>
          <w:rFonts w:hint="eastAsia" w:hAnsi="宋体"/>
          <w:spacing w:val="-103"/>
        </w:rPr>
        <w:t xml:space="preserve"> </w:t>
      </w:r>
      <w:r>
        <w:rPr>
          <w:rFonts w:hint="eastAsia" w:hAnsi="宋体"/>
        </w:rPr>
        <w:t>政策，安排好少数民族选手和教师的饮食起居。</w:t>
      </w:r>
    </w:p>
    <w:p w14:paraId="18F9C622">
      <w:pPr>
        <w:pStyle w:val="5"/>
        <w:kinsoku w:val="0"/>
        <w:overflowPunct w:val="0"/>
        <w:spacing w:before="0" w:line="500" w:lineRule="exact"/>
        <w:ind w:left="0"/>
        <w:jc w:val="both"/>
        <w:rPr>
          <w:rFonts w:hAnsi="宋体"/>
        </w:rPr>
      </w:pPr>
      <w:r>
        <w:rPr>
          <w:rFonts w:hAnsi="宋体" w:cs="Arial Narrow"/>
          <w:spacing w:val="-4"/>
        </w:rPr>
        <w:t>2.</w:t>
      </w:r>
      <w:r>
        <w:rPr>
          <w:rFonts w:hint="eastAsia" w:hAnsi="宋体"/>
          <w:spacing w:val="-4"/>
        </w:rPr>
        <w:t>比赛期间安排的住宿地应具有宾馆</w:t>
      </w:r>
      <w:r>
        <w:rPr>
          <w:rFonts w:hAnsi="宋体" w:cs="Arial Narrow"/>
          <w:spacing w:val="-4"/>
        </w:rPr>
        <w:t>/</w:t>
      </w:r>
      <w:r>
        <w:rPr>
          <w:rFonts w:hint="eastAsia" w:hAnsi="宋体"/>
          <w:spacing w:val="-4"/>
        </w:rPr>
        <w:t>住宿经营许可资质。以学校</w:t>
      </w:r>
      <w:r>
        <w:rPr>
          <w:rFonts w:hint="eastAsia" w:hAnsi="宋体"/>
          <w:spacing w:val="-5"/>
        </w:rPr>
        <w:t>宿舍作为住宿地的，大赛期间的住宿、卫生、饮食安全等由执委会和</w:t>
      </w:r>
      <w:r>
        <w:rPr>
          <w:rFonts w:hint="eastAsia" w:hAnsi="宋体"/>
          <w:spacing w:val="-100"/>
        </w:rPr>
        <w:t xml:space="preserve"> </w:t>
      </w:r>
      <w:r>
        <w:rPr>
          <w:rFonts w:hint="eastAsia" w:hAnsi="宋体"/>
        </w:rPr>
        <w:t>提供宿舍的学校共同负责。</w:t>
      </w:r>
    </w:p>
    <w:p w14:paraId="4132BF4C">
      <w:pPr>
        <w:pStyle w:val="5"/>
        <w:kinsoku w:val="0"/>
        <w:overflowPunct w:val="0"/>
        <w:spacing w:before="0" w:line="500" w:lineRule="exact"/>
        <w:ind w:left="0"/>
        <w:jc w:val="both"/>
        <w:rPr>
          <w:rFonts w:hAnsi="宋体"/>
        </w:rPr>
      </w:pPr>
      <w:r>
        <w:rPr>
          <w:rFonts w:hAnsi="宋体" w:cs="Arial Narrow"/>
          <w:spacing w:val="-2"/>
        </w:rPr>
        <w:t>3.</w:t>
      </w:r>
      <w:r>
        <w:rPr>
          <w:rFonts w:hint="eastAsia" w:hAnsi="宋体"/>
          <w:spacing w:val="-2"/>
        </w:rPr>
        <w:t>大赛期间有组织的参观和观摩活动的交通安全由执委会负责。</w:t>
      </w:r>
      <w:r>
        <w:rPr>
          <w:rFonts w:hint="eastAsia" w:hAnsi="宋体"/>
          <w:spacing w:val="-5"/>
        </w:rPr>
        <w:t>执委会和承办单位须保证比赛期间选手、裁判员、工作人</w:t>
      </w:r>
      <w:r>
        <w:rPr>
          <w:rFonts w:hint="eastAsia" w:hAnsi="宋体"/>
          <w:spacing w:val="-103"/>
        </w:rPr>
        <w:t xml:space="preserve"> </w:t>
      </w:r>
      <w:r>
        <w:rPr>
          <w:rFonts w:hint="eastAsia" w:hAnsi="宋体"/>
        </w:rPr>
        <w:t>员的交通安全。</w:t>
      </w:r>
    </w:p>
    <w:p w14:paraId="52E1A23F">
      <w:pPr>
        <w:pStyle w:val="5"/>
        <w:kinsoku w:val="0"/>
        <w:overflowPunct w:val="0"/>
        <w:spacing w:before="0" w:line="500" w:lineRule="exact"/>
        <w:ind w:left="0"/>
        <w:jc w:val="both"/>
        <w:rPr>
          <w:rFonts w:hAnsi="宋体"/>
        </w:rPr>
      </w:pPr>
      <w:r>
        <w:rPr>
          <w:rFonts w:hAnsi="宋体" w:cs="Arial Narrow"/>
          <w:spacing w:val="-2"/>
        </w:rPr>
        <w:t>4.</w:t>
      </w:r>
      <w:r>
        <w:rPr>
          <w:rFonts w:hint="eastAsia" w:hAnsi="宋体"/>
          <w:spacing w:val="-2"/>
        </w:rPr>
        <w:t>各赛项的安全管理，除了可以采取必要的安全隔离措施外，应</w:t>
      </w:r>
      <w:r>
        <w:rPr>
          <w:rFonts w:hint="eastAsia" w:hAnsi="宋体"/>
        </w:rPr>
        <w:t>严格遵守国家相关法律法规，保护个人隐私和人身自由。</w:t>
      </w:r>
    </w:p>
    <w:p w14:paraId="351A2A59">
      <w:pPr>
        <w:pStyle w:val="3"/>
        <w:kinsoku w:val="0"/>
        <w:overflowPunct w:val="0"/>
        <w:spacing w:before="0" w:line="500" w:lineRule="exact"/>
        <w:ind w:left="0" w:firstLine="560" w:firstLineChars="200"/>
        <w:rPr>
          <w:sz w:val="28"/>
          <w:szCs w:val="28"/>
        </w:rPr>
      </w:pPr>
      <w:r>
        <w:rPr>
          <w:rFonts w:hint="eastAsia"/>
          <w:sz w:val="28"/>
          <w:szCs w:val="28"/>
        </w:rPr>
        <w:t>（三）组队责任</w:t>
      </w:r>
    </w:p>
    <w:p w14:paraId="47D75B8B">
      <w:pPr>
        <w:pStyle w:val="5"/>
        <w:kinsoku w:val="0"/>
        <w:overflowPunct w:val="0"/>
        <w:spacing w:before="0" w:line="500" w:lineRule="exact"/>
        <w:ind w:left="0"/>
        <w:jc w:val="both"/>
        <w:rPr>
          <w:rFonts w:hAnsi="宋体"/>
        </w:rPr>
      </w:pPr>
      <w:r>
        <w:rPr>
          <w:rFonts w:hAnsi="宋体" w:cs="Arial Narrow"/>
          <w:spacing w:val="-2"/>
        </w:rPr>
        <w:t>1.</w:t>
      </w:r>
      <w:r>
        <w:rPr>
          <w:rFonts w:hint="eastAsia" w:hAnsi="宋体"/>
          <w:spacing w:val="-2"/>
        </w:rPr>
        <w:t>各学校组织代表队时，须安排为参赛选手购买大赛期间的人身</w:t>
      </w:r>
      <w:r>
        <w:rPr>
          <w:rFonts w:hint="eastAsia" w:hAnsi="宋体"/>
        </w:rPr>
        <w:t>意外伤害保险。</w:t>
      </w:r>
    </w:p>
    <w:p w14:paraId="2BDFBAB7">
      <w:pPr>
        <w:pStyle w:val="5"/>
        <w:kinsoku w:val="0"/>
        <w:overflowPunct w:val="0"/>
        <w:spacing w:before="0" w:line="500" w:lineRule="exact"/>
        <w:ind w:left="0"/>
        <w:jc w:val="both"/>
        <w:rPr>
          <w:rFonts w:hAnsi="宋体"/>
        </w:rPr>
      </w:pPr>
      <w:r>
        <w:rPr>
          <w:rFonts w:hAnsi="宋体" w:cs="Arial Narrow"/>
          <w:spacing w:val="-2"/>
        </w:rPr>
        <w:t>2.</w:t>
      </w:r>
      <w:r>
        <w:rPr>
          <w:rFonts w:hint="eastAsia" w:hAnsi="宋体"/>
          <w:spacing w:val="-2"/>
        </w:rPr>
        <w:t>各学校代表队组成后，须制定相关管理制度，并对所有选手</w:t>
      </w:r>
      <w:r>
        <w:rPr>
          <w:rFonts w:hint="eastAsia" w:hAnsi="宋体"/>
        </w:rPr>
        <w:t>进行安全教育。</w:t>
      </w:r>
    </w:p>
    <w:p w14:paraId="410AC271">
      <w:pPr>
        <w:pStyle w:val="5"/>
        <w:kinsoku w:val="0"/>
        <w:overflowPunct w:val="0"/>
        <w:spacing w:before="0" w:line="500" w:lineRule="exact"/>
        <w:ind w:left="0"/>
        <w:jc w:val="both"/>
        <w:rPr>
          <w:rFonts w:hAnsi="宋体"/>
        </w:rPr>
      </w:pPr>
      <w:r>
        <w:rPr>
          <w:rFonts w:hAnsi="宋体" w:cs="Arial Narrow"/>
          <w:spacing w:val="-2"/>
        </w:rPr>
        <w:t>3.</w:t>
      </w:r>
      <w:r>
        <w:rPr>
          <w:rFonts w:hint="eastAsia" w:hAnsi="宋体"/>
          <w:spacing w:val="-2"/>
        </w:rPr>
        <w:t>各参赛队伍须加强对参与比赛人员的安全管理，实现与赛场安</w:t>
      </w:r>
      <w:r>
        <w:rPr>
          <w:rFonts w:hint="eastAsia" w:hAnsi="宋体"/>
        </w:rPr>
        <w:t>全管理的对接。</w:t>
      </w:r>
    </w:p>
    <w:p w14:paraId="54D23939">
      <w:pPr>
        <w:pStyle w:val="3"/>
        <w:kinsoku w:val="0"/>
        <w:overflowPunct w:val="0"/>
        <w:spacing w:before="0" w:line="500" w:lineRule="exact"/>
        <w:ind w:left="0" w:firstLine="560" w:firstLineChars="200"/>
        <w:rPr>
          <w:sz w:val="28"/>
          <w:szCs w:val="28"/>
        </w:rPr>
      </w:pPr>
      <w:r>
        <w:rPr>
          <w:rFonts w:hint="eastAsia"/>
          <w:sz w:val="28"/>
          <w:szCs w:val="28"/>
        </w:rPr>
        <w:t>（四）应急处理</w:t>
      </w:r>
    </w:p>
    <w:p w14:paraId="1FEA272F">
      <w:pPr>
        <w:pStyle w:val="5"/>
        <w:kinsoku w:val="0"/>
        <w:overflowPunct w:val="0"/>
        <w:spacing w:before="0" w:line="500" w:lineRule="exact"/>
        <w:ind w:left="0"/>
        <w:jc w:val="both"/>
      </w:pPr>
      <w:r>
        <w:rPr>
          <w:rFonts w:hint="eastAsia"/>
          <w:spacing w:val="-5"/>
        </w:rPr>
        <w:t>比赛期间发生意外事故，发现者应第一时间报告执委会，同时采</w:t>
      </w:r>
      <w:r>
        <w:rPr>
          <w:rFonts w:hint="eastAsia"/>
          <w:spacing w:val="4"/>
        </w:rPr>
        <w:t>取措施避免事态扩大。执委会应立即启动预案予以解决并报告组委</w:t>
      </w:r>
      <w:r>
        <w:rPr>
          <w:rFonts w:hint="eastAsia"/>
          <w:spacing w:val="-80"/>
        </w:rPr>
        <w:t xml:space="preserve"> </w:t>
      </w:r>
      <w:r>
        <w:rPr>
          <w:rFonts w:hint="eastAsia"/>
          <w:spacing w:val="-10"/>
        </w:rPr>
        <w:t>会。赛项出现重大安全问题可以停赛，是否停赛由执委会决定。事后，</w:t>
      </w:r>
      <w:r>
        <w:rPr>
          <w:rFonts w:hint="eastAsia"/>
          <w:spacing w:val="-84"/>
        </w:rPr>
        <w:t xml:space="preserve"> </w:t>
      </w:r>
      <w:r>
        <w:rPr>
          <w:rFonts w:hint="eastAsia"/>
        </w:rPr>
        <w:t>执委会应向组委会报告详细情况。</w:t>
      </w:r>
    </w:p>
    <w:p w14:paraId="74EE09FE">
      <w:pPr>
        <w:pStyle w:val="3"/>
        <w:kinsoku w:val="0"/>
        <w:overflowPunct w:val="0"/>
        <w:spacing w:before="0" w:line="500" w:lineRule="exact"/>
        <w:ind w:left="0" w:firstLine="560" w:firstLineChars="200"/>
        <w:rPr>
          <w:sz w:val="28"/>
          <w:szCs w:val="28"/>
        </w:rPr>
      </w:pPr>
      <w:r>
        <w:rPr>
          <w:rFonts w:hint="eastAsia"/>
          <w:sz w:val="28"/>
          <w:szCs w:val="28"/>
        </w:rPr>
        <w:t>（五）处罚措施</w:t>
      </w:r>
    </w:p>
    <w:p w14:paraId="6B023FE5">
      <w:pPr>
        <w:pStyle w:val="5"/>
        <w:kinsoku w:val="0"/>
        <w:overflowPunct w:val="0"/>
        <w:spacing w:before="0" w:line="500" w:lineRule="exact"/>
        <w:ind w:left="0" w:firstLine="560" w:firstLineChars="200"/>
        <w:rPr>
          <w:rFonts w:hAnsi="宋体"/>
        </w:rPr>
      </w:pPr>
      <w:r>
        <w:rPr>
          <w:rFonts w:hAnsi="宋体" w:cs="Arial Narrow"/>
        </w:rPr>
        <w:t>1.</w:t>
      </w:r>
      <w:r>
        <w:rPr>
          <w:rFonts w:hint="eastAsia" w:hAnsi="宋体"/>
        </w:rPr>
        <w:t>因参赛队伍原因造成重大安全事故的，取消其获奖资格。</w:t>
      </w:r>
    </w:p>
    <w:p w14:paraId="505A2050">
      <w:pPr>
        <w:pStyle w:val="5"/>
        <w:kinsoku w:val="0"/>
        <w:overflowPunct w:val="0"/>
        <w:spacing w:before="0" w:line="500" w:lineRule="exact"/>
        <w:ind w:left="0" w:firstLine="552" w:firstLineChars="200"/>
        <w:jc w:val="both"/>
        <w:rPr>
          <w:rFonts w:hAnsi="宋体"/>
        </w:rPr>
      </w:pPr>
      <w:r>
        <w:rPr>
          <w:rFonts w:hAnsi="宋体" w:cs="Arial Narrow"/>
          <w:spacing w:val="-2"/>
        </w:rPr>
        <w:t>2.</w:t>
      </w:r>
      <w:r>
        <w:rPr>
          <w:rFonts w:hint="eastAsia" w:hAnsi="宋体"/>
          <w:spacing w:val="-2"/>
        </w:rPr>
        <w:t>参赛队伍有发生重大安全事故隐患，经赛场工作人员提示、警</w:t>
      </w:r>
      <w:r>
        <w:rPr>
          <w:rFonts w:hint="eastAsia" w:hAnsi="宋体"/>
        </w:rPr>
        <w:t>告无效的，可取消其继续比赛的资格。</w:t>
      </w:r>
    </w:p>
    <w:p w14:paraId="2C967B19">
      <w:pPr>
        <w:pStyle w:val="5"/>
        <w:kinsoku w:val="0"/>
        <w:overflowPunct w:val="0"/>
        <w:spacing w:before="0" w:line="500" w:lineRule="exact"/>
        <w:ind w:left="0"/>
        <w:jc w:val="both"/>
        <w:rPr>
          <w:rFonts w:hAnsi="宋体"/>
        </w:rPr>
      </w:pPr>
      <w:r>
        <w:rPr>
          <w:rFonts w:hAnsi="宋体" w:cs="Arial Narrow"/>
          <w:spacing w:val="-2"/>
        </w:rPr>
        <w:t>3.</w:t>
      </w:r>
      <w:r>
        <w:rPr>
          <w:rFonts w:hint="eastAsia" w:hAnsi="宋体"/>
          <w:spacing w:val="-2"/>
        </w:rPr>
        <w:t>赛事工作人员违规的，按照相应的制度追究责任。情节恶劣并</w:t>
      </w:r>
      <w:r>
        <w:rPr>
          <w:rFonts w:hint="eastAsia" w:hAnsi="宋体"/>
        </w:rPr>
        <w:t>造成重大安全事故的，由司法机关追究相应法律责任。</w:t>
      </w:r>
    </w:p>
    <w:p w14:paraId="23FD4659">
      <w:pPr>
        <w:pStyle w:val="2"/>
        <w:kinsoku w:val="0"/>
        <w:overflowPunct w:val="0"/>
        <w:spacing w:before="0" w:after="0" w:line="500" w:lineRule="exact"/>
        <w:rPr>
          <w:rFonts w:hAnsi="Times New Roman"/>
          <w:b w:val="0"/>
          <w:bCs w:val="0"/>
          <w:sz w:val="28"/>
          <w:szCs w:val="28"/>
        </w:rPr>
      </w:pPr>
      <w:r>
        <w:rPr>
          <w:rFonts w:hint="eastAsia"/>
          <w:sz w:val="28"/>
          <w:szCs w:val="28"/>
        </w:rPr>
        <w:t>十五、竞赛须知</w:t>
      </w:r>
    </w:p>
    <w:p w14:paraId="46809D1F">
      <w:pPr>
        <w:pStyle w:val="3"/>
        <w:kinsoku w:val="0"/>
        <w:overflowPunct w:val="0"/>
        <w:spacing w:before="0" w:line="500" w:lineRule="exact"/>
        <w:ind w:left="0"/>
        <w:rPr>
          <w:sz w:val="28"/>
          <w:szCs w:val="28"/>
        </w:rPr>
      </w:pPr>
      <w:r>
        <w:rPr>
          <w:rFonts w:hint="eastAsia"/>
          <w:sz w:val="28"/>
          <w:szCs w:val="28"/>
        </w:rPr>
        <w:t>（一）参赛队须知</w:t>
      </w:r>
    </w:p>
    <w:p w14:paraId="4F189177">
      <w:pPr>
        <w:pStyle w:val="5"/>
        <w:kinsoku w:val="0"/>
        <w:overflowPunct w:val="0"/>
        <w:spacing w:before="0" w:line="500" w:lineRule="exact"/>
        <w:ind w:left="0"/>
        <w:jc w:val="both"/>
        <w:rPr>
          <w:rFonts w:hAnsi="宋体"/>
        </w:rPr>
      </w:pPr>
      <w:r>
        <w:rPr>
          <w:rFonts w:hAnsi="宋体" w:cs="Arial Narrow"/>
          <w:spacing w:val="-2"/>
        </w:rPr>
        <w:t>1.</w:t>
      </w:r>
      <w:r>
        <w:rPr>
          <w:rFonts w:hint="eastAsia" w:hAnsi="宋体"/>
          <w:spacing w:val="-2"/>
        </w:rPr>
        <w:t>参赛队名称统一使用规定的地区代表队名称，不使用学校或其</w:t>
      </w:r>
      <w:r>
        <w:rPr>
          <w:rFonts w:hint="eastAsia" w:hAnsi="宋体"/>
        </w:rPr>
        <w:t>他组织、团体名称。</w:t>
      </w:r>
    </w:p>
    <w:p w14:paraId="7C916EF3">
      <w:pPr>
        <w:pStyle w:val="5"/>
        <w:kinsoku w:val="0"/>
        <w:overflowPunct w:val="0"/>
        <w:spacing w:before="0" w:line="500" w:lineRule="exact"/>
        <w:ind w:left="0"/>
        <w:jc w:val="both"/>
        <w:rPr>
          <w:rFonts w:hAnsi="宋体"/>
        </w:rPr>
      </w:pPr>
      <w:r>
        <w:rPr>
          <w:rFonts w:hAnsi="宋体" w:cs="Arial Narrow"/>
          <w:spacing w:val="-2"/>
        </w:rPr>
        <w:t>2.</w:t>
      </w:r>
      <w:r>
        <w:rPr>
          <w:rFonts w:hint="eastAsia" w:hAnsi="宋体"/>
          <w:spacing w:val="-2"/>
        </w:rPr>
        <w:t>参赛队员在报名获得审核确认后，原则上不再更换，如筹备过</w:t>
      </w:r>
      <w:r>
        <w:rPr>
          <w:rFonts w:hint="eastAsia" w:hAnsi="宋体"/>
          <w:spacing w:val="-5"/>
        </w:rPr>
        <w:t>程中，队员因故不能参赛，所在省教育主管部门需出具书面说明并按</w:t>
      </w:r>
      <w:r>
        <w:rPr>
          <w:rFonts w:hint="eastAsia" w:hAnsi="宋体"/>
          <w:spacing w:val="-103"/>
        </w:rPr>
        <w:t xml:space="preserve"> </w:t>
      </w:r>
      <w:r>
        <w:rPr>
          <w:rFonts w:hint="eastAsia" w:hAnsi="宋体"/>
          <w:spacing w:val="-5"/>
        </w:rPr>
        <w:t>相关规定补充人员并接受审核；竞赛开始后，参赛队不得更换参赛队</w:t>
      </w:r>
      <w:r>
        <w:rPr>
          <w:rFonts w:hint="eastAsia" w:hAnsi="宋体"/>
          <w:spacing w:val="-103"/>
        </w:rPr>
        <w:t xml:space="preserve"> </w:t>
      </w:r>
      <w:r>
        <w:rPr>
          <w:rFonts w:hint="eastAsia" w:hAnsi="宋体"/>
        </w:rPr>
        <w:t>员，允许队员缺席比赛。</w:t>
      </w:r>
    </w:p>
    <w:p w14:paraId="725A4F9E">
      <w:pPr>
        <w:pStyle w:val="5"/>
        <w:kinsoku w:val="0"/>
        <w:overflowPunct w:val="0"/>
        <w:spacing w:before="0" w:line="500" w:lineRule="exact"/>
        <w:ind w:left="0"/>
        <w:jc w:val="both"/>
        <w:rPr>
          <w:rFonts w:hAnsi="宋体"/>
        </w:rPr>
      </w:pPr>
      <w:r>
        <w:rPr>
          <w:rFonts w:hAnsi="宋体" w:cs="Arial Narrow"/>
          <w:spacing w:val="-2"/>
        </w:rPr>
        <w:t>3.</w:t>
      </w:r>
      <w:r>
        <w:rPr>
          <w:rFonts w:hint="eastAsia" w:hAnsi="宋体"/>
          <w:spacing w:val="-2"/>
        </w:rPr>
        <w:t>参赛队按照大赛赛程安排，凭赛项组委会颁发的参赛证和有效</w:t>
      </w:r>
      <w:r>
        <w:rPr>
          <w:rFonts w:hint="eastAsia" w:hAnsi="宋体"/>
        </w:rPr>
        <w:t>身份证件参加比赛及相关活动。</w:t>
      </w:r>
    </w:p>
    <w:p w14:paraId="0DAD5D9B">
      <w:pPr>
        <w:pStyle w:val="5"/>
        <w:kinsoku w:val="0"/>
        <w:overflowPunct w:val="0"/>
        <w:spacing w:before="0" w:line="500" w:lineRule="exact"/>
        <w:ind w:left="0" w:firstLine="560" w:firstLineChars="200"/>
        <w:jc w:val="both"/>
        <w:rPr>
          <w:rFonts w:hAnsi="宋体"/>
        </w:rPr>
      </w:pPr>
      <w:r>
        <w:rPr>
          <w:rFonts w:hAnsi="宋体" w:cs="Arial Narrow"/>
        </w:rPr>
        <w:t>4.</w:t>
      </w:r>
      <w:r>
        <w:rPr>
          <w:rFonts w:hint="eastAsia" w:hAnsi="宋体"/>
        </w:rPr>
        <w:t>参赛队员统一着装，须符合安全生产及竞赛要求。</w:t>
      </w:r>
    </w:p>
    <w:p w14:paraId="4EECCADD">
      <w:pPr>
        <w:pStyle w:val="5"/>
        <w:kinsoku w:val="0"/>
        <w:overflowPunct w:val="0"/>
        <w:spacing w:before="0" w:line="500" w:lineRule="exact"/>
        <w:ind w:left="0"/>
        <w:jc w:val="both"/>
        <w:rPr>
          <w:rFonts w:hAnsi="宋体"/>
          <w:spacing w:val="-10"/>
        </w:rPr>
      </w:pPr>
      <w:r>
        <w:rPr>
          <w:rFonts w:hAnsi="宋体" w:cs="Arial Narrow"/>
        </w:rPr>
        <w:t>5.</w:t>
      </w:r>
      <w:r>
        <w:rPr>
          <w:rFonts w:hint="eastAsia" w:hAnsi="宋体"/>
        </w:rPr>
        <w:t>参赛队员应自觉遵守赛场纪律，服从裁判、听从指挥、文明竞</w:t>
      </w:r>
      <w:r>
        <w:rPr>
          <w:rFonts w:hint="eastAsia" w:hAnsi="宋体"/>
          <w:spacing w:val="-10"/>
        </w:rPr>
        <w:t>赛；持证进入赛场，禁止将通讯工具、自编电子或文字资料带入赛场。</w:t>
      </w:r>
    </w:p>
    <w:p w14:paraId="6D2F6C08">
      <w:pPr>
        <w:pStyle w:val="5"/>
        <w:kinsoku w:val="0"/>
        <w:overflowPunct w:val="0"/>
        <w:spacing w:before="0" w:line="500" w:lineRule="exact"/>
        <w:ind w:left="0"/>
        <w:jc w:val="both"/>
        <w:rPr>
          <w:rFonts w:hAnsi="宋体"/>
        </w:rPr>
      </w:pPr>
      <w:r>
        <w:rPr>
          <w:rFonts w:hAnsi="宋体" w:cs="Arial Narrow"/>
          <w:spacing w:val="-2"/>
        </w:rPr>
        <w:t>6.</w:t>
      </w:r>
      <w:r>
        <w:rPr>
          <w:rFonts w:hint="eastAsia" w:hAnsi="宋体"/>
          <w:spacing w:val="-2"/>
        </w:rPr>
        <w:t>比赛过程中，参赛选手须严格遵守操作过程和相关准则，保证</w:t>
      </w:r>
      <w:r>
        <w:rPr>
          <w:rFonts w:hint="eastAsia" w:hAnsi="宋体"/>
          <w:spacing w:val="-5"/>
        </w:rPr>
        <w:t>设备及人身安全，并接受裁判员的监督和警示；若因设备故障导致选</w:t>
      </w:r>
      <w:r>
        <w:rPr>
          <w:rFonts w:hint="eastAsia" w:hAnsi="宋体"/>
          <w:spacing w:val="-103"/>
        </w:rPr>
        <w:t xml:space="preserve"> </w:t>
      </w:r>
      <w:r>
        <w:rPr>
          <w:rFonts w:hint="eastAsia" w:hAnsi="宋体"/>
        </w:rPr>
        <w:t>手中断或终止比赛，由大赛裁判长视具体情况做出裁决。</w:t>
      </w:r>
    </w:p>
    <w:p w14:paraId="4F505063">
      <w:pPr>
        <w:pStyle w:val="5"/>
        <w:kinsoku w:val="0"/>
        <w:overflowPunct w:val="0"/>
        <w:spacing w:before="0" w:line="500" w:lineRule="exact"/>
        <w:ind w:left="0"/>
        <w:jc w:val="both"/>
        <w:rPr>
          <w:rFonts w:hAnsi="宋体"/>
        </w:rPr>
      </w:pPr>
      <w:r>
        <w:rPr>
          <w:rFonts w:hAnsi="宋体" w:cs="Arial Narrow"/>
          <w:spacing w:val="7"/>
        </w:rPr>
        <w:t>7.</w:t>
      </w:r>
      <w:r>
        <w:rPr>
          <w:rFonts w:hint="eastAsia" w:hAnsi="宋体"/>
          <w:spacing w:val="7"/>
        </w:rPr>
        <w:t>在比赛过程中，参赛选手由于操作失误导致设备不能正常工</w:t>
      </w:r>
      <w:r>
        <w:rPr>
          <w:rFonts w:hint="eastAsia" w:hAnsi="宋体"/>
        </w:rPr>
        <w:t>作，或造成安全事故不能进行比赛的，将被终止比赛。</w:t>
      </w:r>
    </w:p>
    <w:p w14:paraId="5728CBF1">
      <w:pPr>
        <w:pStyle w:val="5"/>
        <w:kinsoku w:val="0"/>
        <w:overflowPunct w:val="0"/>
        <w:spacing w:before="0" w:line="500" w:lineRule="exact"/>
        <w:ind w:left="0"/>
        <w:jc w:val="both"/>
        <w:rPr>
          <w:rFonts w:hAnsi="宋体"/>
        </w:rPr>
      </w:pPr>
      <w:r>
        <w:rPr>
          <w:rFonts w:hAnsi="宋体" w:cs="Arial Narrow"/>
          <w:spacing w:val="-2"/>
        </w:rPr>
        <w:t>8.</w:t>
      </w:r>
      <w:r>
        <w:rPr>
          <w:rFonts w:hint="eastAsia" w:hAnsi="宋体"/>
          <w:spacing w:val="-2"/>
        </w:rPr>
        <w:t>在比赛过程中，各参赛选手限定在自己的工作区域和岗位完成</w:t>
      </w:r>
      <w:r>
        <w:rPr>
          <w:rFonts w:hint="eastAsia" w:hAnsi="宋体"/>
        </w:rPr>
        <w:t>比赛任务。</w:t>
      </w:r>
    </w:p>
    <w:p w14:paraId="5324BE8E">
      <w:pPr>
        <w:pStyle w:val="5"/>
        <w:kinsoku w:val="0"/>
        <w:overflowPunct w:val="0"/>
        <w:spacing w:before="0" w:line="500" w:lineRule="exact"/>
        <w:ind w:left="0"/>
        <w:jc w:val="both"/>
        <w:rPr>
          <w:rFonts w:hAnsi="宋体"/>
        </w:rPr>
      </w:pPr>
      <w:r>
        <w:rPr>
          <w:rFonts w:hAnsi="宋体" w:cs="Arial Narrow"/>
          <w:spacing w:val="-2"/>
        </w:rPr>
        <w:t>9.</w:t>
      </w:r>
      <w:r>
        <w:rPr>
          <w:rFonts w:hint="eastAsia" w:hAnsi="宋体"/>
          <w:spacing w:val="-2"/>
        </w:rPr>
        <w:t>若参赛队欲提前结束比赛，应向裁判员举手示意，比赛终止时</w:t>
      </w:r>
      <w:r>
        <w:rPr>
          <w:rFonts w:hint="eastAsia" w:hAnsi="宋体"/>
        </w:rPr>
        <w:t>间由裁判员记录，参赛队结束比赛后不得再进行任何操作。</w:t>
      </w:r>
    </w:p>
    <w:p w14:paraId="2ECE6D4A">
      <w:pPr>
        <w:pStyle w:val="3"/>
        <w:kinsoku w:val="0"/>
        <w:overflowPunct w:val="0"/>
        <w:spacing w:before="0" w:line="500" w:lineRule="exact"/>
        <w:ind w:left="0" w:firstLine="560" w:firstLineChars="200"/>
        <w:rPr>
          <w:sz w:val="28"/>
          <w:szCs w:val="28"/>
        </w:rPr>
      </w:pPr>
      <w:r>
        <w:rPr>
          <w:rFonts w:hint="eastAsia"/>
          <w:sz w:val="28"/>
          <w:szCs w:val="28"/>
        </w:rPr>
        <w:t>（二）参赛选手须知</w:t>
      </w:r>
    </w:p>
    <w:p w14:paraId="40437CFC">
      <w:pPr>
        <w:pStyle w:val="5"/>
        <w:kinsoku w:val="0"/>
        <w:overflowPunct w:val="0"/>
        <w:spacing w:before="0" w:line="500" w:lineRule="exact"/>
        <w:ind w:left="0" w:firstLine="560" w:firstLineChars="200"/>
        <w:rPr>
          <w:rFonts w:hAnsi="宋体"/>
        </w:rPr>
      </w:pPr>
      <w:r>
        <w:rPr>
          <w:rFonts w:hAnsi="宋体" w:cs="Arial Narrow"/>
        </w:rPr>
        <w:t>1.</w:t>
      </w:r>
      <w:r>
        <w:rPr>
          <w:rFonts w:hint="eastAsia" w:hAnsi="宋体"/>
        </w:rPr>
        <w:t>严格遵守技能竞赛规则、技能竞赛纪律和安全操作规程，尊重裁判和赛场工作人员，自觉维护赛场秩序。</w:t>
      </w:r>
    </w:p>
    <w:p w14:paraId="781EA5DC">
      <w:pPr>
        <w:pStyle w:val="5"/>
        <w:kinsoku w:val="0"/>
        <w:overflowPunct w:val="0"/>
        <w:spacing w:before="0" w:line="500" w:lineRule="exact"/>
        <w:ind w:left="0" w:firstLine="560" w:firstLineChars="200"/>
        <w:rPr>
          <w:rFonts w:hAnsi="宋体"/>
        </w:rPr>
      </w:pPr>
      <w:r>
        <w:rPr>
          <w:rFonts w:hAnsi="宋体" w:cs="Arial Narrow"/>
        </w:rPr>
        <w:t>2.</w:t>
      </w:r>
      <w:r>
        <w:rPr>
          <w:rFonts w:hint="eastAsia" w:hAnsi="宋体"/>
        </w:rPr>
        <w:t>佩带参赛证件及着工装进入比赛场地，并接受裁判的检查。</w:t>
      </w:r>
    </w:p>
    <w:p w14:paraId="4ACDF2B7">
      <w:pPr>
        <w:pStyle w:val="5"/>
        <w:kinsoku w:val="0"/>
        <w:overflowPunct w:val="0"/>
        <w:spacing w:before="0" w:line="500" w:lineRule="exact"/>
        <w:ind w:left="0" w:firstLine="560" w:firstLineChars="200"/>
        <w:jc w:val="both"/>
        <w:rPr>
          <w:rFonts w:hAnsi="宋体"/>
        </w:rPr>
      </w:pPr>
      <w:r>
        <w:rPr>
          <w:rFonts w:hAnsi="宋体" w:cs="Arial Narrow"/>
        </w:rPr>
        <w:t>3.</w:t>
      </w:r>
      <w:r>
        <w:rPr>
          <w:rFonts w:hint="eastAsia" w:hAnsi="宋体"/>
        </w:rPr>
        <w:t>进入赛场前须将手机等通讯工具交赛场相关人员妥善保管。</w:t>
      </w:r>
    </w:p>
    <w:p w14:paraId="59E531D1">
      <w:pPr>
        <w:pStyle w:val="5"/>
        <w:kinsoku w:val="0"/>
        <w:overflowPunct w:val="0"/>
        <w:spacing w:before="0" w:line="500" w:lineRule="exact"/>
        <w:ind w:left="0"/>
        <w:jc w:val="both"/>
        <w:rPr>
          <w:rFonts w:hAnsi="宋体"/>
        </w:rPr>
      </w:pPr>
      <w:r>
        <w:rPr>
          <w:rFonts w:hAnsi="宋体" w:cs="Arial Narrow"/>
          <w:spacing w:val="-7"/>
        </w:rPr>
        <w:t>4.</w:t>
      </w:r>
      <w:r>
        <w:rPr>
          <w:rFonts w:hint="eastAsia" w:hAnsi="宋体"/>
          <w:spacing w:val="-7"/>
        </w:rPr>
        <w:t xml:space="preserve">严格遵守赛事时间规定，准时抵达检录区，在开赛 </w:t>
      </w:r>
      <w:r>
        <w:rPr>
          <w:rFonts w:hAnsi="宋体" w:cs="Arial Narrow"/>
        </w:rPr>
        <w:t>15</w:t>
      </w:r>
      <w:r>
        <w:rPr>
          <w:rFonts w:hAnsi="宋体" w:cs="Arial Narrow"/>
          <w:spacing w:val="-30"/>
        </w:rPr>
        <w:t xml:space="preserve"> </w:t>
      </w:r>
      <w:r>
        <w:rPr>
          <w:rFonts w:hint="eastAsia" w:hAnsi="宋体"/>
        </w:rPr>
        <w:t>分钟后不准入场，开赛后未经允许不得擅自离开赛场。</w:t>
      </w:r>
    </w:p>
    <w:p w14:paraId="48B508E0">
      <w:pPr>
        <w:pStyle w:val="5"/>
        <w:kinsoku w:val="0"/>
        <w:overflowPunct w:val="0"/>
        <w:spacing w:before="0" w:line="500" w:lineRule="exact"/>
        <w:ind w:left="0"/>
        <w:jc w:val="both"/>
        <w:rPr>
          <w:rFonts w:hAnsi="宋体"/>
        </w:rPr>
      </w:pPr>
      <w:r>
        <w:rPr>
          <w:rFonts w:hAnsi="宋体" w:cs="Arial Narrow"/>
          <w:spacing w:val="-2"/>
        </w:rPr>
        <w:t>5.</w:t>
      </w:r>
      <w:r>
        <w:rPr>
          <w:rFonts w:hint="eastAsia" w:hAnsi="宋体"/>
        </w:rPr>
        <w:t>每个竞</w:t>
      </w:r>
      <w:r>
        <w:rPr>
          <w:rFonts w:hint="eastAsia" w:hAnsi="宋体"/>
          <w:spacing w:val="-2"/>
        </w:rPr>
        <w:t>赛任务根据任务书完成相应的任务</w:t>
      </w:r>
      <w:r>
        <w:rPr>
          <w:rFonts w:hint="eastAsia" w:hAnsi="宋体"/>
        </w:rPr>
        <w:t>后，可以向裁判申请评分。</w:t>
      </w:r>
    </w:p>
    <w:p w14:paraId="64224D11">
      <w:pPr>
        <w:pStyle w:val="5"/>
        <w:kinsoku w:val="0"/>
        <w:overflowPunct w:val="0"/>
        <w:spacing w:before="0" w:line="500" w:lineRule="exact"/>
        <w:ind w:left="0"/>
        <w:jc w:val="both"/>
        <w:rPr>
          <w:rFonts w:hAnsi="宋体"/>
        </w:rPr>
      </w:pPr>
      <w:r>
        <w:rPr>
          <w:rFonts w:hAnsi="宋体" w:cs="Arial Narrow"/>
          <w:spacing w:val="-2"/>
        </w:rPr>
        <w:t>6.</w:t>
      </w:r>
      <w:r>
        <w:rPr>
          <w:rFonts w:hint="eastAsia" w:hAnsi="宋体"/>
          <w:spacing w:val="-2"/>
        </w:rPr>
        <w:t>竞赛结束时间到，应立即停止一切竞赛内容操作，不得拖延竞</w:t>
      </w:r>
      <w:r>
        <w:rPr>
          <w:rFonts w:hint="eastAsia" w:hAnsi="宋体"/>
        </w:rPr>
        <w:t>赛时间。</w:t>
      </w:r>
    </w:p>
    <w:p w14:paraId="12F38143">
      <w:pPr>
        <w:pStyle w:val="5"/>
        <w:kinsoku w:val="0"/>
        <w:overflowPunct w:val="0"/>
        <w:spacing w:before="0" w:line="500" w:lineRule="exact"/>
        <w:ind w:left="0"/>
        <w:jc w:val="both"/>
        <w:rPr>
          <w:rFonts w:hAnsi="宋体"/>
        </w:rPr>
      </w:pPr>
      <w:r>
        <w:rPr>
          <w:rFonts w:hAnsi="宋体" w:cs="Arial Narrow"/>
          <w:spacing w:val="7"/>
        </w:rPr>
        <w:t>7.</w:t>
      </w:r>
      <w:r>
        <w:rPr>
          <w:rFonts w:hint="eastAsia" w:hAnsi="宋体"/>
          <w:spacing w:val="7"/>
        </w:rPr>
        <w:t>竞赛完成后必须按裁判要求迅速离开赛场，不得在赛场内滞</w:t>
      </w:r>
      <w:r>
        <w:rPr>
          <w:rFonts w:hint="eastAsia" w:hAnsi="宋体"/>
        </w:rPr>
        <w:t>留。</w:t>
      </w:r>
    </w:p>
    <w:p w14:paraId="22B29306">
      <w:pPr>
        <w:pStyle w:val="5"/>
        <w:kinsoku w:val="0"/>
        <w:overflowPunct w:val="0"/>
        <w:spacing w:before="0" w:line="500" w:lineRule="exact"/>
        <w:ind w:left="0" w:firstLine="532" w:firstLineChars="200"/>
        <w:jc w:val="both"/>
        <w:rPr>
          <w:rFonts w:hAnsi="宋体"/>
          <w:spacing w:val="-7"/>
        </w:rPr>
      </w:pPr>
      <w:r>
        <w:rPr>
          <w:rFonts w:hAnsi="宋体" w:cs="Arial Narrow"/>
          <w:spacing w:val="-7"/>
        </w:rPr>
        <w:t>8.</w:t>
      </w:r>
      <w:r>
        <w:rPr>
          <w:rFonts w:hint="eastAsia" w:hAnsi="宋体"/>
          <w:spacing w:val="-7"/>
        </w:rPr>
        <w:t>爱护竞赛场所的设备、仪器等，不得人为损坏竞赛用仪器设备。</w:t>
      </w:r>
    </w:p>
    <w:p w14:paraId="37BF230C">
      <w:pPr>
        <w:pStyle w:val="3"/>
        <w:kinsoku w:val="0"/>
        <w:overflowPunct w:val="0"/>
        <w:spacing w:before="0" w:line="500" w:lineRule="exact"/>
        <w:ind w:left="0" w:firstLine="560" w:firstLineChars="200"/>
        <w:jc w:val="both"/>
        <w:rPr>
          <w:sz w:val="28"/>
          <w:szCs w:val="28"/>
        </w:rPr>
      </w:pPr>
      <w:r>
        <w:rPr>
          <w:rFonts w:hint="eastAsia"/>
          <w:sz w:val="28"/>
          <w:szCs w:val="28"/>
        </w:rPr>
        <w:t>（三）工作人员须知</w:t>
      </w:r>
    </w:p>
    <w:p w14:paraId="3AB06358">
      <w:pPr>
        <w:pStyle w:val="5"/>
        <w:kinsoku w:val="0"/>
        <w:overflowPunct w:val="0"/>
        <w:spacing w:before="0" w:line="500" w:lineRule="exact"/>
        <w:ind w:left="0"/>
        <w:jc w:val="both"/>
        <w:rPr>
          <w:rFonts w:hAnsi="宋体"/>
        </w:rPr>
      </w:pPr>
      <w:r>
        <w:rPr>
          <w:rFonts w:hAnsi="宋体" w:cs="Arial Narrow"/>
          <w:spacing w:val="-2"/>
        </w:rPr>
        <w:t>1.</w:t>
      </w:r>
      <w:r>
        <w:rPr>
          <w:rFonts w:hint="eastAsia" w:hAnsi="宋体"/>
          <w:spacing w:val="-2"/>
        </w:rPr>
        <w:t>检查选手证件，选手凭有效证件，按时参加检录和竞赛，如不</w:t>
      </w:r>
      <w:r>
        <w:rPr>
          <w:rFonts w:hint="eastAsia" w:hAnsi="宋体"/>
        </w:rPr>
        <w:t>能按时参赛以自动弃权处理。</w:t>
      </w:r>
    </w:p>
    <w:p w14:paraId="1BDFF499">
      <w:pPr>
        <w:pStyle w:val="5"/>
        <w:kinsoku w:val="0"/>
        <w:overflowPunct w:val="0"/>
        <w:spacing w:before="0" w:line="500" w:lineRule="exact"/>
        <w:ind w:left="0"/>
        <w:jc w:val="both"/>
        <w:rPr>
          <w:rFonts w:hAnsi="宋体"/>
        </w:rPr>
      </w:pPr>
      <w:r>
        <w:rPr>
          <w:rFonts w:hAnsi="宋体" w:cs="Arial Narrow"/>
          <w:spacing w:val="-2"/>
        </w:rPr>
        <w:t>2.</w:t>
      </w:r>
      <w:r>
        <w:rPr>
          <w:rFonts w:hint="eastAsia" w:hAnsi="宋体"/>
          <w:spacing w:val="-2"/>
        </w:rPr>
        <w:t>严格时间管理，选手在开赛信号发出后才能进行技能竞赛，竞</w:t>
      </w:r>
      <w:r>
        <w:rPr>
          <w:rFonts w:hint="eastAsia" w:hAnsi="宋体"/>
          <w:spacing w:val="-5"/>
        </w:rPr>
        <w:t>赛过程中，选手休息、饮水或去洗手间等所用时间，一律计算在操作</w:t>
      </w:r>
      <w:r>
        <w:rPr>
          <w:rFonts w:hint="eastAsia" w:hAnsi="宋体"/>
          <w:spacing w:val="-100"/>
        </w:rPr>
        <w:t xml:space="preserve"> </w:t>
      </w:r>
      <w:r>
        <w:rPr>
          <w:rFonts w:hint="eastAsia" w:hAnsi="宋体"/>
        </w:rPr>
        <w:t>时间内，饮用水由赛场统一准备，认真做好服务工作。</w:t>
      </w:r>
    </w:p>
    <w:p w14:paraId="79B74BF3">
      <w:pPr>
        <w:pStyle w:val="5"/>
        <w:kinsoku w:val="0"/>
        <w:overflowPunct w:val="0"/>
        <w:spacing w:before="0" w:line="500" w:lineRule="exact"/>
        <w:ind w:left="0"/>
        <w:jc w:val="both"/>
        <w:rPr>
          <w:rFonts w:hAnsi="宋体"/>
        </w:rPr>
      </w:pPr>
      <w:r>
        <w:rPr>
          <w:rFonts w:hAnsi="宋体" w:cs="Arial Narrow"/>
          <w:spacing w:val="-2"/>
        </w:rPr>
        <w:t>3.</w:t>
      </w:r>
      <w:r>
        <w:rPr>
          <w:rFonts w:hint="eastAsia" w:hAnsi="宋体"/>
          <w:spacing w:val="-2"/>
        </w:rPr>
        <w:t>不允许选手将通讯工具带入赛场，如私自带入者，一经发现取</w:t>
      </w:r>
      <w:r>
        <w:rPr>
          <w:rFonts w:hint="eastAsia" w:hAnsi="宋体"/>
        </w:rPr>
        <w:t>消其竞赛资格。</w:t>
      </w:r>
    </w:p>
    <w:p w14:paraId="07E9963A">
      <w:pPr>
        <w:pStyle w:val="5"/>
        <w:kinsoku w:val="0"/>
        <w:overflowPunct w:val="0"/>
        <w:spacing w:before="0" w:line="500" w:lineRule="exact"/>
        <w:ind w:left="0"/>
        <w:jc w:val="both"/>
        <w:rPr>
          <w:rFonts w:hAnsi="宋体"/>
        </w:rPr>
      </w:pPr>
      <w:r>
        <w:rPr>
          <w:rFonts w:hAnsi="宋体" w:cs="Arial Narrow"/>
          <w:spacing w:val="-2"/>
        </w:rPr>
        <w:t>4.</w:t>
      </w:r>
      <w:r>
        <w:rPr>
          <w:rFonts w:hint="eastAsia" w:hAnsi="宋体"/>
          <w:spacing w:val="-2"/>
        </w:rPr>
        <w:t>选手提问，经允许后，可以提问不清楚的问题，裁判人员须正</w:t>
      </w:r>
      <w:r>
        <w:rPr>
          <w:rFonts w:hint="eastAsia" w:hAnsi="宋体"/>
        </w:rPr>
        <w:t>面回答。</w:t>
      </w:r>
    </w:p>
    <w:p w14:paraId="2734E6BE">
      <w:pPr>
        <w:pStyle w:val="5"/>
        <w:kinsoku w:val="0"/>
        <w:overflowPunct w:val="0"/>
        <w:spacing w:before="0" w:line="500" w:lineRule="exact"/>
        <w:ind w:left="0"/>
        <w:jc w:val="both"/>
        <w:rPr>
          <w:rFonts w:hAnsi="宋体"/>
        </w:rPr>
      </w:pPr>
      <w:r>
        <w:rPr>
          <w:rFonts w:hAnsi="宋体" w:cs="Arial Narrow"/>
          <w:spacing w:val="-2"/>
        </w:rPr>
        <w:t>5.</w:t>
      </w:r>
      <w:r>
        <w:rPr>
          <w:rFonts w:hint="eastAsia" w:hAnsi="宋体"/>
          <w:spacing w:val="-2"/>
        </w:rPr>
        <w:t>赛场内保持安静，不准吸烟，负责各自赛位的裁判员和工作人</w:t>
      </w:r>
      <w:r>
        <w:rPr>
          <w:rFonts w:hint="eastAsia" w:hAnsi="宋体"/>
        </w:rPr>
        <w:t>员不得随意进入其它赛位。</w:t>
      </w:r>
    </w:p>
    <w:p w14:paraId="3384DF4A">
      <w:pPr>
        <w:pStyle w:val="5"/>
        <w:kinsoku w:val="0"/>
        <w:overflowPunct w:val="0"/>
        <w:spacing w:before="0" w:line="500" w:lineRule="exact"/>
        <w:ind w:left="0"/>
        <w:jc w:val="both"/>
        <w:rPr>
          <w:rFonts w:hAnsi="宋体"/>
        </w:rPr>
      </w:pPr>
      <w:r>
        <w:rPr>
          <w:rFonts w:hAnsi="宋体" w:cs="Arial Narrow"/>
          <w:spacing w:val="-2"/>
        </w:rPr>
        <w:t>6.</w:t>
      </w:r>
      <w:r>
        <w:rPr>
          <w:rFonts w:hint="eastAsia" w:hAnsi="宋体"/>
          <w:spacing w:val="-2"/>
        </w:rPr>
        <w:t>如果选手提前结束竞赛，应向裁判员示意，竞赛终止时间由裁</w:t>
      </w:r>
      <w:r>
        <w:rPr>
          <w:rFonts w:hint="eastAsia" w:hAnsi="宋体"/>
        </w:rPr>
        <w:t>判员记录在案。</w:t>
      </w:r>
    </w:p>
    <w:p w14:paraId="0B76F2AD">
      <w:pPr>
        <w:pStyle w:val="5"/>
        <w:kinsoku w:val="0"/>
        <w:overflowPunct w:val="0"/>
        <w:spacing w:before="0" w:line="500" w:lineRule="exact"/>
        <w:ind w:left="0"/>
        <w:jc w:val="both"/>
        <w:rPr>
          <w:rFonts w:hAnsi="宋体"/>
        </w:rPr>
      </w:pPr>
      <w:r>
        <w:rPr>
          <w:rFonts w:hAnsi="宋体" w:cs="Arial Narrow"/>
          <w:spacing w:val="-2"/>
        </w:rPr>
        <w:t>7.</w:t>
      </w:r>
      <w:r>
        <w:rPr>
          <w:rFonts w:hint="eastAsia" w:hAnsi="宋体"/>
          <w:spacing w:val="-2"/>
        </w:rPr>
        <w:t>竞赛终了信号发出后，监督选手听从裁判员指挥，待裁判允许</w:t>
      </w:r>
      <w:r>
        <w:rPr>
          <w:rFonts w:hint="eastAsia" w:hAnsi="宋体"/>
        </w:rPr>
        <w:t>后方可离开赛场。</w:t>
      </w:r>
    </w:p>
    <w:p w14:paraId="6D4893B0">
      <w:pPr>
        <w:pStyle w:val="5"/>
        <w:kinsoku w:val="0"/>
        <w:overflowPunct w:val="0"/>
        <w:spacing w:before="0" w:line="500" w:lineRule="exact"/>
        <w:ind w:left="0"/>
        <w:jc w:val="both"/>
        <w:rPr>
          <w:rFonts w:hAnsi="宋体"/>
          <w:spacing w:val="-10"/>
        </w:rPr>
      </w:pPr>
      <w:r>
        <w:rPr>
          <w:rFonts w:hAnsi="宋体" w:cs="Arial Narrow"/>
        </w:rPr>
        <w:t>8.</w:t>
      </w:r>
      <w:r>
        <w:rPr>
          <w:rFonts w:hint="eastAsia" w:hAnsi="宋体"/>
        </w:rPr>
        <w:t>所有工作人员必须统一佩戴由大赛组委会签发的相应证件，着</w:t>
      </w:r>
      <w:r>
        <w:rPr>
          <w:rFonts w:hint="eastAsia" w:hAnsi="宋体"/>
          <w:spacing w:val="-10"/>
        </w:rPr>
        <w:t>装整齐，赛场除现场工作人员以外，其他人员未经允许不得进入赛场。</w:t>
      </w:r>
    </w:p>
    <w:p w14:paraId="1456B3A9">
      <w:pPr>
        <w:pStyle w:val="5"/>
        <w:kinsoku w:val="0"/>
        <w:overflowPunct w:val="0"/>
        <w:spacing w:before="0" w:line="500" w:lineRule="exact"/>
        <w:ind w:left="0"/>
        <w:jc w:val="both"/>
        <w:rPr>
          <w:rFonts w:hAnsi="宋体"/>
        </w:rPr>
      </w:pPr>
      <w:r>
        <w:rPr>
          <w:rFonts w:hAnsi="宋体" w:cs="Arial Narrow"/>
          <w:spacing w:val="-2"/>
        </w:rPr>
        <w:t>9.</w:t>
      </w:r>
      <w:r>
        <w:rPr>
          <w:rFonts w:hint="eastAsia" w:hAnsi="宋体"/>
          <w:spacing w:val="-2"/>
        </w:rPr>
        <w:t>新闻媒体等进入赛场必须经过赛项组委会允许，并且听从现场</w:t>
      </w:r>
      <w:r>
        <w:rPr>
          <w:rFonts w:hint="eastAsia" w:hAnsi="宋体"/>
        </w:rPr>
        <w:t>工作人员的安排和管理，不能影响竞赛进行。</w:t>
      </w:r>
    </w:p>
    <w:p w14:paraId="5D372373">
      <w:pPr>
        <w:pStyle w:val="5"/>
        <w:kinsoku w:val="0"/>
        <w:overflowPunct w:val="0"/>
        <w:spacing w:before="0" w:line="500" w:lineRule="exact"/>
        <w:ind w:left="0"/>
        <w:jc w:val="both"/>
        <w:rPr>
          <w:rFonts w:hAnsi="宋体"/>
        </w:rPr>
      </w:pPr>
      <w:r>
        <w:rPr>
          <w:rFonts w:hAnsi="宋体" w:cs="Arial Narrow"/>
          <w:spacing w:val="-6"/>
        </w:rPr>
        <w:t>10.</w:t>
      </w:r>
      <w:r>
        <w:rPr>
          <w:rFonts w:hint="eastAsia" w:hAnsi="宋体"/>
          <w:spacing w:val="-6"/>
        </w:rPr>
        <w:t>各参赛队的领队以及其他无关人员未经允许一律不</w:t>
      </w:r>
      <w:r>
        <w:rPr>
          <w:rFonts w:hint="eastAsia" w:hAnsi="宋体"/>
          <w:spacing w:val="-7"/>
        </w:rPr>
        <w:t>得进入赛场；经允许进入赛场的人员，应遵从赛场相关工作人员安排</w:t>
      </w:r>
      <w:r>
        <w:rPr>
          <w:rFonts w:hint="eastAsia" w:hAnsi="宋体" w:cs="Arial Narrow"/>
          <w:spacing w:val="-7"/>
        </w:rPr>
        <w:t>，</w:t>
      </w:r>
      <w:r>
        <w:rPr>
          <w:rFonts w:hint="eastAsia" w:hAnsi="宋体"/>
          <w:spacing w:val="-5"/>
        </w:rPr>
        <w:t>同时遵守赛场规定和维护赛场秩序，若违反有关规定或影响选手竞赛</w:t>
      </w:r>
      <w:r>
        <w:rPr>
          <w:rFonts w:hint="eastAsia" w:hAnsi="宋体"/>
          <w:spacing w:val="-103"/>
        </w:rPr>
        <w:t xml:space="preserve"> </w:t>
      </w:r>
      <w:r>
        <w:rPr>
          <w:rFonts w:hint="eastAsia" w:hAnsi="宋体"/>
        </w:rPr>
        <w:t>的，工作人员有权将其请出，并给予通报批评。</w:t>
      </w:r>
    </w:p>
    <w:p w14:paraId="2757D071">
      <w:pPr>
        <w:pStyle w:val="2"/>
        <w:kinsoku w:val="0"/>
        <w:overflowPunct w:val="0"/>
        <w:spacing w:before="0" w:after="0" w:line="500" w:lineRule="exact"/>
        <w:rPr>
          <w:rFonts w:hAnsi="Times New Roman"/>
          <w:b w:val="0"/>
          <w:bCs w:val="0"/>
          <w:sz w:val="28"/>
          <w:szCs w:val="28"/>
        </w:rPr>
      </w:pPr>
      <w:r>
        <w:rPr>
          <w:rFonts w:hint="eastAsia"/>
          <w:sz w:val="28"/>
          <w:szCs w:val="28"/>
        </w:rPr>
        <w:t>十六、申诉与仲裁</w:t>
      </w:r>
    </w:p>
    <w:p w14:paraId="6EE43479">
      <w:pPr>
        <w:pStyle w:val="5"/>
        <w:kinsoku w:val="0"/>
        <w:overflowPunct w:val="0"/>
        <w:spacing w:before="0" w:line="500" w:lineRule="exact"/>
        <w:ind w:left="0" w:firstLine="548" w:firstLineChars="200"/>
        <w:jc w:val="both"/>
        <w:rPr>
          <w:rFonts w:hAnsi="宋体"/>
          <w:spacing w:val="-5"/>
        </w:rPr>
      </w:pPr>
      <w:r>
        <w:rPr>
          <w:rFonts w:hint="eastAsia" w:hAnsi="宋体"/>
          <w:spacing w:val="-3"/>
        </w:rPr>
        <w:t>本赛项在比赛过程中若出现有失公正或有关人员违规等现象，代表</w:t>
      </w:r>
      <w:r>
        <w:rPr>
          <w:rFonts w:hint="eastAsia" w:hAnsi="宋体"/>
        </w:rPr>
        <w:t>队领队可在比赛结束后</w:t>
      </w:r>
      <w:r>
        <w:rPr>
          <w:rFonts w:hAnsi="宋体" w:cs="Arial Narrow"/>
        </w:rPr>
        <w:t>2</w:t>
      </w:r>
      <w:r>
        <w:rPr>
          <w:rFonts w:hint="eastAsia" w:hAnsi="宋体"/>
          <w:spacing w:val="-6"/>
        </w:rPr>
        <w:t>小时之内向监督仲裁组提出书面申诉，书面</w:t>
      </w:r>
      <w:r>
        <w:rPr>
          <w:rFonts w:hint="eastAsia" w:hAnsi="宋体"/>
          <w:spacing w:val="-138"/>
        </w:rPr>
        <w:t xml:space="preserve"> </w:t>
      </w:r>
      <w:r>
        <w:rPr>
          <w:rFonts w:hint="eastAsia" w:hAnsi="宋体"/>
          <w:spacing w:val="-5"/>
        </w:rPr>
        <w:t>申诉应对申诉事件的现象、发生时间、涉及人员、申诉依据等进行充</w:t>
      </w:r>
      <w:r>
        <w:rPr>
          <w:rFonts w:hint="eastAsia" w:hAnsi="宋体"/>
          <w:spacing w:val="-100"/>
        </w:rPr>
        <w:t xml:space="preserve"> </w:t>
      </w:r>
      <w:r>
        <w:rPr>
          <w:rFonts w:hint="eastAsia" w:hAnsi="宋体"/>
          <w:spacing w:val="-5"/>
        </w:rPr>
        <w:t>分、实事求是的叙述，并由领队亲笔签名。非书面申诉不予受理。赛项监督仲裁工作组在赛项执委会领导下开展工作，并对赛项执委会负责。赛项监督仲裁工作组在接到申诉</w:t>
      </w:r>
      <w:r>
        <w:rPr>
          <w:rFonts w:hAnsi="宋体"/>
          <w:spacing w:val="-103"/>
        </w:rPr>
        <w:t xml:space="preserve"> </w:t>
      </w:r>
      <w:r>
        <w:rPr>
          <w:rFonts w:hint="eastAsia" w:hAnsi="宋体"/>
        </w:rPr>
        <w:t>报告后的</w:t>
      </w:r>
      <w:r>
        <w:rPr>
          <w:rFonts w:hAnsi="宋体"/>
          <w:spacing w:val="-65"/>
        </w:rPr>
        <w:t xml:space="preserve"> </w:t>
      </w:r>
      <w:r>
        <w:rPr>
          <w:rFonts w:hAnsi="宋体" w:cs="Arial Narrow"/>
        </w:rPr>
        <w:t>2</w:t>
      </w:r>
      <w:r>
        <w:rPr>
          <w:rFonts w:hint="eastAsia" w:hAnsi="宋体"/>
          <w:spacing w:val="-5"/>
        </w:rPr>
        <w:t>小时内组织复议，并及时将复议结果以书面形式告知申诉</w:t>
      </w:r>
      <w:r>
        <w:rPr>
          <w:rFonts w:hAnsi="宋体"/>
          <w:spacing w:val="-125"/>
        </w:rPr>
        <w:t xml:space="preserve"> </w:t>
      </w:r>
      <w:r>
        <w:rPr>
          <w:rFonts w:hint="eastAsia" w:hAnsi="宋体"/>
          <w:spacing w:val="-5"/>
        </w:rPr>
        <w:t>方。监督</w:t>
      </w:r>
      <w:r>
        <w:rPr>
          <w:rFonts w:hAnsi="宋体"/>
          <w:spacing w:val="-103"/>
        </w:rPr>
        <w:t xml:space="preserve"> </w:t>
      </w:r>
      <w:r>
        <w:rPr>
          <w:rFonts w:hint="eastAsia" w:hAnsi="宋体"/>
          <w:spacing w:val="-10"/>
        </w:rPr>
        <w:t>仲裁结果由申诉人签收，不能代收，如在约定时间和地点申诉人离开，</w:t>
      </w:r>
      <w:r>
        <w:rPr>
          <w:rFonts w:hAnsi="宋体"/>
          <w:spacing w:val="-83"/>
        </w:rPr>
        <w:t xml:space="preserve"> </w:t>
      </w:r>
      <w:r>
        <w:rPr>
          <w:rFonts w:hint="eastAsia" w:hAnsi="宋体"/>
          <w:spacing w:val="-5"/>
        </w:rPr>
        <w:t>视为自行放弃申诉。申诉方可随时提出放弃申诉。申诉方不得以任何</w:t>
      </w:r>
      <w:r>
        <w:rPr>
          <w:rFonts w:hAnsi="宋体"/>
          <w:spacing w:val="-103"/>
        </w:rPr>
        <w:t xml:space="preserve"> </w:t>
      </w:r>
      <w:r>
        <w:rPr>
          <w:rFonts w:hint="eastAsia" w:hAnsi="宋体"/>
        </w:rPr>
        <w:t>理由采取过激行为扰乱赛场秩序。</w:t>
      </w:r>
    </w:p>
    <w:p w14:paraId="11514047"/>
    <w:sectPr>
      <w:pgSz w:w="11906" w:h="16838"/>
      <w:pgMar w:top="1418" w:right="1418" w:bottom="1418" w:left="1418" w:header="851" w:footer="992" w:gutter="0"/>
      <w:cols w:space="425"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方正小标宋简体">
    <w:panose1 w:val="03000509000000000000"/>
    <w:charset w:val="86"/>
    <w:family w:val="swiss"/>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Microsoft JhengHei">
    <w:panose1 w:val="020B0604030504040204"/>
    <w:charset w:val="88"/>
    <w:family w:val="swiss"/>
    <w:pitch w:val="default"/>
    <w:sig w:usb0="000002A7" w:usb1="28CF4400" w:usb2="00000016" w:usb3="00000000" w:csb0="00100009" w:csb1="00000000"/>
  </w:font>
  <w:font w:name="Arial Narrow">
    <w:panose1 w:val="020B0606020202030204"/>
    <w:charset w:val="00"/>
    <w:family w:val="swiss"/>
    <w:pitch w:val="default"/>
    <w:sig w:usb0="00000287" w:usb1="00000800" w:usb2="00000000" w:usb3="00000000" w:csb0="2000009F" w:csb1="DFD7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AwNWEwZTNmMDM4ZDVlNGE1Yzc5YzFhOTQ0NjYzODgifQ=="/>
  </w:docVars>
  <w:rsids>
    <w:rsidRoot w:val="001A3E47"/>
    <w:rsid w:val="00007D00"/>
    <w:rsid w:val="00024B0C"/>
    <w:rsid w:val="00091BDC"/>
    <w:rsid w:val="0011717F"/>
    <w:rsid w:val="00122449"/>
    <w:rsid w:val="001377E4"/>
    <w:rsid w:val="001A3E47"/>
    <w:rsid w:val="001A6C10"/>
    <w:rsid w:val="001E010A"/>
    <w:rsid w:val="00325CAD"/>
    <w:rsid w:val="00337542"/>
    <w:rsid w:val="003E05A1"/>
    <w:rsid w:val="003F6450"/>
    <w:rsid w:val="004C5324"/>
    <w:rsid w:val="00547ECE"/>
    <w:rsid w:val="005A5A01"/>
    <w:rsid w:val="005D2547"/>
    <w:rsid w:val="005D3EE8"/>
    <w:rsid w:val="005E6195"/>
    <w:rsid w:val="005F5BD3"/>
    <w:rsid w:val="00696AEB"/>
    <w:rsid w:val="006A124D"/>
    <w:rsid w:val="006B3357"/>
    <w:rsid w:val="006E09EC"/>
    <w:rsid w:val="00755508"/>
    <w:rsid w:val="0076626F"/>
    <w:rsid w:val="007849EB"/>
    <w:rsid w:val="007D7703"/>
    <w:rsid w:val="00824836"/>
    <w:rsid w:val="00844B12"/>
    <w:rsid w:val="008E62E1"/>
    <w:rsid w:val="009927D2"/>
    <w:rsid w:val="00994F34"/>
    <w:rsid w:val="009A029A"/>
    <w:rsid w:val="009F5094"/>
    <w:rsid w:val="009F6A45"/>
    <w:rsid w:val="00A06E94"/>
    <w:rsid w:val="00A86908"/>
    <w:rsid w:val="00B15FE2"/>
    <w:rsid w:val="00B31B68"/>
    <w:rsid w:val="00B93ECD"/>
    <w:rsid w:val="00BA5801"/>
    <w:rsid w:val="00BB5BD2"/>
    <w:rsid w:val="00BD7FF9"/>
    <w:rsid w:val="00C11690"/>
    <w:rsid w:val="00C2790D"/>
    <w:rsid w:val="00C36AEA"/>
    <w:rsid w:val="00CD283F"/>
    <w:rsid w:val="00D41365"/>
    <w:rsid w:val="00D4567B"/>
    <w:rsid w:val="00D5017A"/>
    <w:rsid w:val="00D56A6A"/>
    <w:rsid w:val="00D83CFA"/>
    <w:rsid w:val="00DB0F9B"/>
    <w:rsid w:val="00DF09A7"/>
    <w:rsid w:val="00E30B31"/>
    <w:rsid w:val="00E7339B"/>
    <w:rsid w:val="00EA69B1"/>
    <w:rsid w:val="00EC7E05"/>
    <w:rsid w:val="00F0037E"/>
    <w:rsid w:val="00F03165"/>
    <w:rsid w:val="00F513E1"/>
    <w:rsid w:val="00F66342"/>
    <w:rsid w:val="00F73D01"/>
    <w:rsid w:val="00F9164C"/>
    <w:rsid w:val="00FA343D"/>
    <w:rsid w:val="0B9024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1"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4"/>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5"/>
    <w:qFormat/>
    <w:uiPriority w:val="1"/>
    <w:pPr>
      <w:autoSpaceDE w:val="0"/>
      <w:autoSpaceDN w:val="0"/>
      <w:adjustRightInd w:val="0"/>
      <w:spacing w:before="45"/>
      <w:ind w:left="720"/>
      <w:jc w:val="left"/>
      <w:outlineLvl w:val="1"/>
    </w:pPr>
    <w:rPr>
      <w:rFonts w:ascii="宋体" w:hAnsi="Times New Roman" w:eastAsia="宋体" w:cs="宋体"/>
      <w:kern w:val="0"/>
      <w:sz w:val="30"/>
      <w:szCs w:val="30"/>
    </w:rPr>
  </w:style>
  <w:style w:type="paragraph" w:styleId="4">
    <w:name w:val="heading 3"/>
    <w:basedOn w:val="1"/>
    <w:next w:val="1"/>
    <w:link w:val="16"/>
    <w:unhideWhenUsed/>
    <w:qFormat/>
    <w:uiPriority w:val="9"/>
    <w:pPr>
      <w:keepNext/>
      <w:keepLines/>
      <w:spacing w:before="260" w:after="260" w:line="416" w:lineRule="auto"/>
      <w:outlineLvl w:val="2"/>
    </w:pPr>
    <w:rPr>
      <w:b/>
      <w:bCs/>
      <w:sz w:val="32"/>
      <w:szCs w:val="32"/>
    </w:rPr>
  </w:style>
  <w:style w:type="character" w:default="1" w:styleId="10">
    <w:name w:val="Default Paragraph Font"/>
    <w:semiHidden/>
    <w:unhideWhenUsed/>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5">
    <w:name w:val="Body Text"/>
    <w:basedOn w:val="1"/>
    <w:link w:val="18"/>
    <w:qFormat/>
    <w:uiPriority w:val="1"/>
    <w:pPr>
      <w:autoSpaceDE w:val="0"/>
      <w:autoSpaceDN w:val="0"/>
      <w:adjustRightInd w:val="0"/>
      <w:spacing w:before="61"/>
      <w:ind w:left="120" w:firstLine="559"/>
      <w:jc w:val="left"/>
    </w:pPr>
    <w:rPr>
      <w:rFonts w:ascii="宋体" w:hAnsi="Times New Roman" w:eastAsia="宋体" w:cs="宋体"/>
      <w:kern w:val="0"/>
      <w:sz w:val="28"/>
      <w:szCs w:val="28"/>
    </w:rPr>
  </w:style>
  <w:style w:type="paragraph" w:styleId="6">
    <w:name w:val="footer"/>
    <w:basedOn w:val="1"/>
    <w:link w:val="13"/>
    <w:unhideWhenUsed/>
    <w:qFormat/>
    <w:uiPriority w:val="99"/>
    <w:pPr>
      <w:tabs>
        <w:tab w:val="center" w:pos="4153"/>
        <w:tab w:val="right" w:pos="8306"/>
      </w:tabs>
      <w:snapToGrid w:val="0"/>
      <w:jc w:val="left"/>
    </w:pPr>
    <w:rPr>
      <w:sz w:val="18"/>
      <w:szCs w:val="18"/>
    </w:rPr>
  </w:style>
  <w:style w:type="paragraph" w:styleId="7">
    <w:name w:val="header"/>
    <w:basedOn w:val="1"/>
    <w:link w:val="12"/>
    <w:unhideWhenUsed/>
    <w:uiPriority w:val="99"/>
    <w:pPr>
      <w:tabs>
        <w:tab w:val="center" w:pos="4153"/>
        <w:tab w:val="right" w:pos="8306"/>
      </w:tabs>
      <w:snapToGrid w:val="0"/>
      <w:jc w:val="center"/>
    </w:pPr>
    <w:rPr>
      <w:sz w:val="18"/>
      <w:szCs w:val="18"/>
    </w:rPr>
  </w:style>
  <w:style w:type="table" w:styleId="9">
    <w:name w:val="Table Grid"/>
    <w:basedOn w:val="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Hyperlink"/>
    <w:basedOn w:val="10"/>
    <w:semiHidden/>
    <w:unhideWhenUsed/>
    <w:qFormat/>
    <w:uiPriority w:val="99"/>
    <w:rPr>
      <w:color w:val="0000FF"/>
      <w:u w:val="single"/>
    </w:rPr>
  </w:style>
  <w:style w:type="character" w:customStyle="1" w:styleId="12">
    <w:name w:val="页眉 字符"/>
    <w:basedOn w:val="10"/>
    <w:link w:val="7"/>
    <w:uiPriority w:val="99"/>
    <w:rPr>
      <w:sz w:val="18"/>
      <w:szCs w:val="18"/>
    </w:rPr>
  </w:style>
  <w:style w:type="character" w:customStyle="1" w:styleId="13">
    <w:name w:val="页脚 字符"/>
    <w:basedOn w:val="10"/>
    <w:link w:val="6"/>
    <w:uiPriority w:val="99"/>
    <w:rPr>
      <w:sz w:val="18"/>
      <w:szCs w:val="18"/>
    </w:rPr>
  </w:style>
  <w:style w:type="character" w:customStyle="1" w:styleId="14">
    <w:name w:val="标题 1 字符"/>
    <w:basedOn w:val="10"/>
    <w:link w:val="2"/>
    <w:qFormat/>
    <w:uiPriority w:val="9"/>
    <w:rPr>
      <w:b/>
      <w:bCs/>
      <w:kern w:val="44"/>
      <w:sz w:val="44"/>
      <w:szCs w:val="44"/>
    </w:rPr>
  </w:style>
  <w:style w:type="character" w:customStyle="1" w:styleId="15">
    <w:name w:val="标题 2 字符"/>
    <w:basedOn w:val="10"/>
    <w:link w:val="3"/>
    <w:uiPriority w:val="1"/>
    <w:rPr>
      <w:rFonts w:ascii="宋体" w:hAnsi="Times New Roman" w:eastAsia="宋体" w:cs="宋体"/>
      <w:kern w:val="0"/>
      <w:sz w:val="30"/>
      <w:szCs w:val="30"/>
    </w:rPr>
  </w:style>
  <w:style w:type="character" w:customStyle="1" w:styleId="16">
    <w:name w:val="标题 3 字符"/>
    <w:basedOn w:val="10"/>
    <w:link w:val="4"/>
    <w:uiPriority w:val="9"/>
    <w:rPr>
      <w:b/>
      <w:bCs/>
      <w:sz w:val="32"/>
      <w:szCs w:val="32"/>
    </w:rPr>
  </w:style>
  <w:style w:type="paragraph" w:styleId="17">
    <w:name w:val="List Paragraph"/>
    <w:basedOn w:val="1"/>
    <w:qFormat/>
    <w:uiPriority w:val="1"/>
    <w:pPr>
      <w:ind w:firstLine="420" w:firstLineChars="200"/>
    </w:pPr>
  </w:style>
  <w:style w:type="character" w:customStyle="1" w:styleId="18">
    <w:name w:val="正文文本 字符"/>
    <w:basedOn w:val="10"/>
    <w:link w:val="5"/>
    <w:uiPriority w:val="1"/>
    <w:rPr>
      <w:rFonts w:ascii="宋体" w:hAnsi="Times New Roman" w:eastAsia="宋体" w:cs="宋体"/>
      <w:kern w:val="0"/>
      <w:sz w:val="28"/>
      <w:szCs w:val="28"/>
    </w:rPr>
  </w:style>
  <w:style w:type="paragraph" w:customStyle="1" w:styleId="19">
    <w:name w:val="Table Paragraph"/>
    <w:basedOn w:val="1"/>
    <w:qFormat/>
    <w:uiPriority w:val="1"/>
    <w:pPr>
      <w:autoSpaceDE w:val="0"/>
      <w:autoSpaceDN w:val="0"/>
      <w:adjustRightInd w:val="0"/>
      <w:jc w:val="left"/>
    </w:pPr>
    <w:rPr>
      <w:rFonts w:ascii="Times New Roman" w:hAnsi="Times New Roman" w:cs="Times New Roman"/>
      <w:kern w:val="0"/>
      <w:sz w:val="24"/>
      <w:szCs w:val="24"/>
    </w:rPr>
  </w:style>
  <w:style w:type="paragraph" w:customStyle="1" w:styleId="20">
    <w:name w:val="CM28"/>
    <w:basedOn w:val="1"/>
    <w:next w:val="1"/>
    <w:qFormat/>
    <w:uiPriority w:val="99"/>
    <w:pPr>
      <w:autoSpaceDE w:val="0"/>
      <w:autoSpaceDN w:val="0"/>
      <w:adjustRightInd w:val="0"/>
      <w:jc w:val="left"/>
    </w:pPr>
    <w:rPr>
      <w:rFonts w:ascii="方正小标宋简体" w:eastAsia="方正小标宋简体"/>
      <w:kern w:val="0"/>
      <w:sz w:val="24"/>
      <w:szCs w:val="24"/>
      <w14:ligatures w14:val="standardContextual"/>
    </w:rPr>
  </w:style>
  <w:style w:type="paragraph" w:customStyle="1" w:styleId="21">
    <w:name w:val="CM7"/>
    <w:basedOn w:val="1"/>
    <w:next w:val="1"/>
    <w:qFormat/>
    <w:uiPriority w:val="99"/>
    <w:pPr>
      <w:autoSpaceDE w:val="0"/>
      <w:autoSpaceDN w:val="0"/>
      <w:adjustRightInd w:val="0"/>
      <w:spacing w:line="546" w:lineRule="atLeast"/>
      <w:jc w:val="left"/>
    </w:pPr>
    <w:rPr>
      <w:rFonts w:ascii="方正小标宋简体" w:eastAsia="方正小标宋简体"/>
      <w:kern w:val="0"/>
      <w:sz w:val="24"/>
      <w:szCs w:val="24"/>
      <w14:ligatures w14:val="standardContextual"/>
    </w:rPr>
  </w:style>
  <w:style w:type="table" w:customStyle="1" w:styleId="22">
    <w:name w:val="Table Normal"/>
    <w:semiHidden/>
    <w:unhideWhenUsed/>
    <w:qFormat/>
    <w:uiPriority w:val="0"/>
    <w:rPr>
      <w:rFonts w:ascii="Times New Roman" w:hAnsi="Times New Roman" w:eastAsia="宋体" w:cs="Times New Roman"/>
      <w:kern w:val="0"/>
      <w:sz w:val="20"/>
      <w:szCs w:val="20"/>
    </w:rPr>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25</Pages>
  <Words>6284</Words>
  <Characters>6714</Characters>
  <Lines>108</Lines>
  <Paragraphs>30</Paragraphs>
  <TotalTime>384</TotalTime>
  <ScaleCrop>false</ScaleCrop>
  <LinksUpToDate>false</LinksUpToDate>
  <CharactersWithSpaces>6817</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2024-03-01T08:57:00Z</dcterms:created>
  <dc:creator>YC H</dc:creator>
  <cp:lastModifiedBy>峰</cp:lastModifiedBy>
  <dcterms:modified xsi:type="dcterms:W3CDTF">2024-11-08T03:21:45Z</dcterms:modified>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10ADD48076C64F9FA206BF5942A899DE_12</vt:lpwstr>
  </property>
</Properties>
</file>