
<file path=[Content_Types].xml><?xml version="1.0" encoding="utf-8"?>
<Types xmlns="http://schemas.openxmlformats.org/package/2006/content-types">
  <Default Extension="emf" ContentType="image/x-em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ABC78">
      <w:pPr>
        <w:widowControl/>
        <w:shd w:val="clear" w:color="auto" w:fill="FFFFFF"/>
        <w:spacing w:line="600" w:lineRule="exact"/>
        <w:jc w:val="left"/>
        <w:outlineLvl w:val="0"/>
        <w:rPr>
          <w:rFonts w:hint="eastAsia" w:ascii="仿宋_GB2312" w:hAnsi="ˎ̥" w:eastAsia="仿宋_GB2312" w:cs="宋体"/>
          <w:color w:val="000000"/>
          <w:spacing w:val="-21"/>
          <w:kern w:val="0"/>
          <w:sz w:val="32"/>
          <w:szCs w:val="32"/>
          <w:shd w:val="clear" w:color="auto" w:fill="FFFFFF"/>
        </w:rPr>
      </w:pPr>
      <w:r>
        <w:rPr>
          <w:rFonts w:hint="eastAsia" w:ascii="仿宋_GB2312" w:hAnsi="ˎ̥" w:eastAsia="仿宋_GB2312" w:cs="宋体"/>
          <w:color w:val="000000"/>
          <w:spacing w:val="-21"/>
          <w:kern w:val="0"/>
          <w:sz w:val="32"/>
          <w:szCs w:val="32"/>
          <w:shd w:val="clear" w:color="auto" w:fill="FFFFFF"/>
        </w:rPr>
        <w:t>附件</w:t>
      </w:r>
      <w:r>
        <w:rPr>
          <w:rFonts w:ascii="仿宋_GB2312" w:hAnsi="ˎ̥" w:eastAsia="仿宋_GB2312" w:cs="宋体"/>
          <w:color w:val="000000"/>
          <w:spacing w:val="-21"/>
          <w:kern w:val="0"/>
          <w:sz w:val="32"/>
          <w:szCs w:val="32"/>
          <w:shd w:val="clear" w:color="auto" w:fill="FFFFFF"/>
        </w:rPr>
        <w:t>3</w:t>
      </w:r>
      <w:r>
        <w:rPr>
          <w:rFonts w:hint="eastAsia" w:ascii="仿宋_GB2312" w:hAnsi="ˎ̥" w:eastAsia="仿宋_GB2312" w:cs="宋体"/>
          <w:color w:val="000000"/>
          <w:spacing w:val="-21"/>
          <w:kern w:val="0"/>
          <w:sz w:val="32"/>
          <w:szCs w:val="32"/>
          <w:shd w:val="clear" w:color="auto" w:fill="FFFFFF"/>
        </w:rPr>
        <w:t>：</w:t>
      </w:r>
    </w:p>
    <w:p w14:paraId="062E1EEB">
      <w:pPr>
        <w:widowControl/>
        <w:shd w:val="clear" w:color="auto" w:fill="FFFFFF"/>
        <w:spacing w:line="600" w:lineRule="exact"/>
        <w:jc w:val="center"/>
        <w:outlineLvl w:val="0"/>
        <w:rPr>
          <w:rFonts w:hint="eastAsia" w:ascii="仿宋_GB2312" w:hAnsi="ˎ̥" w:eastAsia="仿宋_GB2312" w:cs="宋体"/>
          <w:color w:val="000000"/>
          <w:spacing w:val="-21"/>
          <w:kern w:val="0"/>
          <w:sz w:val="32"/>
          <w:szCs w:val="32"/>
          <w:shd w:val="clear" w:color="auto" w:fill="FFFFFF"/>
        </w:rPr>
      </w:pPr>
      <w:r>
        <w:rPr>
          <w:rFonts w:hint="eastAsia" w:ascii="仿宋_GB2312" w:hAnsi="ˎ̥" w:eastAsia="仿宋_GB2312" w:cs="宋体"/>
          <w:color w:val="000000"/>
          <w:spacing w:val="-21"/>
          <w:kern w:val="0"/>
          <w:sz w:val="32"/>
          <w:szCs w:val="32"/>
          <w:shd w:val="clear" w:color="auto" w:fill="FFFFFF"/>
        </w:rPr>
        <w:t>202</w:t>
      </w:r>
      <w:r>
        <w:rPr>
          <w:rFonts w:ascii="仿宋_GB2312" w:hAnsi="ˎ̥" w:eastAsia="仿宋_GB2312" w:cs="宋体"/>
          <w:color w:val="000000"/>
          <w:spacing w:val="-21"/>
          <w:kern w:val="0"/>
          <w:sz w:val="32"/>
          <w:szCs w:val="32"/>
          <w:shd w:val="clear" w:color="auto" w:fill="FFFFFF"/>
        </w:rPr>
        <w:t>5</w:t>
      </w:r>
      <w:r>
        <w:rPr>
          <w:rFonts w:hint="eastAsia" w:ascii="仿宋_GB2312" w:hAnsi="ˎ̥" w:eastAsia="仿宋_GB2312" w:cs="宋体"/>
          <w:color w:val="000000"/>
          <w:spacing w:val="-21"/>
          <w:kern w:val="0"/>
          <w:sz w:val="32"/>
          <w:szCs w:val="32"/>
          <w:shd w:val="clear" w:color="auto" w:fill="FFFFFF"/>
        </w:rPr>
        <w:t>年河北省高等职业院校技能大赛“应用软件系统开发”赛项</w:t>
      </w:r>
    </w:p>
    <w:p w14:paraId="185D42C8">
      <w:pPr>
        <w:widowControl/>
        <w:shd w:val="clear" w:color="auto" w:fill="FFFFFF"/>
        <w:spacing w:line="600" w:lineRule="exact"/>
        <w:jc w:val="center"/>
        <w:outlineLvl w:val="0"/>
        <w:rPr>
          <w:rFonts w:hint="eastAsia" w:ascii="仿宋_GB2312" w:hAnsi="ˎ̥" w:eastAsia="仿宋_GB2312" w:cs="宋体"/>
          <w:color w:val="000000"/>
          <w:spacing w:val="-21"/>
          <w:kern w:val="0"/>
          <w:sz w:val="32"/>
          <w:szCs w:val="32"/>
          <w:shd w:val="clear" w:color="auto" w:fill="FFFFFF"/>
        </w:rPr>
      </w:pPr>
      <w:r>
        <w:rPr>
          <w:rFonts w:hint="eastAsia" w:ascii="仿宋_GB2312" w:hAnsi="ˎ̥" w:eastAsia="仿宋_GB2312" w:cs="宋体"/>
          <w:color w:val="000000"/>
          <w:spacing w:val="-21"/>
          <w:kern w:val="0"/>
          <w:sz w:val="32"/>
          <w:szCs w:val="32"/>
          <w:shd w:val="clear" w:color="auto" w:fill="FFFFFF"/>
        </w:rPr>
        <w:t>(高职组)赛项竞赛规程</w:t>
      </w:r>
    </w:p>
    <w:p w14:paraId="70147E34">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赛项</w:t>
      </w:r>
      <w:r>
        <w:rPr>
          <w:rFonts w:hint="eastAsia" w:ascii="Times New Roman" w:hAnsi="Times New Roman" w:eastAsia="黑体" w:cs="Times New Roman"/>
          <w:sz w:val="32"/>
        </w:rPr>
        <w:t>名称</w:t>
      </w:r>
    </w:p>
    <w:p w14:paraId="41628DE3">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赛项名称：应用软件系统开发</w:t>
      </w:r>
    </w:p>
    <w:p w14:paraId="06423BC4">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英文名称：Application Software System Development</w:t>
      </w:r>
    </w:p>
    <w:p w14:paraId="1DB89130">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赛项组别：高职组</w:t>
      </w:r>
    </w:p>
    <w:p w14:paraId="68EECB25">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赛项归属：电子信息大类</w:t>
      </w:r>
    </w:p>
    <w:p w14:paraId="6C910C18">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竞赛目标</w:t>
      </w:r>
    </w:p>
    <w:p w14:paraId="7E651AEB">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党的二十大报告明确指出“要推动战略性新兴产业融合集群发展，构建新一代信息技术等一批新的增长引擎”，新一代信息技术产业对经济社会高质量发展的赋能作用更加突显，软件是新一代信息技术的灵魂，是数字经济发展的基础，是制造强国、网络强国、数字中国建设的关键支撑，是壮大产业高质量发展的新动能。</w:t>
      </w:r>
    </w:p>
    <w:p w14:paraId="7AF8F65F">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本赛项旨在落实国家软件发展战略，深化产教融合，协同推动软件行业创新与发展，赋能经济社会和现代职业教育高质量发展。对接软件工程领域当前的新技术、新业态、新模式、新要求，通过大赛让参赛选手掌握一个真实企业应用软件系统的开发流程和实现过程；培养选手在企业真实项目环境下进行数据库设计、简单算法分析和设计、软件设计和开发、软件部署测试和运维、软件项目文档编制等方面的能力，同时培养选手探究学习、终身学习和可持续发展的能力。</w:t>
      </w:r>
    </w:p>
    <w:p w14:paraId="2DB92B20">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赛项围绕软件行业相关岗位的实际需求和要求进行设计，通过大赛推动龙头、产教融合型等企业深度参与职业教育的人才培养、科技创新、社会服务、就业创业等各个环节；检验职业院校教学水平，引领专业建设和“三教”改革，促进“岗课赛证”协同育人，营造崇尚技能的社会氛围；强化赛后资源转化，将竞赛成果转化为教材、课程和实训项目等资源，融入教学、服务教学，为国家发展战略提供软件工程领域高素质技术技能人才。</w:t>
      </w:r>
    </w:p>
    <w:p w14:paraId="57A49596">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竞赛内容</w:t>
      </w:r>
    </w:p>
    <w:p w14:paraId="7EC56563">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（一）选手需具备能力</w:t>
      </w:r>
    </w:p>
    <w:p w14:paraId="66D03C83">
      <w:pPr>
        <w:pStyle w:val="2"/>
        <w:spacing w:after="0" w:line="360" w:lineRule="auto"/>
        <w:ind w:firstLine="560" w:firstLineChars="200"/>
        <w:rPr>
          <w:rFonts w:ascii="Times New Roman" w:hAnsi="Times New Roman" w:eastAsia="仿宋_GB2312"/>
          <w:bCs/>
          <w:sz w:val="28"/>
          <w:szCs w:val="28"/>
        </w:rPr>
      </w:pPr>
      <w:r>
        <w:rPr>
          <w:rFonts w:ascii="Times New Roman" w:hAnsi="Times New Roman" w:eastAsia="仿宋_GB2312"/>
          <w:bCs/>
          <w:sz w:val="28"/>
          <w:szCs w:val="28"/>
        </w:rPr>
        <w:t>本赛项基于企业真实软件系统项目和工作模块，通过“需求分析—系统原型设计—数据库设计—模块开发—系统部署—系统测试”等软件系统开发典型工作任务，结合高职软件技术和计算机应用技术专业教学标准，充分考量企业岗位对学生职业技能的最新需求，在规定的时间内完成指定竞赛模块，主要考查参赛选手计算机信息处理技术、程序设计、操作系统等相关知识，应用软件系统</w:t>
      </w:r>
      <w:r>
        <w:rPr>
          <w:rFonts w:ascii="Times New Roman" w:hAnsi="Times New Roman" w:eastAsia="仿宋_GB2312"/>
          <w:sz w:val="28"/>
          <w:szCs w:val="28"/>
        </w:rPr>
        <w:t>数据库设计、简单算法分析和设计、前端页面</w:t>
      </w:r>
      <w:r>
        <w:rPr>
          <w:rFonts w:ascii="Times New Roman" w:hAnsi="Times New Roman" w:eastAsia="仿宋_GB2312"/>
          <w:bCs/>
          <w:sz w:val="28"/>
          <w:szCs w:val="28"/>
        </w:rPr>
        <w:t>和后端业务功能开发、数据采集与分析、系统部署测试与运维、</w:t>
      </w:r>
      <w:r>
        <w:rPr>
          <w:rFonts w:ascii="Times New Roman" w:hAnsi="Times New Roman" w:eastAsia="仿宋_GB2312"/>
          <w:sz w:val="28"/>
          <w:szCs w:val="28"/>
        </w:rPr>
        <w:t>软件项目文档编制</w:t>
      </w:r>
      <w:r>
        <w:rPr>
          <w:rFonts w:ascii="Times New Roman" w:hAnsi="Times New Roman" w:eastAsia="仿宋_GB2312"/>
          <w:bCs/>
          <w:sz w:val="28"/>
          <w:szCs w:val="28"/>
        </w:rPr>
        <w:t>等方面的能力，培养选手工作组织和团队协作能力、沟通和人际交往能力、解决问题能力以及致力于紧跟行业发展步伐的自我学习能力。</w:t>
      </w:r>
    </w:p>
    <w:p w14:paraId="184E5503">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（二）竞赛模块及内容</w:t>
      </w:r>
    </w:p>
    <w:p w14:paraId="24AE7675">
      <w:pPr>
        <w:spacing w:line="360" w:lineRule="auto"/>
        <w:ind w:firstLine="562" w:firstLineChars="200"/>
        <w:outlineLvl w:val="2"/>
        <w:rPr>
          <w:rFonts w:ascii="Times New Roman" w:hAnsi="Times New Roman" w:eastAsia="仿宋_GB2312" w:cs="Times New Roman"/>
          <w:b/>
          <w:sz w:val="28"/>
          <w:szCs w:val="28"/>
        </w:rPr>
      </w:pPr>
      <w:r>
        <w:rPr>
          <w:rFonts w:ascii="Times New Roman" w:hAnsi="Times New Roman" w:eastAsia="仿宋_GB2312" w:cs="Times New Roman"/>
          <w:b/>
          <w:sz w:val="28"/>
          <w:szCs w:val="28"/>
        </w:rPr>
        <w:t>1.竞赛时间</w:t>
      </w:r>
    </w:p>
    <w:p w14:paraId="2DD7504F">
      <w:pPr>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本赛项竞赛总时长6</w:t>
      </w:r>
      <w:r>
        <w:rPr>
          <w:rFonts w:hint="eastAsia" w:ascii="Times New Roman" w:hAnsi="Times New Roman" w:eastAsia="仿宋_GB2312" w:cs="Times New Roman"/>
          <w:bCs/>
          <w:sz w:val="28"/>
          <w:szCs w:val="28"/>
        </w:rPr>
        <w:t>小时</w:t>
      </w:r>
      <w:r>
        <w:rPr>
          <w:rFonts w:ascii="Times New Roman" w:hAnsi="Times New Roman" w:eastAsia="仿宋_GB2312" w:cs="Times New Roman"/>
          <w:bCs/>
          <w:sz w:val="28"/>
          <w:szCs w:val="28"/>
        </w:rPr>
        <w:t>（</w:t>
      </w:r>
      <w:r>
        <w:rPr>
          <w:rFonts w:hint="eastAsia" w:ascii="Times New Roman" w:hAnsi="Times New Roman" w:eastAsia="仿宋_GB2312" w:cs="Times New Roman"/>
          <w:bCs/>
          <w:sz w:val="28"/>
          <w:szCs w:val="28"/>
        </w:rPr>
        <w:t>1</w:t>
      </w:r>
      <w:r>
        <w:rPr>
          <w:rFonts w:ascii="Times New Roman" w:hAnsi="Times New Roman" w:eastAsia="仿宋_GB2312" w:cs="Times New Roman"/>
          <w:bCs/>
          <w:sz w:val="28"/>
          <w:szCs w:val="28"/>
        </w:rPr>
        <w:t>天进行），各参赛队在规定的时间内，独立完成“竞赛内容”规定的竞赛模块。</w:t>
      </w:r>
    </w:p>
    <w:p w14:paraId="618392EE">
      <w:pPr>
        <w:spacing w:line="360" w:lineRule="auto"/>
        <w:ind w:firstLine="562" w:firstLineChars="200"/>
        <w:outlineLvl w:val="2"/>
        <w:rPr>
          <w:rFonts w:ascii="Times New Roman" w:hAnsi="Times New Roman" w:eastAsia="仿宋_GB2312" w:cs="Times New Roman"/>
          <w:b/>
          <w:sz w:val="28"/>
          <w:szCs w:val="28"/>
        </w:rPr>
      </w:pPr>
      <w:r>
        <w:rPr>
          <w:rFonts w:ascii="Times New Roman" w:hAnsi="Times New Roman" w:eastAsia="仿宋_GB2312" w:cs="Times New Roman"/>
          <w:b/>
          <w:sz w:val="28"/>
          <w:szCs w:val="28"/>
        </w:rPr>
        <w:t>2.竞赛内容</w:t>
      </w:r>
    </w:p>
    <w:p w14:paraId="7613498F">
      <w:pPr>
        <w:adjustRightInd w:val="0"/>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竞赛内容以真实企业软件系统项目为载体，按照软件系统开发典型工作任务，设置“系统需求分析”“软件系统开发”和“系统部署测试”三个竞赛模块。</w:t>
      </w:r>
    </w:p>
    <w:p w14:paraId="7FA4594C">
      <w:pPr>
        <w:adjustRightInd w:val="0"/>
        <w:spacing w:line="360" w:lineRule="auto"/>
        <w:ind w:right="210" w:rightChars="100"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模块一：系统需求分析</w:t>
      </w:r>
    </w:p>
    <w:p w14:paraId="4A4A2CFC">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本模块重点考查参赛选手依据给定的需求，进行系统需求分析的能力，具体包括：</w:t>
      </w:r>
    </w:p>
    <w:p w14:paraId="31055EDA">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1）系统规划设计。按照给定的项目需求，进行需求的梳理与规划，使用标准的需求规格说明书（模板），进行需求规格的描述，编写模块概要简述，绘制对应业务流程图/活动图、用例图、类图、时序图、E-R图。</w:t>
      </w:r>
    </w:p>
    <w:p w14:paraId="5F1EFDB3">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（2）原型设计绘制。依据模块功能要求，使用原型图绘制软件，进行模块原型设计，并实现原型页面之间的交互功能。</w:t>
      </w:r>
    </w:p>
    <w:p w14:paraId="263EEEE1">
      <w:pPr>
        <w:adjustRightInd w:val="0"/>
        <w:spacing w:line="360" w:lineRule="auto"/>
        <w:ind w:right="210" w:rightChars="100"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模块二：软件系统开发</w:t>
      </w:r>
    </w:p>
    <w:p w14:paraId="62AF8D08">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本模块重点考查参赛选手的业务设计、前端页面开发和后端业务代码编写能力，具体包括：</w:t>
      </w:r>
    </w:p>
    <w:p w14:paraId="6E00C30E">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（1）前端页面开发。基于给定的系统需求，利用后端API提供的数据接口，使用HTML5、CSS3、JavaScript、</w:t>
      </w:r>
      <w:r>
        <w:rPr>
          <w:rFonts w:ascii="Times New Roman" w:hAnsi="Times New Roman" w:eastAsia="仿宋_GB2312" w:cs="Times New Roman"/>
          <w:bCs/>
          <w:color w:val="000000"/>
          <w:sz w:val="28"/>
          <w:szCs w:val="28"/>
        </w:rPr>
        <w:t>Vue</w:t>
      </w:r>
      <w:r>
        <w:rPr>
          <w:rFonts w:ascii="Times New Roman" w:hAnsi="Times New Roman" w:eastAsia="仿宋_GB2312" w:cs="Times New Roman"/>
          <w:bCs/>
          <w:sz w:val="28"/>
          <w:szCs w:val="28"/>
        </w:rPr>
        <w:t>.js</w:t>
      </w:r>
      <w:r>
        <w:rPr>
          <w:rFonts w:hint="eastAsia" w:ascii="Times New Roman" w:hAnsi="Times New Roman" w:eastAsia="仿宋_GB2312" w:cs="Times New Roman"/>
          <w:bCs/>
          <w:sz w:val="28"/>
          <w:szCs w:val="28"/>
          <w:lang w:val="en-US" w:eastAsia="zh-CN"/>
        </w:rPr>
        <w:t xml:space="preserve"> 3.x</w:t>
      </w:r>
      <w:r>
        <w:rPr>
          <w:rFonts w:ascii="Times New Roman" w:hAnsi="Times New Roman" w:eastAsia="仿宋_GB2312" w:cs="Times New Roman"/>
          <w:bCs/>
          <w:sz w:val="28"/>
          <w:szCs w:val="28"/>
        </w:rPr>
        <w:t>（</w:t>
      </w:r>
      <w:r>
        <w:rPr>
          <w:rFonts w:hint="default" w:ascii="Times New Roman" w:hAnsi="Times New Roman" w:eastAsia="仿宋_GB2312" w:cs="Times New Roman"/>
          <w:bCs/>
          <w:sz w:val="28"/>
          <w:szCs w:val="28"/>
          <w:lang w:val="en-US"/>
        </w:rPr>
        <w:t>e</w:t>
      </w:r>
      <w:r>
        <w:rPr>
          <w:rFonts w:ascii="Times New Roman" w:hAnsi="Times New Roman" w:eastAsia="仿宋_GB2312" w:cs="Times New Roman"/>
          <w:bCs/>
          <w:color w:val="000000"/>
          <w:sz w:val="28"/>
          <w:szCs w:val="28"/>
        </w:rPr>
        <w:t>lement</w:t>
      </w:r>
      <w:r>
        <w:rPr>
          <w:rFonts w:hint="eastAsia" w:ascii="Times New Roman" w:hAnsi="Times New Roman" w:eastAsia="仿宋_GB2312" w:cs="Times New Roman"/>
          <w:bCs/>
          <w:color w:val="000000"/>
          <w:sz w:val="28"/>
          <w:szCs w:val="28"/>
          <w:lang w:val="en-US" w:eastAsia="zh-CN"/>
        </w:rPr>
        <w:t>-plus</w:t>
      </w:r>
      <w:r>
        <w:rPr>
          <w:rFonts w:ascii="Times New Roman" w:hAnsi="Times New Roman" w:eastAsia="仿宋_GB2312" w:cs="Times New Roman"/>
          <w:bCs/>
          <w:sz w:val="28"/>
          <w:szCs w:val="28"/>
        </w:rPr>
        <w:t>、</w:t>
      </w:r>
      <w:r>
        <w:rPr>
          <w:rFonts w:ascii="Times New Roman" w:hAnsi="Times New Roman" w:eastAsia="仿宋_GB2312" w:cs="Times New Roman"/>
          <w:bCs/>
          <w:color w:val="000000"/>
          <w:sz w:val="28"/>
          <w:szCs w:val="28"/>
        </w:rPr>
        <w:t>vue</w:t>
      </w:r>
      <w:r>
        <w:rPr>
          <w:rFonts w:ascii="Times New Roman" w:hAnsi="Times New Roman" w:eastAsia="仿宋_GB2312" w:cs="Times New Roman"/>
          <w:bCs/>
          <w:sz w:val="28"/>
          <w:szCs w:val="28"/>
        </w:rPr>
        <w:t>-element-admin）等技术，遵循MVVM模式完成前端页面，实现业务功能。要求编码符合前端工程化开发技术规范。</w:t>
      </w:r>
    </w:p>
    <w:p w14:paraId="62CCD139">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（2）后端业务开发。基于给定的系统需求，利用可视化开发工具设计数据库，并利用Spring Boot框架实现后端业务功能，完成RESTful API接口开发，并发布运行。要求设计符合Spring Boot框架的Domain/POJO、DAO、Service、Controller分层架构模式，编码符合命名和注释规范。</w:t>
      </w:r>
    </w:p>
    <w:p w14:paraId="5BE2A6CD">
      <w:pPr>
        <w:adjustRightInd w:val="0"/>
        <w:spacing w:line="360" w:lineRule="auto"/>
        <w:ind w:right="210" w:rightChars="100" w:firstLine="562" w:firstLineChars="200"/>
        <w:rPr>
          <w:rFonts w:ascii="Times New Roman" w:hAnsi="Times New Roman" w:eastAsia="仿宋_GB2312" w:cs="Times New Roman"/>
          <w:b/>
          <w:sz w:val="28"/>
          <w:szCs w:val="28"/>
        </w:rPr>
      </w:pPr>
      <w:r>
        <w:rPr>
          <w:rFonts w:ascii="Times New Roman" w:hAnsi="Times New Roman" w:eastAsia="仿宋_GB2312" w:cs="Times New Roman"/>
          <w:b/>
          <w:sz w:val="28"/>
          <w:szCs w:val="28"/>
        </w:rPr>
        <w:t>模块三：系统部署测试</w:t>
      </w:r>
    </w:p>
    <w:p w14:paraId="1F3A5725">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本模块重点考查参赛选手的系统部署、功能测试、Bug排查修复及文档编写能力，具体包括：</w:t>
      </w:r>
    </w:p>
    <w:p w14:paraId="45252A4B">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（1）系统部署。将给定项目发布到集成部署工具中，确保正常运行。</w:t>
      </w:r>
    </w:p>
    <w:p w14:paraId="5E3FACD4">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（2）功能测试及Bug修复。使用给定的前后端源代码，制定测试策略，设计测试用例，完成指定的功能测试；记录测试中出现的Bug，对Bug进行分析与修复；基于测试报告模板，撰写系统测试报告。</w:t>
      </w:r>
    </w:p>
    <w:p w14:paraId="47D6AB5F">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（3）API接口测试。使用</w:t>
      </w:r>
      <w:r>
        <w:rPr>
          <w:rFonts w:ascii="Times New Roman" w:hAnsi="Times New Roman" w:eastAsia="仿宋_GB2312" w:cs="Times New Roman"/>
          <w:bCs/>
          <w:color w:val="000000"/>
          <w:sz w:val="28"/>
          <w:szCs w:val="28"/>
        </w:rPr>
        <w:t>JMeter</w:t>
      </w:r>
      <w:r>
        <w:rPr>
          <w:rFonts w:ascii="Times New Roman" w:hAnsi="Times New Roman" w:eastAsia="仿宋_GB2312" w:cs="Times New Roman"/>
          <w:bCs/>
          <w:sz w:val="28"/>
          <w:szCs w:val="28"/>
        </w:rPr>
        <w:t>工具对后端RESTful API接口进行编码规范测试，输出API接口测试报告。</w:t>
      </w:r>
    </w:p>
    <w:p w14:paraId="76A3436C">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（三）模块时长及分值</w:t>
      </w:r>
    </w:p>
    <w:p w14:paraId="1A24501C">
      <w:pPr>
        <w:adjustRightInd w:val="0"/>
        <w:snapToGrid w:val="0"/>
        <w:spacing w:line="360" w:lineRule="auto"/>
        <w:ind w:right="210" w:rightChars="100"/>
        <w:jc w:val="center"/>
        <w:rPr>
          <w:rFonts w:ascii="Times New Roman" w:hAnsi="Times New Roman" w:cs="Times New Roman"/>
        </w:rPr>
      </w:pPr>
      <w:r>
        <w:rPr>
          <w:rFonts w:ascii="Times New Roman" w:hAnsi="Times New Roman" w:eastAsia="黑体" w:cs="Times New Roman"/>
          <w:bCs/>
          <w:sz w:val="24"/>
        </w:rPr>
        <w:t>表</w:t>
      </w:r>
      <w:r>
        <w:rPr>
          <w:rFonts w:hint="eastAsia" w:ascii="Times New Roman" w:hAnsi="Times New Roman" w:eastAsia="黑体" w:cs="Times New Roman"/>
          <w:bCs/>
          <w:sz w:val="24"/>
        </w:rPr>
        <w:t>1</w:t>
      </w:r>
      <w:r>
        <w:rPr>
          <w:rFonts w:ascii="Times New Roman" w:hAnsi="Times New Roman" w:eastAsia="黑体" w:cs="Times New Roman"/>
          <w:bCs/>
          <w:sz w:val="24"/>
        </w:rPr>
        <w:t xml:space="preserve"> 模块名称、时长及分值一览表</w:t>
      </w:r>
    </w:p>
    <w:tbl>
      <w:tblPr>
        <w:tblStyle w:val="14"/>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006"/>
        <w:gridCol w:w="1737"/>
        <w:gridCol w:w="3301"/>
        <w:gridCol w:w="1350"/>
        <w:gridCol w:w="1128"/>
      </w:tblGrid>
      <w:tr w14:paraId="375C14AD">
        <w:trPr>
          <w:trHeight w:val="737" w:hRule="atLeast"/>
          <w:jc w:val="center"/>
        </w:trPr>
        <w:tc>
          <w:tcPr>
            <w:tcW w:w="1609" w:type="pct"/>
            <w:gridSpan w:val="2"/>
            <w:vAlign w:val="center"/>
          </w:tcPr>
          <w:p w14:paraId="33062D5B">
            <w:pPr>
              <w:adjustRightInd w:val="0"/>
              <w:jc w:val="center"/>
              <w:rPr>
                <w:rFonts w:ascii="Times New Roman" w:hAnsi="Times New Roman" w:eastAsia="仿宋_GB2312" w:cs="Times New Roman"/>
                <w:b/>
                <w:sz w:val="24"/>
              </w:rPr>
            </w:pPr>
            <w:r>
              <w:rPr>
                <w:rFonts w:ascii="Times New Roman" w:hAnsi="Times New Roman" w:eastAsia="仿宋_GB2312" w:cs="Times New Roman"/>
                <w:b/>
                <w:sz w:val="24"/>
              </w:rPr>
              <w:t>模块</w:t>
            </w:r>
          </w:p>
        </w:tc>
        <w:tc>
          <w:tcPr>
            <w:tcW w:w="1936" w:type="pct"/>
            <w:vAlign w:val="center"/>
          </w:tcPr>
          <w:p w14:paraId="3F6FFC94">
            <w:pPr>
              <w:adjustRightInd w:val="0"/>
              <w:jc w:val="center"/>
              <w:rPr>
                <w:rFonts w:ascii="Times New Roman" w:hAnsi="Times New Roman" w:eastAsia="仿宋_GB2312" w:cs="Times New Roman"/>
                <w:b/>
                <w:sz w:val="24"/>
              </w:rPr>
            </w:pPr>
            <w:r>
              <w:rPr>
                <w:rFonts w:ascii="Times New Roman" w:hAnsi="Times New Roman" w:eastAsia="仿宋_GB2312" w:cs="Times New Roman"/>
                <w:b/>
                <w:sz w:val="24"/>
              </w:rPr>
              <w:t>主要内容</w:t>
            </w:r>
          </w:p>
        </w:tc>
        <w:tc>
          <w:tcPr>
            <w:tcW w:w="792" w:type="pct"/>
            <w:vAlign w:val="center"/>
          </w:tcPr>
          <w:p w14:paraId="75879455">
            <w:pPr>
              <w:adjustRightInd w:val="0"/>
              <w:jc w:val="center"/>
              <w:rPr>
                <w:rFonts w:ascii="Times New Roman" w:hAnsi="Times New Roman" w:eastAsia="仿宋_GB2312" w:cs="Times New Roman"/>
                <w:b/>
                <w:sz w:val="24"/>
              </w:rPr>
            </w:pPr>
            <w:r>
              <w:rPr>
                <w:rFonts w:ascii="Times New Roman" w:hAnsi="Times New Roman" w:eastAsia="仿宋_GB2312" w:cs="Times New Roman"/>
                <w:b/>
                <w:sz w:val="24"/>
              </w:rPr>
              <w:t>比赛时长</w:t>
            </w:r>
          </w:p>
        </w:tc>
        <w:tc>
          <w:tcPr>
            <w:tcW w:w="661" w:type="pct"/>
            <w:vAlign w:val="center"/>
          </w:tcPr>
          <w:p w14:paraId="18EA9F6F">
            <w:pPr>
              <w:adjustRightInd w:val="0"/>
              <w:jc w:val="center"/>
              <w:rPr>
                <w:rFonts w:ascii="Times New Roman" w:hAnsi="Times New Roman" w:eastAsia="仿宋_GB2312" w:cs="Times New Roman"/>
                <w:b/>
                <w:sz w:val="24"/>
              </w:rPr>
            </w:pPr>
            <w:r>
              <w:rPr>
                <w:rFonts w:ascii="Times New Roman" w:hAnsi="Times New Roman" w:eastAsia="仿宋_GB2312" w:cs="Times New Roman"/>
                <w:b/>
                <w:sz w:val="24"/>
              </w:rPr>
              <w:t>分值</w:t>
            </w:r>
          </w:p>
        </w:tc>
      </w:tr>
      <w:tr w14:paraId="730F9162">
        <w:trPr>
          <w:trHeight w:val="510" w:hRule="atLeast"/>
          <w:jc w:val="center"/>
        </w:trPr>
        <w:tc>
          <w:tcPr>
            <w:tcW w:w="590" w:type="pct"/>
            <w:vAlign w:val="center"/>
          </w:tcPr>
          <w:p w14:paraId="61899ECB">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模块一</w:t>
            </w:r>
          </w:p>
        </w:tc>
        <w:tc>
          <w:tcPr>
            <w:tcW w:w="1019" w:type="pct"/>
            <w:vAlign w:val="center"/>
          </w:tcPr>
          <w:p w14:paraId="7941DD76">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系统需求分析</w:t>
            </w:r>
          </w:p>
        </w:tc>
        <w:tc>
          <w:tcPr>
            <w:tcW w:w="1936" w:type="pct"/>
            <w:vAlign w:val="center"/>
          </w:tcPr>
          <w:p w14:paraId="14A123A8">
            <w:pPr>
              <w:adjustRightInd w:val="0"/>
              <w:snapToGrid w:val="0"/>
              <w:rPr>
                <w:rFonts w:ascii="Times New Roman" w:hAnsi="Times New Roman" w:eastAsia="仿宋_GB2312" w:cs="Times New Roman"/>
                <w:bCs/>
                <w:sz w:val="24"/>
              </w:rPr>
            </w:pPr>
            <w:r>
              <w:rPr>
                <w:rFonts w:ascii="Times New Roman" w:hAnsi="Times New Roman" w:eastAsia="仿宋_GB2312" w:cs="Times New Roman"/>
                <w:bCs/>
                <w:sz w:val="24"/>
              </w:rPr>
              <w:t>根据给定的需求描述，进行系统规划设计及原型设计。</w:t>
            </w:r>
          </w:p>
        </w:tc>
        <w:tc>
          <w:tcPr>
            <w:tcW w:w="792" w:type="pct"/>
            <w:vMerge w:val="restart"/>
            <w:vAlign w:val="center"/>
          </w:tcPr>
          <w:p w14:paraId="52A0AC00">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6</w:t>
            </w:r>
            <w:r>
              <w:rPr>
                <w:rFonts w:hint="eastAsia" w:ascii="Times New Roman" w:hAnsi="Times New Roman" w:eastAsia="仿宋_GB2312" w:cs="Times New Roman"/>
                <w:bCs/>
                <w:sz w:val="24"/>
              </w:rPr>
              <w:t>小时</w:t>
            </w:r>
          </w:p>
        </w:tc>
        <w:tc>
          <w:tcPr>
            <w:tcW w:w="661" w:type="pct"/>
            <w:vAlign w:val="center"/>
          </w:tcPr>
          <w:p w14:paraId="1D6DBEE9">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25分</w:t>
            </w:r>
          </w:p>
        </w:tc>
      </w:tr>
      <w:tr w14:paraId="63D0FFAA">
        <w:trPr>
          <w:trHeight w:val="510" w:hRule="atLeast"/>
          <w:jc w:val="center"/>
        </w:trPr>
        <w:tc>
          <w:tcPr>
            <w:tcW w:w="590" w:type="pct"/>
            <w:vAlign w:val="center"/>
          </w:tcPr>
          <w:p w14:paraId="0FEAB9E4">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模块二</w:t>
            </w:r>
          </w:p>
        </w:tc>
        <w:tc>
          <w:tcPr>
            <w:tcW w:w="1019" w:type="pct"/>
            <w:vAlign w:val="center"/>
          </w:tcPr>
          <w:p w14:paraId="1E4B44BE">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软件系统开发</w:t>
            </w:r>
          </w:p>
        </w:tc>
        <w:tc>
          <w:tcPr>
            <w:tcW w:w="1936" w:type="pct"/>
            <w:vAlign w:val="center"/>
          </w:tcPr>
          <w:p w14:paraId="42454AC2">
            <w:pPr>
              <w:adjustRightInd w:val="0"/>
              <w:snapToGrid w:val="0"/>
              <w:rPr>
                <w:rFonts w:ascii="Times New Roman" w:hAnsi="Times New Roman" w:eastAsia="仿宋_GB2312" w:cs="Times New Roman"/>
                <w:bCs/>
                <w:sz w:val="24"/>
              </w:rPr>
            </w:pPr>
            <w:r>
              <w:rPr>
                <w:rFonts w:ascii="Times New Roman" w:hAnsi="Times New Roman" w:eastAsia="仿宋_GB2312" w:cs="Times New Roman"/>
                <w:bCs/>
                <w:sz w:val="24"/>
              </w:rPr>
              <w:t>设计系统数据库，并基于指定开发框架，完成前端页面、后端业务和交互功能的开发。</w:t>
            </w:r>
          </w:p>
        </w:tc>
        <w:tc>
          <w:tcPr>
            <w:tcW w:w="792" w:type="pct"/>
            <w:vMerge w:val="continue"/>
            <w:vAlign w:val="center"/>
          </w:tcPr>
          <w:p w14:paraId="289DEA95">
            <w:pPr>
              <w:adjustRightInd w:val="0"/>
              <w:snapToGrid w:val="0"/>
              <w:jc w:val="center"/>
              <w:rPr>
                <w:rFonts w:ascii="Times New Roman" w:hAnsi="Times New Roman" w:eastAsia="仿宋_GB2312" w:cs="Times New Roman"/>
                <w:bCs/>
                <w:sz w:val="24"/>
              </w:rPr>
            </w:pPr>
          </w:p>
        </w:tc>
        <w:tc>
          <w:tcPr>
            <w:tcW w:w="661" w:type="pct"/>
            <w:vAlign w:val="center"/>
          </w:tcPr>
          <w:p w14:paraId="0DCD6AA4">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55分</w:t>
            </w:r>
          </w:p>
        </w:tc>
      </w:tr>
      <w:tr w14:paraId="707E4BAE">
        <w:trPr>
          <w:trHeight w:val="510" w:hRule="atLeast"/>
          <w:jc w:val="center"/>
        </w:trPr>
        <w:tc>
          <w:tcPr>
            <w:tcW w:w="590" w:type="pct"/>
            <w:vAlign w:val="center"/>
          </w:tcPr>
          <w:p w14:paraId="1168BB01">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模块三</w:t>
            </w:r>
          </w:p>
        </w:tc>
        <w:tc>
          <w:tcPr>
            <w:tcW w:w="1019" w:type="pct"/>
            <w:vAlign w:val="center"/>
          </w:tcPr>
          <w:p w14:paraId="2DF7C32A">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系统部署测试</w:t>
            </w:r>
          </w:p>
        </w:tc>
        <w:tc>
          <w:tcPr>
            <w:tcW w:w="1936" w:type="pct"/>
            <w:vAlign w:val="center"/>
          </w:tcPr>
          <w:p w14:paraId="568AA22E">
            <w:pPr>
              <w:adjustRightInd w:val="0"/>
              <w:snapToGrid w:val="0"/>
              <w:rPr>
                <w:rFonts w:ascii="Times New Roman" w:hAnsi="Times New Roman" w:eastAsia="仿宋_GB2312" w:cs="Times New Roman"/>
                <w:bCs/>
                <w:sz w:val="24"/>
              </w:rPr>
            </w:pPr>
            <w:r>
              <w:rPr>
                <w:rFonts w:ascii="Times New Roman" w:hAnsi="Times New Roman" w:eastAsia="仿宋_GB2312" w:cs="Times New Roman"/>
                <w:bCs/>
                <w:sz w:val="24"/>
              </w:rPr>
              <w:t>对给定项目进行系统部署、功能测试和Bug修复，使用测试工具进行API接口测试，完成系统测试文档编制。</w:t>
            </w:r>
          </w:p>
        </w:tc>
        <w:tc>
          <w:tcPr>
            <w:tcW w:w="792" w:type="pct"/>
            <w:vMerge w:val="continue"/>
            <w:vAlign w:val="center"/>
          </w:tcPr>
          <w:p w14:paraId="56D9C591">
            <w:pPr>
              <w:adjustRightInd w:val="0"/>
              <w:snapToGrid w:val="0"/>
              <w:jc w:val="center"/>
              <w:rPr>
                <w:rFonts w:ascii="Times New Roman" w:hAnsi="Times New Roman" w:eastAsia="仿宋_GB2312" w:cs="Times New Roman"/>
                <w:bCs/>
                <w:sz w:val="24"/>
              </w:rPr>
            </w:pPr>
          </w:p>
        </w:tc>
        <w:tc>
          <w:tcPr>
            <w:tcW w:w="661" w:type="pct"/>
            <w:vAlign w:val="center"/>
          </w:tcPr>
          <w:p w14:paraId="75B18A6F">
            <w:pPr>
              <w:adjustRightInd w:val="0"/>
              <w:snapToGrid w:val="0"/>
              <w:jc w:val="center"/>
              <w:rPr>
                <w:rFonts w:ascii="Times New Roman" w:hAnsi="Times New Roman" w:eastAsia="仿宋_GB2312" w:cs="Times New Roman"/>
                <w:bCs/>
                <w:sz w:val="24"/>
              </w:rPr>
            </w:pPr>
            <w:r>
              <w:rPr>
                <w:rFonts w:ascii="Times New Roman" w:hAnsi="Times New Roman" w:eastAsia="仿宋_GB2312" w:cs="Times New Roman"/>
                <w:bCs/>
                <w:sz w:val="24"/>
              </w:rPr>
              <w:t>20分</w:t>
            </w:r>
          </w:p>
        </w:tc>
      </w:tr>
    </w:tbl>
    <w:p w14:paraId="73DFF228">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竞赛方式</w:t>
      </w:r>
    </w:p>
    <w:p w14:paraId="7A78B702">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（一）竞赛形式</w:t>
      </w:r>
    </w:p>
    <w:p w14:paraId="2BCB629E">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本赛项为线下比赛形式。所有参赛队在现场根据给定的项目模块，</w:t>
      </w:r>
      <w:r>
        <w:rPr>
          <w:rFonts w:hint="eastAsia" w:ascii="Times New Roman" w:hAnsi="Times New Roman" w:eastAsia="仿宋_GB2312" w:cs="Times New Roman"/>
          <w:bCs/>
          <w:sz w:val="28"/>
          <w:szCs w:val="28"/>
        </w:rPr>
        <w:t>1</w:t>
      </w:r>
      <w:r>
        <w:rPr>
          <w:rFonts w:ascii="Times New Roman" w:hAnsi="Times New Roman" w:eastAsia="仿宋_GB2312" w:cs="Times New Roman"/>
          <w:bCs/>
          <w:sz w:val="28"/>
          <w:szCs w:val="28"/>
        </w:rPr>
        <w:t>天进行，在总计6</w:t>
      </w:r>
      <w:r>
        <w:rPr>
          <w:rFonts w:hint="eastAsia" w:ascii="Times New Roman" w:hAnsi="Times New Roman" w:eastAsia="仿宋_GB2312" w:cs="Times New Roman"/>
          <w:bCs/>
          <w:sz w:val="28"/>
          <w:szCs w:val="28"/>
        </w:rPr>
        <w:t>小时</w:t>
      </w:r>
      <w:r>
        <w:rPr>
          <w:rFonts w:ascii="Times New Roman" w:hAnsi="Times New Roman" w:eastAsia="仿宋_GB2312" w:cs="Times New Roman"/>
          <w:bCs/>
          <w:sz w:val="28"/>
          <w:szCs w:val="28"/>
        </w:rPr>
        <w:t>内相互配合，采用小组合作的形式完成竞赛模块。</w:t>
      </w:r>
    </w:p>
    <w:p w14:paraId="739CF3C7">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（二）组队方式</w:t>
      </w:r>
    </w:p>
    <w:p w14:paraId="2B2D556E">
      <w:pPr>
        <w:adjustRightInd w:val="0"/>
        <w:spacing w:line="360" w:lineRule="auto"/>
        <w:ind w:right="210" w:rightChars="100"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本赛项采用团体赛组队方式。每支参赛队由3名全日制在籍学生组成（凡在往届全国职业院校技能大赛中获得本赛项一等奖的选手，不能再参赛），参赛选手不得跨校组队</w:t>
      </w:r>
      <w:r>
        <w:rPr>
          <w:rFonts w:hint="eastAsia" w:ascii="Times New Roman" w:hAnsi="Times New Roman" w:eastAsia="仿宋_GB2312" w:cs="Times New Roman"/>
          <w:bCs/>
          <w:sz w:val="28"/>
          <w:szCs w:val="28"/>
        </w:rPr>
        <w:t>；</w:t>
      </w:r>
      <w:r>
        <w:rPr>
          <w:rFonts w:ascii="Times New Roman" w:hAnsi="Times New Roman" w:eastAsia="仿宋_GB2312" w:cs="Times New Roman"/>
          <w:bCs/>
          <w:sz w:val="28"/>
          <w:szCs w:val="28"/>
        </w:rPr>
        <w:t>每队限报2名指导教师，指导教师须为本校专兼职教师，竞赛期间不允许指导教师进入赛场进行现场指导；参赛选手和指导教师报名获得确认后不得随意更换。</w:t>
      </w:r>
    </w:p>
    <w:p w14:paraId="74D0B705">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竞赛流程</w:t>
      </w:r>
    </w:p>
    <w:p w14:paraId="7A2BFD26">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（一）竞赛流程图</w:t>
      </w:r>
    </w:p>
    <w:p w14:paraId="4FF25E7E">
      <w:pPr>
        <w:pStyle w:val="4"/>
        <w:spacing w:line="360" w:lineRule="auto"/>
        <w:ind w:firstLine="560" w:firstLineChars="200"/>
        <w:rPr>
          <w:rFonts w:ascii="Times New Roman" w:hAnsi="Times New Roman" w:eastAsia="仿宋_GB2312" w:cs="Times New Roman"/>
          <w:bCs/>
          <w:sz w:val="28"/>
          <w:szCs w:val="28"/>
        </w:rPr>
      </w:pPr>
      <w:r>
        <w:rPr>
          <w:rFonts w:ascii="Times New Roman" w:hAnsi="Times New Roman" w:eastAsia="仿宋_GB2312" w:cs="Times New Roman"/>
          <w:bCs/>
          <w:sz w:val="28"/>
          <w:szCs w:val="28"/>
        </w:rPr>
        <w:t>本赛项竞赛流程如图</w:t>
      </w:r>
      <w:r>
        <w:rPr>
          <w:rFonts w:hint="eastAsia" w:ascii="Times New Roman" w:hAnsi="Times New Roman" w:eastAsia="仿宋_GB2312" w:cs="Times New Roman"/>
          <w:bCs/>
          <w:sz w:val="28"/>
          <w:szCs w:val="28"/>
        </w:rPr>
        <w:t>1</w:t>
      </w:r>
      <w:r>
        <w:rPr>
          <w:rFonts w:ascii="Times New Roman" w:hAnsi="Times New Roman" w:eastAsia="仿宋_GB2312" w:cs="Times New Roman"/>
          <w:bCs/>
          <w:sz w:val="28"/>
          <w:szCs w:val="28"/>
        </w:rPr>
        <w:t>所示。</w:t>
      </w:r>
    </w:p>
    <w:p w14:paraId="2519CD94">
      <w:pPr>
        <w:pStyle w:val="4"/>
        <w:ind w:firstLine="0"/>
        <w:jc w:val="center"/>
        <w:rPr>
          <w:rFonts w:ascii="Times New Roman" w:hAnsi="Times New Roman" w:cs="Times New Roman"/>
        </w:rPr>
      </w:pPr>
      <w:r>
        <w:drawing>
          <wp:inline distT="0" distB="0" distL="114300" distR="114300">
            <wp:extent cx="4599305" cy="2316480"/>
            <wp:effectExtent l="0" t="0" r="0" b="762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referRelativeResize="0"/>
                  </pic:nvPicPr>
                  <pic:blipFill>
                    <a:blip r:embed="rId4"/>
                    <a:stretch>
                      <a:fillRect/>
                    </a:stretch>
                  </pic:blipFill>
                  <pic:spPr>
                    <a:xfrm>
                      <a:off x="0" y="0"/>
                      <a:ext cx="4599305" cy="2316480"/>
                    </a:xfrm>
                    <a:prstGeom prst="rect">
                      <a:avLst/>
                    </a:prstGeom>
                    <a:noFill/>
                    <a:ln>
                      <a:noFill/>
                    </a:ln>
                  </pic:spPr>
                </pic:pic>
              </a:graphicData>
            </a:graphic>
          </wp:inline>
        </w:drawing>
      </w:r>
    </w:p>
    <w:p w14:paraId="46026DAD">
      <w:pPr>
        <w:jc w:val="center"/>
        <w:rPr>
          <w:rFonts w:ascii="Times New Roman" w:hAnsi="Times New Roman" w:eastAsia="黑体" w:cs="Times New Roman"/>
          <w:sz w:val="24"/>
        </w:rPr>
      </w:pPr>
      <w:r>
        <w:rPr>
          <w:rFonts w:ascii="Times New Roman" w:hAnsi="Times New Roman" w:eastAsia="黑体" w:cs="Times New Roman"/>
          <w:sz w:val="24"/>
        </w:rPr>
        <w:t>图</w:t>
      </w:r>
      <w:r>
        <w:rPr>
          <w:rFonts w:hint="eastAsia" w:ascii="Times New Roman" w:hAnsi="Times New Roman" w:eastAsia="黑体" w:cs="Times New Roman"/>
          <w:sz w:val="24"/>
        </w:rPr>
        <w:t>1</w:t>
      </w:r>
      <w:r>
        <w:rPr>
          <w:rFonts w:ascii="Times New Roman" w:hAnsi="Times New Roman" w:eastAsia="黑体" w:cs="Times New Roman"/>
          <w:sz w:val="24"/>
        </w:rPr>
        <w:t xml:space="preserve"> 赛项竞赛流程示意图</w:t>
      </w:r>
    </w:p>
    <w:p w14:paraId="4B8B3960">
      <w:pPr>
        <w:pStyle w:val="2"/>
        <w:spacing w:after="0" w:line="360" w:lineRule="auto"/>
        <w:ind w:firstLine="281"/>
        <w:rPr>
          <w:rFonts w:ascii="Times New Roman" w:hAnsi="Times New Roman" w:eastAsia="楷体"/>
          <w:b/>
          <w:bCs/>
          <w:sz w:val="28"/>
          <w:szCs w:val="28"/>
        </w:rPr>
      </w:pPr>
    </w:p>
    <w:p w14:paraId="13A05DAD">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（二）竞赛时间表</w:t>
      </w:r>
    </w:p>
    <w:p w14:paraId="7B957F27">
      <w:pPr>
        <w:pStyle w:val="2"/>
        <w:ind w:firstLine="280"/>
      </w:pPr>
      <w:r>
        <w:rPr>
          <w:rFonts w:hint="eastAsia" w:ascii="Times New Roman" w:hAnsi="Times New Roman" w:eastAsia="仿宋_GB2312"/>
          <w:color w:val="000000"/>
          <w:sz w:val="28"/>
          <w:szCs w:val="28"/>
        </w:rPr>
        <w:t>如下表竞赛时间一览表作为参考，以实际安排为准。</w:t>
      </w:r>
    </w:p>
    <w:p w14:paraId="32CBBEBF">
      <w:pPr>
        <w:adjustRightInd w:val="0"/>
        <w:snapToGrid w:val="0"/>
        <w:jc w:val="center"/>
        <w:rPr>
          <w:rFonts w:ascii="Times New Roman" w:hAnsi="Times New Roman" w:eastAsia="黑体" w:cs="Times New Roman"/>
          <w:bCs/>
          <w:sz w:val="24"/>
        </w:rPr>
      </w:pPr>
      <w:r>
        <w:rPr>
          <w:rFonts w:ascii="Times New Roman" w:hAnsi="Times New Roman" w:eastAsia="黑体" w:cs="Times New Roman"/>
          <w:bCs/>
          <w:sz w:val="24"/>
        </w:rPr>
        <w:t>表</w:t>
      </w:r>
      <w:r>
        <w:rPr>
          <w:rFonts w:hint="eastAsia" w:ascii="Times New Roman" w:hAnsi="Times New Roman" w:eastAsia="黑体" w:cs="Times New Roman"/>
          <w:bCs/>
          <w:sz w:val="24"/>
        </w:rPr>
        <w:t>2</w:t>
      </w:r>
      <w:r>
        <w:rPr>
          <w:rFonts w:ascii="Times New Roman" w:hAnsi="Times New Roman" w:eastAsia="黑体" w:cs="Times New Roman"/>
          <w:bCs/>
          <w:sz w:val="24"/>
        </w:rPr>
        <w:t xml:space="preserve">  竞赛时间一览表</w:t>
      </w:r>
    </w:p>
    <w:tbl>
      <w:tblPr>
        <w:tblStyle w:val="14"/>
        <w:tblW w:w="769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8"/>
        <w:gridCol w:w="2126"/>
        <w:gridCol w:w="4881"/>
      </w:tblGrid>
      <w:tr w14:paraId="6802F2CB">
        <w:trPr>
          <w:trHeight w:val="397" w:hRule="atLeast"/>
          <w:jc w:val="center"/>
        </w:trPr>
        <w:tc>
          <w:tcPr>
            <w:tcW w:w="68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5C7553">
            <w:pPr>
              <w:pStyle w:val="27"/>
              <w:jc w:val="center"/>
              <w:rPr>
                <w:rStyle w:val="28"/>
                <w:rFonts w:ascii="仿宋" w:hAnsi="仿宋" w:eastAsia="仿宋"/>
                <w:b/>
                <w:bCs/>
                <w:sz w:val="24"/>
              </w:rPr>
            </w:pPr>
            <w:r>
              <w:rPr>
                <w:rStyle w:val="28"/>
                <w:rFonts w:ascii="仿宋" w:hAnsi="仿宋" w:eastAsia="仿宋"/>
                <w:b/>
                <w:bCs/>
                <w:sz w:val="24"/>
              </w:rPr>
              <w:t>日期</w:t>
            </w: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24A2F7">
            <w:pPr>
              <w:pStyle w:val="27"/>
              <w:jc w:val="center"/>
              <w:rPr>
                <w:rStyle w:val="28"/>
                <w:rFonts w:ascii="仿宋" w:hAnsi="仿宋" w:eastAsia="仿宋"/>
                <w:b/>
                <w:bCs/>
                <w:sz w:val="24"/>
              </w:rPr>
            </w:pPr>
            <w:r>
              <w:rPr>
                <w:rStyle w:val="28"/>
                <w:rFonts w:ascii="仿宋" w:hAnsi="仿宋" w:eastAsia="仿宋"/>
                <w:b/>
                <w:bCs/>
                <w:sz w:val="24"/>
              </w:rPr>
              <w:t>时间</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63137C">
            <w:pPr>
              <w:pStyle w:val="27"/>
              <w:jc w:val="center"/>
              <w:rPr>
                <w:rStyle w:val="28"/>
                <w:rFonts w:ascii="仿宋" w:hAnsi="仿宋" w:eastAsia="仿宋"/>
                <w:b/>
                <w:bCs/>
                <w:sz w:val="24"/>
              </w:rPr>
            </w:pPr>
            <w:r>
              <w:rPr>
                <w:rStyle w:val="28"/>
                <w:rFonts w:ascii="仿宋" w:hAnsi="仿宋" w:eastAsia="仿宋"/>
                <w:b/>
                <w:bCs/>
                <w:sz w:val="24"/>
              </w:rPr>
              <w:t>事项</w:t>
            </w:r>
          </w:p>
        </w:tc>
      </w:tr>
      <w:tr w14:paraId="65BBC3C1">
        <w:trPr>
          <w:trHeight w:val="397" w:hRule="atLeast"/>
          <w:jc w:val="center"/>
        </w:trPr>
        <w:tc>
          <w:tcPr>
            <w:tcW w:w="68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E0FBCDB">
            <w:pPr>
              <w:jc w:val="center"/>
              <w:rPr>
                <w:rStyle w:val="28"/>
                <w:rFonts w:ascii="仿宋" w:hAnsi="仿宋" w:eastAsia="仿宋"/>
                <w:color w:val="0D0D0D"/>
                <w:sz w:val="24"/>
              </w:rPr>
            </w:pPr>
            <w:r>
              <w:rPr>
                <w:rStyle w:val="28"/>
                <w:rFonts w:ascii="仿宋" w:hAnsi="仿宋" w:eastAsia="仿宋"/>
                <w:bCs/>
                <w:sz w:val="24"/>
              </w:rPr>
              <w:t>报到日</w:t>
            </w: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53E1FC">
            <w:pPr>
              <w:jc w:val="center"/>
              <w:rPr>
                <w:rStyle w:val="28"/>
                <w:rFonts w:ascii="仿宋" w:hAnsi="仿宋" w:eastAsia="仿宋"/>
                <w:color w:val="0D0D0D"/>
                <w:sz w:val="24"/>
              </w:rPr>
            </w:pPr>
            <w:r>
              <w:rPr>
                <w:rStyle w:val="28"/>
                <w:rFonts w:ascii="仿宋" w:hAnsi="仿宋" w:eastAsia="仿宋"/>
                <w:color w:val="0D0D0D"/>
                <w:sz w:val="24"/>
              </w:rPr>
              <w:t>16:00之前</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4B644">
            <w:pPr>
              <w:rPr>
                <w:rStyle w:val="28"/>
                <w:rFonts w:ascii="仿宋" w:hAnsi="仿宋" w:eastAsia="仿宋"/>
                <w:color w:val="0D0D0D"/>
                <w:sz w:val="24"/>
              </w:rPr>
            </w:pPr>
            <w:r>
              <w:rPr>
                <w:rStyle w:val="28"/>
                <w:rFonts w:ascii="仿宋" w:hAnsi="仿宋" w:eastAsia="仿宋"/>
                <w:color w:val="0D0D0D"/>
                <w:sz w:val="24"/>
              </w:rPr>
              <w:t>各参赛队报到</w:t>
            </w:r>
          </w:p>
        </w:tc>
      </w:tr>
      <w:tr w14:paraId="535C7B68">
        <w:trPr>
          <w:trHeight w:val="397"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2402562">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2C92E3">
            <w:pPr>
              <w:jc w:val="center"/>
              <w:rPr>
                <w:rStyle w:val="28"/>
                <w:rFonts w:ascii="仿宋" w:hAnsi="仿宋" w:eastAsia="仿宋"/>
                <w:color w:val="0D0D0D"/>
                <w:sz w:val="24"/>
              </w:rPr>
            </w:pPr>
            <w:r>
              <w:rPr>
                <w:rStyle w:val="28"/>
                <w:rFonts w:ascii="仿宋" w:hAnsi="仿宋" w:eastAsia="仿宋"/>
                <w:color w:val="0D0D0D"/>
                <w:sz w:val="24"/>
              </w:rPr>
              <w:t>16:</w:t>
            </w:r>
            <w:r>
              <w:rPr>
                <w:rStyle w:val="28"/>
                <w:rFonts w:hint="eastAsia" w:ascii="仿宋" w:hAnsi="仿宋" w:eastAsia="仿宋"/>
                <w:color w:val="0D0D0D"/>
                <w:sz w:val="24"/>
              </w:rPr>
              <w:t>0</w:t>
            </w:r>
            <w:r>
              <w:rPr>
                <w:rStyle w:val="28"/>
                <w:rFonts w:ascii="仿宋" w:hAnsi="仿宋" w:eastAsia="仿宋"/>
                <w:color w:val="0D0D0D"/>
                <w:sz w:val="24"/>
              </w:rPr>
              <w:t>0—16:</w:t>
            </w:r>
            <w:r>
              <w:rPr>
                <w:rStyle w:val="28"/>
                <w:rFonts w:hint="eastAsia" w:ascii="仿宋" w:hAnsi="仿宋" w:eastAsia="仿宋"/>
                <w:color w:val="0D0D0D"/>
                <w:sz w:val="24"/>
              </w:rPr>
              <w:t>3</w:t>
            </w:r>
            <w:r>
              <w:rPr>
                <w:rStyle w:val="28"/>
                <w:rFonts w:ascii="仿宋" w:hAnsi="仿宋" w:eastAsia="仿宋"/>
                <w:color w:val="0D0D0D"/>
                <w:sz w:val="24"/>
              </w:rPr>
              <w:t>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4E8886">
            <w:pPr>
              <w:rPr>
                <w:rStyle w:val="28"/>
                <w:rFonts w:ascii="仿宋" w:hAnsi="仿宋" w:eastAsia="仿宋"/>
                <w:color w:val="0D0D0D"/>
                <w:sz w:val="24"/>
              </w:rPr>
            </w:pPr>
            <w:r>
              <w:rPr>
                <w:rStyle w:val="28"/>
                <w:rFonts w:hint="eastAsia" w:ascii="仿宋" w:hAnsi="仿宋" w:eastAsia="仿宋"/>
                <w:color w:val="0D0D0D"/>
                <w:sz w:val="24"/>
              </w:rPr>
              <w:t>开赛式</w:t>
            </w:r>
          </w:p>
        </w:tc>
      </w:tr>
      <w:tr w14:paraId="480EA31E">
        <w:trPr>
          <w:trHeight w:val="397"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8777BDC">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E8368">
            <w:pPr>
              <w:jc w:val="center"/>
              <w:rPr>
                <w:rStyle w:val="28"/>
                <w:rFonts w:ascii="仿宋" w:hAnsi="仿宋" w:eastAsia="仿宋"/>
                <w:color w:val="0D0D0D"/>
                <w:sz w:val="24"/>
              </w:rPr>
            </w:pPr>
            <w:r>
              <w:rPr>
                <w:rStyle w:val="28"/>
                <w:rFonts w:ascii="仿宋" w:hAnsi="仿宋" w:eastAsia="仿宋"/>
                <w:color w:val="0D0D0D"/>
                <w:sz w:val="24"/>
              </w:rPr>
              <w:t>16:</w:t>
            </w:r>
            <w:r>
              <w:rPr>
                <w:rStyle w:val="28"/>
                <w:rFonts w:hint="eastAsia" w:ascii="仿宋" w:hAnsi="仿宋" w:eastAsia="仿宋"/>
                <w:color w:val="0D0D0D"/>
                <w:sz w:val="24"/>
              </w:rPr>
              <w:t>3</w:t>
            </w:r>
            <w:r>
              <w:rPr>
                <w:rStyle w:val="28"/>
                <w:rFonts w:ascii="仿宋" w:hAnsi="仿宋" w:eastAsia="仿宋"/>
                <w:color w:val="0D0D0D"/>
                <w:sz w:val="24"/>
              </w:rPr>
              <w:t>0—17:00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53B95">
            <w:pPr>
              <w:rPr>
                <w:rStyle w:val="28"/>
                <w:rFonts w:ascii="仿宋" w:hAnsi="仿宋" w:eastAsia="仿宋"/>
                <w:color w:val="0D0D0D"/>
                <w:sz w:val="24"/>
              </w:rPr>
            </w:pPr>
            <w:r>
              <w:rPr>
                <w:rStyle w:val="28"/>
                <w:rFonts w:hint="eastAsia" w:ascii="仿宋" w:hAnsi="仿宋" w:eastAsia="仿宋"/>
                <w:color w:val="0D0D0D"/>
                <w:sz w:val="24"/>
              </w:rPr>
              <w:t>领队会、裁判会</w:t>
            </w:r>
          </w:p>
        </w:tc>
      </w:tr>
      <w:tr w14:paraId="46ECC61D">
        <w:trPr>
          <w:trHeight w:val="397"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831013">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60B11">
            <w:pPr>
              <w:jc w:val="center"/>
              <w:rPr>
                <w:rStyle w:val="28"/>
                <w:rFonts w:ascii="仿宋" w:hAnsi="仿宋" w:eastAsia="仿宋"/>
                <w:color w:val="0D0D0D"/>
                <w:sz w:val="24"/>
              </w:rPr>
            </w:pPr>
            <w:r>
              <w:rPr>
                <w:rStyle w:val="28"/>
                <w:rFonts w:ascii="仿宋" w:hAnsi="仿宋" w:eastAsia="仿宋"/>
                <w:color w:val="0D0D0D"/>
                <w:sz w:val="24"/>
              </w:rPr>
              <w:t>17:00—1</w:t>
            </w:r>
            <w:r>
              <w:rPr>
                <w:rStyle w:val="28"/>
                <w:rFonts w:hint="eastAsia" w:ascii="仿宋" w:hAnsi="仿宋" w:eastAsia="仿宋"/>
                <w:color w:val="0D0D0D"/>
                <w:sz w:val="24"/>
              </w:rPr>
              <w:t>7</w:t>
            </w:r>
            <w:r>
              <w:rPr>
                <w:rStyle w:val="28"/>
                <w:rFonts w:ascii="仿宋" w:hAnsi="仿宋" w:eastAsia="仿宋"/>
                <w:color w:val="0D0D0D"/>
                <w:sz w:val="24"/>
              </w:rPr>
              <w:t>:30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62A05F">
            <w:pPr>
              <w:rPr>
                <w:rStyle w:val="28"/>
                <w:rFonts w:ascii="仿宋" w:hAnsi="仿宋" w:eastAsia="仿宋"/>
                <w:color w:val="0D0D0D"/>
                <w:sz w:val="24"/>
              </w:rPr>
            </w:pPr>
            <w:r>
              <w:rPr>
                <w:rStyle w:val="28"/>
                <w:rFonts w:ascii="仿宋" w:hAnsi="仿宋" w:eastAsia="仿宋"/>
                <w:color w:val="0D0D0D"/>
                <w:sz w:val="24"/>
              </w:rPr>
              <w:t>参赛队熟悉比赛场地</w:t>
            </w:r>
          </w:p>
        </w:tc>
      </w:tr>
      <w:tr w14:paraId="0DA1C3CE">
        <w:trPr>
          <w:trHeight w:val="397"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E26EDE">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BB4716">
            <w:pPr>
              <w:jc w:val="center"/>
              <w:rPr>
                <w:rStyle w:val="28"/>
                <w:rFonts w:ascii="仿宋" w:hAnsi="仿宋" w:eastAsia="仿宋"/>
                <w:color w:val="0D0D0D"/>
                <w:sz w:val="24"/>
              </w:rPr>
            </w:pPr>
            <w:r>
              <w:rPr>
                <w:rStyle w:val="28"/>
                <w:rFonts w:ascii="仿宋" w:hAnsi="仿宋" w:eastAsia="仿宋"/>
                <w:color w:val="0D0D0D"/>
                <w:sz w:val="24"/>
              </w:rPr>
              <w:t>17:30—18:00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ED20EC">
            <w:pPr>
              <w:rPr>
                <w:rStyle w:val="28"/>
                <w:rFonts w:ascii="仿宋" w:hAnsi="仿宋" w:eastAsia="仿宋"/>
                <w:color w:val="0D0D0D"/>
                <w:sz w:val="24"/>
              </w:rPr>
            </w:pPr>
            <w:r>
              <w:rPr>
                <w:rStyle w:val="28"/>
                <w:rFonts w:ascii="仿宋" w:hAnsi="仿宋" w:eastAsia="仿宋"/>
                <w:color w:val="0D0D0D"/>
                <w:sz w:val="24"/>
              </w:rPr>
              <w:t>裁判长赛前检查，封闭赛场</w:t>
            </w:r>
          </w:p>
        </w:tc>
      </w:tr>
      <w:tr w14:paraId="554F7D9C">
        <w:trPr>
          <w:trHeight w:val="397" w:hRule="atLeast"/>
          <w:jc w:val="center"/>
        </w:trPr>
        <w:tc>
          <w:tcPr>
            <w:tcW w:w="688" w:type="dxa"/>
            <w:vMerge w:val="restart"/>
            <w:tcBorders>
              <w:top w:val="single" w:color="000000" w:sz="4" w:space="0"/>
              <w:left w:val="single" w:color="000000" w:sz="4" w:space="0"/>
              <w:right w:val="single" w:color="000000" w:sz="4" w:space="0"/>
            </w:tcBorders>
            <w:shd w:val="clear" w:color="auto" w:fill="FFFFFF"/>
            <w:vAlign w:val="center"/>
          </w:tcPr>
          <w:p w14:paraId="18B61F04">
            <w:pPr>
              <w:jc w:val="center"/>
              <w:rPr>
                <w:rStyle w:val="28"/>
                <w:rFonts w:ascii="仿宋" w:hAnsi="仿宋" w:eastAsia="仿宋"/>
                <w:color w:val="0D0D0D"/>
                <w:sz w:val="24"/>
              </w:rPr>
            </w:pPr>
            <w:r>
              <w:rPr>
                <w:rStyle w:val="28"/>
                <w:rFonts w:ascii="仿宋" w:hAnsi="仿宋" w:eastAsia="仿宋"/>
                <w:bCs/>
                <w:sz w:val="24"/>
              </w:rPr>
              <w:t>竞赛日</w:t>
            </w: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08CBBF">
            <w:pPr>
              <w:jc w:val="center"/>
              <w:rPr>
                <w:rStyle w:val="28"/>
                <w:rFonts w:ascii="仿宋" w:hAnsi="仿宋" w:eastAsia="仿宋"/>
                <w:color w:val="0D0D0D"/>
                <w:sz w:val="24"/>
              </w:rPr>
            </w:pPr>
            <w:r>
              <w:rPr>
                <w:rStyle w:val="28"/>
                <w:rFonts w:ascii="仿宋" w:hAnsi="仿宋" w:eastAsia="仿宋"/>
                <w:color w:val="0D0D0D"/>
                <w:sz w:val="24"/>
              </w:rPr>
              <w:t>07:20—07:30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86D48F">
            <w:pPr>
              <w:rPr>
                <w:rStyle w:val="28"/>
                <w:rFonts w:ascii="仿宋" w:hAnsi="仿宋" w:eastAsia="仿宋"/>
                <w:color w:val="0D0D0D"/>
                <w:sz w:val="24"/>
              </w:rPr>
            </w:pPr>
            <w:r>
              <w:rPr>
                <w:rStyle w:val="28"/>
                <w:rFonts w:ascii="仿宋" w:hAnsi="仿宋" w:eastAsia="仿宋"/>
                <w:color w:val="0D0D0D"/>
                <w:sz w:val="24"/>
              </w:rPr>
              <w:t>赛场检录</w:t>
            </w:r>
          </w:p>
        </w:tc>
      </w:tr>
      <w:tr w14:paraId="52C1F63A">
        <w:trPr>
          <w:trHeight w:val="397" w:hRule="atLeast"/>
          <w:jc w:val="center"/>
        </w:trPr>
        <w:tc>
          <w:tcPr>
            <w:tcW w:w="688" w:type="dxa"/>
            <w:vMerge w:val="continue"/>
            <w:tcBorders>
              <w:left w:val="single" w:color="000000" w:sz="4" w:space="0"/>
              <w:right w:val="single" w:color="000000" w:sz="4" w:space="0"/>
            </w:tcBorders>
            <w:shd w:val="clear" w:color="auto" w:fill="FFFFFF"/>
            <w:vAlign w:val="center"/>
          </w:tcPr>
          <w:p w14:paraId="5C4A452A">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B7B291">
            <w:pPr>
              <w:jc w:val="center"/>
              <w:rPr>
                <w:rStyle w:val="28"/>
                <w:rFonts w:ascii="仿宋" w:hAnsi="仿宋" w:eastAsia="仿宋"/>
                <w:color w:val="0D0D0D"/>
                <w:sz w:val="24"/>
              </w:rPr>
            </w:pPr>
            <w:r>
              <w:rPr>
                <w:rStyle w:val="28"/>
                <w:rFonts w:ascii="仿宋" w:hAnsi="仿宋" w:eastAsia="仿宋"/>
                <w:color w:val="0D0D0D"/>
                <w:sz w:val="24"/>
              </w:rPr>
              <w:t>07:30—07:55</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4CD2B">
            <w:pPr>
              <w:rPr>
                <w:rStyle w:val="28"/>
                <w:rFonts w:ascii="仿宋" w:hAnsi="仿宋" w:eastAsia="仿宋"/>
                <w:color w:val="0D0D0D"/>
                <w:sz w:val="24"/>
              </w:rPr>
            </w:pPr>
            <w:r>
              <w:rPr>
                <w:rStyle w:val="28"/>
                <w:rFonts w:ascii="仿宋" w:hAnsi="仿宋" w:eastAsia="仿宋"/>
                <w:color w:val="0D0D0D"/>
                <w:sz w:val="24"/>
              </w:rPr>
              <w:t>一次加密：参赛队抽取参赛编号</w:t>
            </w:r>
          </w:p>
        </w:tc>
      </w:tr>
      <w:tr w14:paraId="5AE84261">
        <w:trPr>
          <w:trHeight w:val="397" w:hRule="atLeast"/>
          <w:jc w:val="center"/>
        </w:trPr>
        <w:tc>
          <w:tcPr>
            <w:tcW w:w="688" w:type="dxa"/>
            <w:vMerge w:val="continue"/>
            <w:tcBorders>
              <w:left w:val="single" w:color="000000" w:sz="4" w:space="0"/>
              <w:right w:val="single" w:color="000000" w:sz="4" w:space="0"/>
            </w:tcBorders>
            <w:shd w:val="clear" w:color="auto" w:fill="FFFFFF"/>
            <w:vAlign w:val="center"/>
          </w:tcPr>
          <w:p w14:paraId="5A1642BF">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E36359">
            <w:pPr>
              <w:jc w:val="center"/>
              <w:rPr>
                <w:rStyle w:val="28"/>
                <w:rFonts w:ascii="仿宋" w:hAnsi="仿宋" w:eastAsia="仿宋"/>
                <w:color w:val="0D0D0D"/>
                <w:sz w:val="24"/>
              </w:rPr>
            </w:pPr>
            <w:r>
              <w:rPr>
                <w:rStyle w:val="28"/>
                <w:rFonts w:ascii="仿宋" w:hAnsi="仿宋" w:eastAsia="仿宋"/>
                <w:color w:val="0D0D0D"/>
                <w:sz w:val="24"/>
              </w:rPr>
              <w:t>07:55—08:20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2AB3DF">
            <w:pPr>
              <w:rPr>
                <w:rStyle w:val="28"/>
                <w:rFonts w:ascii="仿宋" w:hAnsi="仿宋" w:eastAsia="仿宋"/>
                <w:color w:val="0D0D0D"/>
                <w:sz w:val="24"/>
              </w:rPr>
            </w:pPr>
            <w:r>
              <w:rPr>
                <w:rStyle w:val="28"/>
                <w:rFonts w:ascii="仿宋" w:hAnsi="仿宋" w:eastAsia="仿宋"/>
                <w:color w:val="0D0D0D"/>
                <w:sz w:val="24"/>
              </w:rPr>
              <w:t>二次加密：参赛队抽取赛位号</w:t>
            </w:r>
          </w:p>
        </w:tc>
      </w:tr>
      <w:tr w14:paraId="36445A54">
        <w:trPr>
          <w:trHeight w:val="624" w:hRule="atLeast"/>
          <w:jc w:val="center"/>
        </w:trPr>
        <w:tc>
          <w:tcPr>
            <w:tcW w:w="688" w:type="dxa"/>
            <w:vMerge w:val="continue"/>
            <w:tcBorders>
              <w:left w:val="single" w:color="000000" w:sz="4" w:space="0"/>
              <w:right w:val="single" w:color="000000" w:sz="4" w:space="0"/>
            </w:tcBorders>
            <w:shd w:val="clear" w:color="auto" w:fill="FFFFFF"/>
            <w:vAlign w:val="center"/>
          </w:tcPr>
          <w:p w14:paraId="104BEBA5">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589606">
            <w:pPr>
              <w:jc w:val="center"/>
              <w:rPr>
                <w:rStyle w:val="28"/>
                <w:rFonts w:ascii="仿宋" w:hAnsi="仿宋" w:eastAsia="仿宋"/>
                <w:color w:val="0D0D0D"/>
                <w:sz w:val="24"/>
              </w:rPr>
            </w:pPr>
            <w:r>
              <w:rPr>
                <w:rStyle w:val="28"/>
                <w:rFonts w:ascii="仿宋" w:hAnsi="仿宋" w:eastAsia="仿宋"/>
                <w:color w:val="0D0D0D"/>
                <w:sz w:val="24"/>
              </w:rPr>
              <w:t>08:20—08:30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8C7171">
            <w:pPr>
              <w:rPr>
                <w:rStyle w:val="28"/>
                <w:rFonts w:ascii="仿宋" w:hAnsi="仿宋" w:eastAsia="仿宋"/>
                <w:color w:val="0D0D0D"/>
                <w:sz w:val="24"/>
              </w:rPr>
            </w:pPr>
            <w:r>
              <w:rPr>
                <w:rStyle w:val="28"/>
                <w:rFonts w:ascii="仿宋" w:hAnsi="仿宋" w:eastAsia="仿宋"/>
                <w:color w:val="0D0D0D"/>
                <w:sz w:val="24"/>
              </w:rPr>
              <w:t>参赛队进入比赛赛位，进行赛前设备、材料检查</w:t>
            </w:r>
          </w:p>
        </w:tc>
      </w:tr>
      <w:tr w14:paraId="1EB773BC">
        <w:trPr>
          <w:trHeight w:val="397" w:hRule="atLeast"/>
          <w:jc w:val="center"/>
        </w:trPr>
        <w:tc>
          <w:tcPr>
            <w:tcW w:w="688" w:type="dxa"/>
            <w:vMerge w:val="continue"/>
            <w:tcBorders>
              <w:left w:val="single" w:color="000000" w:sz="4" w:space="0"/>
              <w:right w:val="single" w:color="000000" w:sz="4" w:space="0"/>
            </w:tcBorders>
            <w:shd w:val="clear" w:color="auto" w:fill="FFFFFF"/>
            <w:vAlign w:val="center"/>
          </w:tcPr>
          <w:p w14:paraId="001BE172">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34C510">
            <w:pPr>
              <w:jc w:val="center"/>
              <w:rPr>
                <w:rStyle w:val="28"/>
                <w:rFonts w:ascii="仿宋" w:hAnsi="仿宋" w:eastAsia="仿宋"/>
                <w:color w:val="0D0D0D"/>
                <w:sz w:val="24"/>
              </w:rPr>
            </w:pPr>
            <w:r>
              <w:rPr>
                <w:rStyle w:val="28"/>
                <w:rFonts w:ascii="仿宋" w:hAnsi="仿宋" w:eastAsia="仿宋"/>
                <w:color w:val="0D0D0D"/>
                <w:sz w:val="24"/>
              </w:rPr>
              <w:t>08:30—12:</w:t>
            </w:r>
            <w:r>
              <w:rPr>
                <w:rStyle w:val="28"/>
                <w:rFonts w:hint="eastAsia" w:ascii="仿宋" w:hAnsi="仿宋" w:eastAsia="仿宋"/>
                <w:color w:val="0D0D0D"/>
                <w:sz w:val="24"/>
              </w:rPr>
              <w:t>3</w:t>
            </w:r>
            <w:r>
              <w:rPr>
                <w:rStyle w:val="28"/>
                <w:rFonts w:ascii="仿宋" w:hAnsi="仿宋" w:eastAsia="仿宋"/>
                <w:color w:val="0D0D0D"/>
                <w:sz w:val="24"/>
              </w:rPr>
              <w:t>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7F0DA7">
            <w:pPr>
              <w:rPr>
                <w:rStyle w:val="28"/>
                <w:rFonts w:ascii="仿宋" w:hAnsi="仿宋" w:eastAsia="仿宋"/>
                <w:color w:val="0D0D0D"/>
                <w:sz w:val="24"/>
              </w:rPr>
            </w:pPr>
            <w:r>
              <w:rPr>
                <w:rStyle w:val="28"/>
                <w:rFonts w:ascii="仿宋" w:hAnsi="仿宋" w:eastAsia="仿宋"/>
                <w:color w:val="0D0D0D"/>
                <w:sz w:val="24"/>
              </w:rPr>
              <w:t>选手比赛</w:t>
            </w:r>
          </w:p>
        </w:tc>
      </w:tr>
      <w:tr w14:paraId="423D30D6">
        <w:trPr>
          <w:trHeight w:val="397" w:hRule="atLeast"/>
          <w:jc w:val="center"/>
        </w:trPr>
        <w:tc>
          <w:tcPr>
            <w:tcW w:w="688" w:type="dxa"/>
            <w:vMerge w:val="continue"/>
            <w:tcBorders>
              <w:left w:val="single" w:color="000000" w:sz="4" w:space="0"/>
              <w:right w:val="single" w:color="000000" w:sz="4" w:space="0"/>
            </w:tcBorders>
            <w:shd w:val="clear" w:color="auto" w:fill="FFFFFF"/>
            <w:vAlign w:val="center"/>
          </w:tcPr>
          <w:p w14:paraId="423C4C04">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A23A79">
            <w:pPr>
              <w:jc w:val="center"/>
              <w:rPr>
                <w:rStyle w:val="28"/>
                <w:rFonts w:ascii="仿宋" w:hAnsi="仿宋" w:eastAsia="仿宋"/>
                <w:color w:val="0D0D0D"/>
                <w:sz w:val="24"/>
              </w:rPr>
            </w:pPr>
            <w:r>
              <w:rPr>
                <w:rStyle w:val="28"/>
                <w:rFonts w:ascii="仿宋" w:hAnsi="仿宋" w:eastAsia="仿宋"/>
                <w:color w:val="0D0D0D"/>
                <w:sz w:val="24"/>
              </w:rPr>
              <w:t>12:30—1</w:t>
            </w:r>
            <w:r>
              <w:rPr>
                <w:rStyle w:val="28"/>
                <w:rFonts w:hint="eastAsia" w:ascii="仿宋" w:hAnsi="仿宋" w:eastAsia="仿宋"/>
                <w:color w:val="0D0D0D"/>
                <w:sz w:val="24"/>
              </w:rPr>
              <w:t>3</w:t>
            </w:r>
            <w:r>
              <w:rPr>
                <w:rStyle w:val="28"/>
                <w:rFonts w:ascii="仿宋" w:hAnsi="仿宋" w:eastAsia="仿宋"/>
                <w:color w:val="0D0D0D"/>
                <w:sz w:val="24"/>
              </w:rPr>
              <w:t>:</w:t>
            </w:r>
            <w:r>
              <w:rPr>
                <w:rStyle w:val="28"/>
                <w:rFonts w:hint="eastAsia" w:ascii="仿宋" w:hAnsi="仿宋" w:eastAsia="仿宋"/>
                <w:color w:val="0D0D0D"/>
                <w:sz w:val="24"/>
              </w:rPr>
              <w:t>0</w:t>
            </w:r>
            <w:r>
              <w:rPr>
                <w:rStyle w:val="28"/>
                <w:rFonts w:ascii="仿宋" w:hAnsi="仿宋" w:eastAsia="仿宋"/>
                <w:color w:val="0D0D0D"/>
                <w:sz w:val="24"/>
              </w:rPr>
              <w:t>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1A4288">
            <w:pPr>
              <w:rPr>
                <w:rStyle w:val="28"/>
                <w:rFonts w:ascii="仿宋" w:hAnsi="仿宋" w:eastAsia="仿宋"/>
                <w:color w:val="0D0D0D"/>
                <w:sz w:val="24"/>
              </w:rPr>
            </w:pPr>
            <w:r>
              <w:rPr>
                <w:rStyle w:val="28"/>
                <w:rFonts w:ascii="仿宋" w:hAnsi="仿宋" w:eastAsia="仿宋"/>
                <w:color w:val="0D0D0D"/>
                <w:sz w:val="24"/>
              </w:rPr>
              <w:t>赛场午饭和休息</w:t>
            </w:r>
          </w:p>
        </w:tc>
      </w:tr>
      <w:tr w14:paraId="65095C4E">
        <w:trPr>
          <w:trHeight w:val="397" w:hRule="atLeast"/>
          <w:jc w:val="center"/>
        </w:trPr>
        <w:tc>
          <w:tcPr>
            <w:tcW w:w="688" w:type="dxa"/>
            <w:vMerge w:val="continue"/>
            <w:tcBorders>
              <w:left w:val="single" w:color="000000" w:sz="4" w:space="0"/>
              <w:right w:val="single" w:color="000000" w:sz="4" w:space="0"/>
            </w:tcBorders>
            <w:shd w:val="clear" w:color="auto" w:fill="FFFFFF"/>
            <w:vAlign w:val="center"/>
          </w:tcPr>
          <w:p w14:paraId="6F54CBD9">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6E01E3">
            <w:pPr>
              <w:jc w:val="center"/>
              <w:rPr>
                <w:rStyle w:val="28"/>
                <w:rFonts w:ascii="仿宋" w:hAnsi="仿宋" w:eastAsia="仿宋"/>
                <w:color w:val="0D0D0D"/>
                <w:sz w:val="24"/>
              </w:rPr>
            </w:pPr>
            <w:r>
              <w:rPr>
                <w:rStyle w:val="28"/>
                <w:rFonts w:ascii="仿宋" w:hAnsi="仿宋" w:eastAsia="仿宋"/>
                <w:color w:val="0D0D0D"/>
                <w:sz w:val="24"/>
              </w:rPr>
              <w:t>1</w:t>
            </w:r>
            <w:r>
              <w:rPr>
                <w:rStyle w:val="28"/>
                <w:rFonts w:hint="eastAsia" w:ascii="仿宋" w:hAnsi="仿宋" w:eastAsia="仿宋"/>
                <w:color w:val="0D0D0D"/>
                <w:sz w:val="24"/>
              </w:rPr>
              <w:t>3</w:t>
            </w:r>
            <w:r>
              <w:rPr>
                <w:rStyle w:val="28"/>
                <w:rFonts w:ascii="仿宋" w:hAnsi="仿宋" w:eastAsia="仿宋"/>
                <w:color w:val="0D0D0D"/>
                <w:sz w:val="24"/>
              </w:rPr>
              <w:t>:</w:t>
            </w:r>
            <w:r>
              <w:rPr>
                <w:rStyle w:val="28"/>
                <w:rFonts w:hint="eastAsia" w:ascii="仿宋" w:hAnsi="仿宋" w:eastAsia="仿宋"/>
                <w:color w:val="0D0D0D"/>
                <w:sz w:val="24"/>
              </w:rPr>
              <w:t>0</w:t>
            </w:r>
            <w:r>
              <w:rPr>
                <w:rStyle w:val="28"/>
                <w:rFonts w:ascii="仿宋" w:hAnsi="仿宋" w:eastAsia="仿宋"/>
                <w:color w:val="0D0D0D"/>
                <w:sz w:val="24"/>
              </w:rPr>
              <w:t>0—</w:t>
            </w:r>
            <w:r>
              <w:rPr>
                <w:rStyle w:val="28"/>
                <w:rFonts w:hint="eastAsia" w:ascii="仿宋" w:hAnsi="仿宋" w:eastAsia="仿宋"/>
                <w:color w:val="0D0D0D"/>
                <w:sz w:val="24"/>
              </w:rPr>
              <w:t>1</w:t>
            </w:r>
            <w:r>
              <w:rPr>
                <w:rStyle w:val="28"/>
                <w:rFonts w:ascii="仿宋" w:hAnsi="仿宋" w:eastAsia="仿宋"/>
                <w:color w:val="0D0D0D"/>
                <w:sz w:val="24"/>
              </w:rPr>
              <w:t>5:00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0BA568">
            <w:pPr>
              <w:rPr>
                <w:rStyle w:val="28"/>
                <w:rFonts w:ascii="仿宋" w:hAnsi="仿宋" w:eastAsia="仿宋"/>
                <w:color w:val="0D0D0D"/>
                <w:sz w:val="24"/>
              </w:rPr>
            </w:pPr>
            <w:r>
              <w:rPr>
                <w:rStyle w:val="28"/>
                <w:rFonts w:ascii="仿宋" w:hAnsi="仿宋" w:eastAsia="仿宋"/>
                <w:color w:val="0D0D0D"/>
                <w:sz w:val="24"/>
              </w:rPr>
              <w:t>选手继续比赛</w:t>
            </w:r>
          </w:p>
        </w:tc>
      </w:tr>
      <w:tr w14:paraId="3CE13468">
        <w:trPr>
          <w:trHeight w:val="397" w:hRule="atLeast"/>
          <w:jc w:val="center"/>
        </w:trPr>
        <w:tc>
          <w:tcPr>
            <w:tcW w:w="688" w:type="dxa"/>
            <w:vMerge w:val="continue"/>
            <w:tcBorders>
              <w:left w:val="single" w:color="000000" w:sz="4" w:space="0"/>
              <w:right w:val="single" w:color="000000" w:sz="4" w:space="0"/>
            </w:tcBorders>
            <w:shd w:val="clear" w:color="auto" w:fill="FFFFFF"/>
            <w:vAlign w:val="center"/>
          </w:tcPr>
          <w:p w14:paraId="751C6378">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467A43">
            <w:pPr>
              <w:jc w:val="center"/>
              <w:rPr>
                <w:rStyle w:val="28"/>
                <w:rFonts w:ascii="仿宋" w:hAnsi="仿宋" w:eastAsia="仿宋"/>
                <w:color w:val="0D0D0D"/>
                <w:sz w:val="24"/>
              </w:rPr>
            </w:pPr>
            <w:r>
              <w:rPr>
                <w:rStyle w:val="28"/>
                <w:rFonts w:ascii="仿宋" w:hAnsi="仿宋" w:eastAsia="仿宋"/>
                <w:color w:val="0D0D0D"/>
                <w:sz w:val="24"/>
              </w:rPr>
              <w:t>15:</w:t>
            </w:r>
            <w:r>
              <w:rPr>
                <w:rStyle w:val="28"/>
                <w:rFonts w:hint="eastAsia" w:ascii="仿宋" w:hAnsi="仿宋" w:eastAsia="仿宋"/>
                <w:color w:val="0D0D0D"/>
                <w:sz w:val="24"/>
              </w:rPr>
              <w:t>0</w:t>
            </w:r>
            <w:r>
              <w:rPr>
                <w:rStyle w:val="28"/>
                <w:rFonts w:ascii="仿宋" w:hAnsi="仿宋" w:eastAsia="仿宋"/>
                <w:color w:val="0D0D0D"/>
                <w:sz w:val="24"/>
              </w:rPr>
              <w:t>0—17:00</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083B14">
            <w:pPr>
              <w:rPr>
                <w:rStyle w:val="28"/>
                <w:rFonts w:ascii="仿宋" w:hAnsi="仿宋" w:eastAsia="仿宋"/>
                <w:b/>
                <w:bCs/>
                <w:color w:val="0D0D0D"/>
                <w:sz w:val="24"/>
              </w:rPr>
            </w:pPr>
            <w:r>
              <w:rPr>
                <w:rStyle w:val="28"/>
                <w:rFonts w:ascii="仿宋" w:hAnsi="仿宋" w:eastAsia="仿宋"/>
                <w:color w:val="0D0D0D"/>
                <w:sz w:val="24"/>
              </w:rPr>
              <w:t>申诉受理</w:t>
            </w:r>
          </w:p>
        </w:tc>
      </w:tr>
      <w:tr w14:paraId="51C3CD87">
        <w:trPr>
          <w:trHeight w:val="397" w:hRule="atLeast"/>
          <w:jc w:val="center"/>
        </w:trPr>
        <w:tc>
          <w:tcPr>
            <w:tcW w:w="688" w:type="dxa"/>
            <w:vMerge w:val="continue"/>
            <w:tcBorders>
              <w:left w:val="single" w:color="000000" w:sz="4" w:space="0"/>
              <w:bottom w:val="single" w:color="000000" w:sz="4" w:space="0"/>
              <w:right w:val="single" w:color="000000" w:sz="4" w:space="0"/>
            </w:tcBorders>
            <w:shd w:val="clear" w:color="auto" w:fill="FFFFFF"/>
            <w:vAlign w:val="center"/>
          </w:tcPr>
          <w:p w14:paraId="5AC49453">
            <w:pPr>
              <w:jc w:val="center"/>
              <w:rPr>
                <w:rStyle w:val="28"/>
                <w:rFonts w:ascii="仿宋" w:hAnsi="仿宋" w:eastAsia="仿宋"/>
                <w:color w:val="0D0D0D"/>
                <w:sz w:val="24"/>
              </w:rPr>
            </w:pPr>
          </w:p>
        </w:tc>
        <w:tc>
          <w:tcPr>
            <w:tcW w:w="2126"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68B4C4">
            <w:pPr>
              <w:jc w:val="center"/>
              <w:rPr>
                <w:rStyle w:val="28"/>
                <w:rFonts w:ascii="仿宋" w:hAnsi="仿宋" w:eastAsia="仿宋"/>
                <w:color w:val="0D0D0D"/>
                <w:sz w:val="24"/>
              </w:rPr>
            </w:pPr>
            <w:r>
              <w:rPr>
                <w:rStyle w:val="28"/>
                <w:rFonts w:ascii="仿宋" w:hAnsi="仿宋" w:eastAsia="仿宋"/>
                <w:color w:val="0D0D0D"/>
                <w:sz w:val="24"/>
              </w:rPr>
              <w:t>18:</w:t>
            </w:r>
            <w:r>
              <w:rPr>
                <w:rStyle w:val="28"/>
                <w:rFonts w:hint="eastAsia" w:ascii="仿宋" w:hAnsi="仿宋" w:eastAsia="仿宋"/>
                <w:color w:val="0D0D0D"/>
                <w:sz w:val="24"/>
              </w:rPr>
              <w:t>0</w:t>
            </w:r>
            <w:r>
              <w:rPr>
                <w:rStyle w:val="28"/>
                <w:rFonts w:ascii="仿宋" w:hAnsi="仿宋" w:eastAsia="仿宋"/>
                <w:color w:val="0D0D0D"/>
                <w:sz w:val="24"/>
              </w:rPr>
              <w:t>0—</w:t>
            </w:r>
            <w:r>
              <w:rPr>
                <w:rStyle w:val="28"/>
                <w:rFonts w:hint="eastAsia" w:ascii="仿宋" w:hAnsi="仿宋" w:eastAsia="仿宋"/>
                <w:color w:val="0D0D0D"/>
                <w:sz w:val="24"/>
              </w:rPr>
              <w:t>评分结束</w:t>
            </w:r>
          </w:p>
        </w:tc>
        <w:tc>
          <w:tcPr>
            <w:tcW w:w="488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FBFBE9">
            <w:pPr>
              <w:rPr>
                <w:rStyle w:val="28"/>
                <w:rFonts w:ascii="仿宋" w:hAnsi="仿宋" w:eastAsia="仿宋"/>
                <w:color w:val="0D0D0D"/>
                <w:sz w:val="24"/>
              </w:rPr>
            </w:pPr>
            <w:r>
              <w:rPr>
                <w:rStyle w:val="28"/>
                <w:rFonts w:ascii="仿宋" w:hAnsi="仿宋" w:eastAsia="仿宋"/>
                <w:color w:val="0D0D0D"/>
                <w:sz w:val="24"/>
              </w:rPr>
              <w:t>成绩核定和解密</w:t>
            </w:r>
          </w:p>
        </w:tc>
      </w:tr>
    </w:tbl>
    <w:p w14:paraId="6D8C0B97">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竞赛规则</w:t>
      </w:r>
    </w:p>
    <w:p w14:paraId="0767BD99">
      <w:pPr>
        <w:spacing w:line="570" w:lineRule="exact"/>
        <w:ind w:firstLine="560" w:firstLineChars="200"/>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1. 参赛队及参赛选手资格。参赛选手须为同校在籍学生，高职组参赛选手须为普通高等学校全日制在籍专科学生，本科院校中高职类全日制在籍学生可报名参加高职组比赛，五年制高职学生报名参赛的，四、五年级学生可参加高职组比赛。高职组参赛选手年龄一般不超过25周岁，年龄计算的截止时间以2024年的1月1日为准。每支参赛队可配2名指导教师，指导教师须为本校在职专兼职教师。</w:t>
      </w:r>
    </w:p>
    <w:p w14:paraId="01DC2582">
      <w:pPr>
        <w:spacing w:line="570" w:lineRule="exact"/>
        <w:ind w:firstLine="560" w:firstLineChars="200"/>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2. 比赛赛位通过抽签决定，比赛期间参赛选手原则上不得离开比赛场地。</w:t>
      </w:r>
    </w:p>
    <w:p w14:paraId="229C950F">
      <w:pPr>
        <w:spacing w:line="570" w:lineRule="exact"/>
        <w:ind w:firstLine="560" w:firstLineChars="200"/>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3. 比赛所需的硬件、软件和辅助工具统一提供，参赛队不得使用自带的任何具有存储和通信功能的设备，如硬盘、光盘、U盘、手机、随身听、智能手表、PDA等。</w:t>
      </w:r>
    </w:p>
    <w:p w14:paraId="463F66D7">
      <w:pPr>
        <w:spacing w:line="570" w:lineRule="exact"/>
        <w:ind w:firstLine="560" w:firstLineChars="200"/>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4. 参赛选手在赛前10分钟领取比赛任务，并进入比赛赛位。比赛正式开始方可进行相关操作。</w:t>
      </w:r>
    </w:p>
    <w:p w14:paraId="5915CB32">
      <w:pPr>
        <w:spacing w:line="570" w:lineRule="exact"/>
        <w:ind w:firstLine="560" w:firstLineChars="200"/>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5. 比赛过程中，参赛选手如有疑问，应举手示意，现场裁判应按要求及时予以答疑。如遇设备或软件等故障，参赛选手应举手示意，现场裁判、技术人员等应及时予以解决。确因计算机软件或硬件故障，致使操作无法继续，经赛场裁判长确认，予以启用备用设备。</w:t>
      </w:r>
    </w:p>
    <w:p w14:paraId="4F3D72F8">
      <w:pPr>
        <w:spacing w:line="570" w:lineRule="exact"/>
        <w:ind w:firstLine="560" w:firstLineChars="200"/>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6. 比赛时间结束，选手应全体起立，结束操作。经工作人员查收清点所有文档后方可离开赛场，离开赛场时不得带走任何资料。</w:t>
      </w:r>
    </w:p>
    <w:p w14:paraId="243E1CEF">
      <w:pPr>
        <w:spacing w:line="570" w:lineRule="exact"/>
        <w:ind w:firstLine="560" w:firstLineChars="200"/>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7. 赛项裁判应严格遵守赛项各项规章制度，确保比赛公平、公正、公开。比赛当日8:00起，赛项裁判应上交所有通信设备，由赛项执委会统一保管，并安排赛项裁判在指定区域休息或工作，直至赛项成绩评定结束。</w:t>
      </w:r>
    </w:p>
    <w:p w14:paraId="6193F0C0">
      <w:pPr>
        <w:spacing w:line="570" w:lineRule="exact"/>
        <w:ind w:firstLine="560" w:firstLineChars="200"/>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8. 比赛结束后，评分裁判方可入场进行成绩评判。最终竞赛成绩经复核无误、裁判长签字确认后，按要求上报教育厅。</w:t>
      </w:r>
    </w:p>
    <w:p w14:paraId="35E659DD">
      <w:pPr>
        <w:spacing w:line="570" w:lineRule="exact"/>
        <w:ind w:firstLine="560" w:firstLineChars="200"/>
        <w:rPr>
          <w:rFonts w:ascii="Times New Roman" w:hAnsi="Times New Roman" w:eastAsia="仿宋_GB2312" w:cs="Times New Roman"/>
          <w:color w:val="000000"/>
          <w:sz w:val="28"/>
          <w:szCs w:val="28"/>
        </w:rPr>
      </w:pPr>
      <w:r>
        <w:rPr>
          <w:rFonts w:hint="eastAsia" w:ascii="Times New Roman" w:hAnsi="Times New Roman" w:eastAsia="仿宋_GB2312" w:cs="Times New Roman"/>
          <w:color w:val="000000"/>
          <w:sz w:val="28"/>
          <w:szCs w:val="28"/>
        </w:rPr>
        <w:t>9. 赛项中每个比赛环节裁判评分的原始材料和最终成绩等结果性材料，经裁判长签字后，装袋密封留档；由赛项承办院校封存，并委派专人妥善保管。</w:t>
      </w:r>
    </w:p>
    <w:p w14:paraId="1822E5F2">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技术规范</w:t>
      </w:r>
    </w:p>
    <w:p w14:paraId="58AF0308">
      <w:pPr>
        <w:pStyle w:val="2"/>
        <w:spacing w:after="0" w:line="360" w:lineRule="auto"/>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本赛项的技术规范、专业知识和技术技能等包括：软件技术相关专业的教育教学要求、行业、职业技术标准，以及根据高职目录修订后的软件技术相关专业人才培养教学标准和规范，适时地修订本赛项遵循的技术规范。</w:t>
      </w:r>
    </w:p>
    <w:p w14:paraId="69C57735">
      <w:pPr>
        <w:pStyle w:val="2"/>
        <w:spacing w:after="0" w:line="360" w:lineRule="auto"/>
        <w:ind w:firstLine="281"/>
        <w:outlineLvl w:val="1"/>
        <w:rPr>
          <w:rFonts w:ascii="Times New Roman" w:hAnsi="Times New Roman" w:eastAsia="楷体"/>
          <w:b/>
          <w:bCs/>
          <w:sz w:val="28"/>
          <w:szCs w:val="28"/>
        </w:rPr>
      </w:pPr>
      <w:bookmarkStart w:id="0" w:name="_Toc25780"/>
      <w:r>
        <w:rPr>
          <w:rFonts w:ascii="Times New Roman" w:hAnsi="Times New Roman" w:eastAsia="楷体"/>
          <w:b/>
          <w:bCs/>
          <w:sz w:val="28"/>
          <w:szCs w:val="28"/>
        </w:rPr>
        <w:t>（一）教学标准</w:t>
      </w:r>
      <w:bookmarkEnd w:id="0"/>
    </w:p>
    <w:p w14:paraId="23AA9CB1">
      <w:pPr>
        <w:adjustRightInd w:val="0"/>
        <w:snapToGrid w:val="0"/>
        <w:spacing w:line="360" w:lineRule="auto"/>
        <w:ind w:right="210" w:rightChars="100"/>
        <w:jc w:val="center"/>
        <w:rPr>
          <w:rFonts w:ascii="Times New Roman" w:hAnsi="Times New Roman" w:eastAsia="黑体" w:cs="Times New Roman"/>
          <w:bCs/>
          <w:sz w:val="24"/>
        </w:rPr>
      </w:pPr>
      <w:r>
        <w:rPr>
          <w:rFonts w:ascii="Times New Roman" w:hAnsi="Times New Roman" w:eastAsia="黑体" w:cs="Times New Roman"/>
          <w:bCs/>
          <w:sz w:val="24"/>
        </w:rPr>
        <w:t>表</w:t>
      </w:r>
      <w:r>
        <w:rPr>
          <w:rFonts w:hint="eastAsia" w:ascii="Times New Roman" w:hAnsi="Times New Roman" w:eastAsia="黑体" w:cs="Times New Roman"/>
          <w:bCs/>
          <w:sz w:val="24"/>
        </w:rPr>
        <w:t>3</w:t>
      </w:r>
      <w:r>
        <w:rPr>
          <w:rFonts w:ascii="Times New Roman" w:hAnsi="Times New Roman" w:eastAsia="黑体" w:cs="Times New Roman"/>
          <w:bCs/>
          <w:sz w:val="24"/>
        </w:rPr>
        <w:t xml:space="preserve"> 教学标准一览表</w:t>
      </w:r>
    </w:p>
    <w:tbl>
      <w:tblPr>
        <w:tblStyle w:val="14"/>
        <w:tblW w:w="516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gridCol w:w="1245"/>
        <w:gridCol w:w="6779"/>
      </w:tblGrid>
      <w:tr w14:paraId="197B038C">
        <w:trPr>
          <w:trHeight w:val="510" w:hRule="atLeast"/>
          <w:jc w:val="center"/>
        </w:trPr>
        <w:tc>
          <w:tcPr>
            <w:tcW w:w="442" w:type="pct"/>
            <w:noWrap/>
            <w:vAlign w:val="center"/>
          </w:tcPr>
          <w:p w14:paraId="79787AF3">
            <w:pPr>
              <w:jc w:val="center"/>
              <w:rPr>
                <w:rFonts w:ascii="Times New Roman" w:hAnsi="Times New Roman" w:eastAsia="仿宋_GB2312" w:cs="Times New Roman"/>
                <w:b/>
                <w:bCs/>
                <w:sz w:val="24"/>
              </w:rPr>
            </w:pPr>
            <w:r>
              <w:rPr>
                <w:rFonts w:ascii="Times New Roman" w:hAnsi="Times New Roman" w:eastAsia="仿宋_GB2312" w:cs="Times New Roman"/>
                <w:b/>
                <w:bCs/>
                <w:sz w:val="24"/>
              </w:rPr>
              <w:t>序号</w:t>
            </w:r>
          </w:p>
        </w:tc>
        <w:tc>
          <w:tcPr>
            <w:tcW w:w="707" w:type="pct"/>
            <w:vAlign w:val="center"/>
          </w:tcPr>
          <w:p w14:paraId="6ACD5CE8">
            <w:pPr>
              <w:jc w:val="center"/>
              <w:rPr>
                <w:rFonts w:ascii="Times New Roman" w:hAnsi="Times New Roman" w:eastAsia="仿宋_GB2312" w:cs="Times New Roman"/>
                <w:b/>
                <w:bCs/>
                <w:sz w:val="24"/>
              </w:rPr>
            </w:pPr>
            <w:r>
              <w:rPr>
                <w:rFonts w:ascii="Times New Roman" w:hAnsi="Times New Roman" w:eastAsia="仿宋_GB2312" w:cs="Times New Roman"/>
                <w:b/>
                <w:bCs/>
                <w:sz w:val="24"/>
              </w:rPr>
              <w:t>标准单位</w:t>
            </w:r>
          </w:p>
        </w:tc>
        <w:tc>
          <w:tcPr>
            <w:tcW w:w="3850" w:type="pct"/>
            <w:vAlign w:val="center"/>
          </w:tcPr>
          <w:p w14:paraId="7F6A00B6">
            <w:pPr>
              <w:jc w:val="center"/>
              <w:rPr>
                <w:rFonts w:ascii="Times New Roman" w:hAnsi="Times New Roman" w:eastAsia="仿宋_GB2312" w:cs="Times New Roman"/>
                <w:b/>
                <w:bCs/>
                <w:sz w:val="24"/>
              </w:rPr>
            </w:pPr>
            <w:r>
              <w:rPr>
                <w:rFonts w:ascii="Times New Roman" w:hAnsi="Times New Roman" w:eastAsia="仿宋_GB2312" w:cs="Times New Roman"/>
                <w:b/>
                <w:bCs/>
                <w:sz w:val="24"/>
              </w:rPr>
              <w:t>中文标准名称</w:t>
            </w:r>
          </w:p>
        </w:tc>
      </w:tr>
      <w:tr w14:paraId="37F5ADCD">
        <w:trPr>
          <w:trHeight w:val="643" w:hRule="atLeast"/>
          <w:jc w:val="center"/>
        </w:trPr>
        <w:tc>
          <w:tcPr>
            <w:tcW w:w="442" w:type="pct"/>
            <w:noWrap/>
            <w:vAlign w:val="center"/>
          </w:tcPr>
          <w:p w14:paraId="7A3991CF">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707" w:type="pct"/>
            <w:noWrap/>
            <w:vAlign w:val="center"/>
          </w:tcPr>
          <w:p w14:paraId="1D55A32A">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教育部</w:t>
            </w:r>
          </w:p>
        </w:tc>
        <w:tc>
          <w:tcPr>
            <w:tcW w:w="3850" w:type="pct"/>
            <w:noWrap/>
            <w:vAlign w:val="center"/>
          </w:tcPr>
          <w:p w14:paraId="29D2ADC0">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高等职业教育专科专业简介：51电子与信息大类-5102计算机类-510201计算机应用技术</w:t>
            </w:r>
          </w:p>
        </w:tc>
      </w:tr>
      <w:tr w14:paraId="356F15B6">
        <w:trPr>
          <w:trHeight w:val="643" w:hRule="atLeast"/>
          <w:jc w:val="center"/>
        </w:trPr>
        <w:tc>
          <w:tcPr>
            <w:tcW w:w="442" w:type="pct"/>
            <w:noWrap/>
            <w:vAlign w:val="center"/>
          </w:tcPr>
          <w:p w14:paraId="11C1F389">
            <w:pPr>
              <w:spacing w:line="440" w:lineRule="exact"/>
              <w:jc w:val="center"/>
              <w:rPr>
                <w:rFonts w:ascii="Times New Roman" w:hAnsi="Times New Roman" w:eastAsia="仿宋_GB2312" w:cs="Times New Roman"/>
                <w:sz w:val="24"/>
              </w:rPr>
            </w:pPr>
            <w:bookmarkStart w:id="1" w:name="_Toc24039"/>
            <w:r>
              <w:rPr>
                <w:rFonts w:ascii="Times New Roman" w:hAnsi="Times New Roman" w:eastAsia="仿宋_GB2312" w:cs="Times New Roman"/>
                <w:sz w:val="24"/>
              </w:rPr>
              <w:t>2</w:t>
            </w:r>
          </w:p>
        </w:tc>
        <w:tc>
          <w:tcPr>
            <w:tcW w:w="707" w:type="pct"/>
            <w:noWrap/>
            <w:vAlign w:val="center"/>
          </w:tcPr>
          <w:p w14:paraId="0B5DE255">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教育部</w:t>
            </w:r>
          </w:p>
        </w:tc>
        <w:tc>
          <w:tcPr>
            <w:tcW w:w="3850" w:type="pct"/>
            <w:noWrap/>
            <w:vAlign w:val="center"/>
          </w:tcPr>
          <w:p w14:paraId="47423550">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高等职业教育专科专业简介：51电子与信息大类-5102计算机类-510203软件技术</w:t>
            </w:r>
          </w:p>
        </w:tc>
      </w:tr>
    </w:tbl>
    <w:p w14:paraId="489BAB32">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（二）行业标准</w:t>
      </w:r>
      <w:bookmarkEnd w:id="1"/>
    </w:p>
    <w:p w14:paraId="7E2FD40A">
      <w:pPr>
        <w:adjustRightInd w:val="0"/>
        <w:snapToGrid w:val="0"/>
        <w:spacing w:line="360" w:lineRule="auto"/>
        <w:ind w:right="210" w:rightChars="100"/>
        <w:jc w:val="center"/>
        <w:rPr>
          <w:rFonts w:ascii="Times New Roman" w:hAnsi="Times New Roman" w:eastAsia="黑体" w:cs="Times New Roman"/>
          <w:bCs/>
          <w:sz w:val="24"/>
        </w:rPr>
      </w:pPr>
      <w:r>
        <w:rPr>
          <w:rFonts w:ascii="Times New Roman" w:hAnsi="Times New Roman" w:eastAsia="黑体" w:cs="Times New Roman"/>
          <w:bCs/>
          <w:sz w:val="24"/>
        </w:rPr>
        <w:t>表</w:t>
      </w:r>
      <w:r>
        <w:rPr>
          <w:rFonts w:hint="eastAsia" w:ascii="Times New Roman" w:hAnsi="Times New Roman" w:eastAsia="黑体" w:cs="Times New Roman"/>
          <w:bCs/>
          <w:sz w:val="24"/>
        </w:rPr>
        <w:t>4</w:t>
      </w:r>
      <w:r>
        <w:rPr>
          <w:rFonts w:ascii="Times New Roman" w:hAnsi="Times New Roman" w:eastAsia="黑体" w:cs="Times New Roman"/>
          <w:bCs/>
          <w:sz w:val="24"/>
        </w:rPr>
        <w:t xml:space="preserve">  行业标准一览表</w:t>
      </w:r>
    </w:p>
    <w:tbl>
      <w:tblPr>
        <w:tblStyle w:val="14"/>
        <w:tblW w:w="8824" w:type="dxa"/>
        <w:jc w:val="center"/>
        <w:tblLayout w:type="fixed"/>
        <w:tblCellMar>
          <w:top w:w="0" w:type="dxa"/>
          <w:left w:w="0" w:type="dxa"/>
          <w:bottom w:w="0" w:type="dxa"/>
          <w:right w:w="0" w:type="dxa"/>
        </w:tblCellMar>
      </w:tblPr>
      <w:tblGrid>
        <w:gridCol w:w="780"/>
        <w:gridCol w:w="2253"/>
        <w:gridCol w:w="5791"/>
      </w:tblGrid>
      <w:tr w14:paraId="0AEF64E3">
        <w:trPr>
          <w:trHeight w:val="324" w:hRule="atLeast"/>
          <w:tblHeader/>
          <w:jc w:val="center"/>
        </w:trPr>
        <w:tc>
          <w:tcPr>
            <w:tcW w:w="780" w:type="dxa"/>
            <w:tcBorders>
              <w:top w:val="single" w:color="auto" w:sz="4" w:space="0"/>
              <w:left w:val="single" w:color="auto" w:sz="4" w:space="0"/>
              <w:bottom w:val="single" w:color="auto" w:sz="4" w:space="0"/>
              <w:right w:val="single" w:color="auto" w:sz="4" w:space="0"/>
            </w:tcBorders>
            <w:noWrap/>
            <w:vAlign w:val="center"/>
          </w:tcPr>
          <w:p w14:paraId="3B6DA172">
            <w:pPr>
              <w:spacing w:line="440" w:lineRule="exact"/>
              <w:jc w:val="center"/>
              <w:rPr>
                <w:rFonts w:ascii="Times New Roman" w:hAnsi="Times New Roman" w:eastAsia="仿宋_GB2312" w:cs="Times New Roman"/>
                <w:b/>
                <w:bCs/>
                <w:sz w:val="24"/>
              </w:rPr>
            </w:pPr>
            <w:r>
              <w:rPr>
                <w:rFonts w:ascii="Times New Roman" w:hAnsi="Times New Roman" w:eastAsia="仿宋_GB2312" w:cs="Times New Roman"/>
                <w:b/>
                <w:bCs/>
                <w:sz w:val="24"/>
              </w:rPr>
              <w:t>序号</w:t>
            </w:r>
          </w:p>
        </w:tc>
        <w:tc>
          <w:tcPr>
            <w:tcW w:w="2253" w:type="dxa"/>
            <w:tcBorders>
              <w:top w:val="single" w:color="auto" w:sz="4" w:space="0"/>
              <w:left w:val="nil"/>
              <w:bottom w:val="single" w:color="auto" w:sz="4" w:space="0"/>
              <w:right w:val="single" w:color="auto" w:sz="4" w:space="0"/>
            </w:tcBorders>
            <w:vAlign w:val="center"/>
          </w:tcPr>
          <w:p w14:paraId="6CEC8DF0">
            <w:pPr>
              <w:spacing w:line="440" w:lineRule="exact"/>
              <w:jc w:val="center"/>
              <w:rPr>
                <w:rFonts w:ascii="Times New Roman" w:hAnsi="Times New Roman" w:eastAsia="仿宋_GB2312" w:cs="Times New Roman"/>
                <w:b/>
                <w:bCs/>
                <w:sz w:val="24"/>
              </w:rPr>
            </w:pPr>
            <w:r>
              <w:rPr>
                <w:rFonts w:ascii="Times New Roman" w:hAnsi="Times New Roman" w:eastAsia="仿宋_GB2312" w:cs="Times New Roman"/>
                <w:b/>
                <w:bCs/>
                <w:sz w:val="24"/>
              </w:rPr>
              <w:t>标准号</w:t>
            </w:r>
          </w:p>
        </w:tc>
        <w:tc>
          <w:tcPr>
            <w:tcW w:w="5791" w:type="dxa"/>
            <w:tcBorders>
              <w:top w:val="single" w:color="auto" w:sz="4" w:space="0"/>
              <w:left w:val="nil"/>
              <w:bottom w:val="single" w:color="auto" w:sz="4" w:space="0"/>
              <w:right w:val="single" w:color="auto" w:sz="4" w:space="0"/>
            </w:tcBorders>
            <w:vAlign w:val="center"/>
          </w:tcPr>
          <w:p w14:paraId="615D5D20">
            <w:pPr>
              <w:spacing w:line="440" w:lineRule="exact"/>
              <w:jc w:val="center"/>
              <w:rPr>
                <w:rFonts w:ascii="Times New Roman" w:hAnsi="Times New Roman" w:eastAsia="仿宋_GB2312" w:cs="Times New Roman"/>
                <w:b/>
                <w:bCs/>
                <w:sz w:val="24"/>
              </w:rPr>
            </w:pPr>
            <w:r>
              <w:rPr>
                <w:rFonts w:ascii="Times New Roman" w:hAnsi="Times New Roman" w:eastAsia="仿宋_GB2312" w:cs="Times New Roman"/>
                <w:b/>
                <w:bCs/>
                <w:sz w:val="24"/>
              </w:rPr>
              <w:t>中文标准名称</w:t>
            </w:r>
          </w:p>
        </w:tc>
      </w:tr>
      <w:tr w14:paraId="252ED3A7">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1A71E799">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2253" w:type="dxa"/>
            <w:tcBorders>
              <w:top w:val="nil"/>
              <w:left w:val="nil"/>
              <w:bottom w:val="single" w:color="auto" w:sz="4" w:space="0"/>
              <w:right w:val="single" w:color="auto" w:sz="4" w:space="0"/>
            </w:tcBorders>
            <w:noWrap/>
            <w:vAlign w:val="center"/>
          </w:tcPr>
          <w:p w14:paraId="76C49808">
            <w:pPr>
              <w:spacing w:line="440" w:lineRule="exact"/>
              <w:jc w:val="center"/>
              <w:rPr>
                <w:rFonts w:ascii="Times New Roman" w:hAnsi="Times New Roman" w:eastAsia="仿宋_GB2312" w:cs="Times New Roman"/>
                <w:sz w:val="24"/>
              </w:rPr>
            </w:pPr>
            <w:r>
              <w:fldChar w:fldCharType="begin"/>
            </w:r>
            <w:r>
              <w:instrText xml:space="preserve"> HYPERLINK "http://www.csres.com/detail/264754.html" \t "_blank" </w:instrText>
            </w:r>
            <w:r>
              <w:fldChar w:fldCharType="separate"/>
            </w:r>
            <w:r>
              <w:rPr>
                <w:rFonts w:ascii="Times New Roman" w:hAnsi="Times New Roman" w:eastAsia="仿宋_GB2312" w:cs="Times New Roman"/>
                <w:sz w:val="24"/>
              </w:rPr>
              <w:t>DB21/T 2347.3-2014</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4018CC1E">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信息技术行业职业技能 第3部分：软件开发</w:t>
            </w:r>
          </w:p>
        </w:tc>
      </w:tr>
      <w:tr w14:paraId="296A5726">
        <w:trPr>
          <w:trHeight w:val="786" w:hRule="atLeast"/>
          <w:jc w:val="center"/>
        </w:trPr>
        <w:tc>
          <w:tcPr>
            <w:tcW w:w="780" w:type="dxa"/>
            <w:tcBorders>
              <w:top w:val="nil"/>
              <w:left w:val="single" w:color="auto" w:sz="4" w:space="0"/>
              <w:bottom w:val="single" w:color="auto" w:sz="4" w:space="0"/>
              <w:right w:val="single" w:color="auto" w:sz="4" w:space="0"/>
            </w:tcBorders>
            <w:noWrap/>
            <w:vAlign w:val="center"/>
          </w:tcPr>
          <w:p w14:paraId="4CA9FAB3">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2253" w:type="dxa"/>
            <w:tcBorders>
              <w:top w:val="nil"/>
              <w:left w:val="nil"/>
              <w:bottom w:val="single" w:color="auto" w:sz="4" w:space="0"/>
              <w:right w:val="single" w:color="auto" w:sz="4" w:space="0"/>
            </w:tcBorders>
            <w:noWrap/>
            <w:vAlign w:val="center"/>
          </w:tcPr>
          <w:p w14:paraId="0C111C8F">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GB/T 38557.1—2020</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5961A0E0">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系统与软件工程 接口和数据交换 第1部分：企业资源计划系统与制造执行系统的接口规范</w:t>
            </w:r>
            <w:r>
              <w:rPr>
                <w:rFonts w:ascii="Times New Roman" w:hAnsi="Times New Roman" w:eastAsia="仿宋_GB2312" w:cs="Times New Roman"/>
                <w:sz w:val="24"/>
              </w:rPr>
              <w:fldChar w:fldCharType="end"/>
            </w:r>
          </w:p>
        </w:tc>
      </w:tr>
      <w:tr w14:paraId="463A1E4B">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523BB286">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2253" w:type="dxa"/>
            <w:tcBorders>
              <w:top w:val="nil"/>
              <w:left w:val="nil"/>
              <w:bottom w:val="single" w:color="auto" w:sz="4" w:space="0"/>
              <w:right w:val="single" w:color="auto" w:sz="4" w:space="0"/>
            </w:tcBorders>
            <w:noWrap/>
            <w:vAlign w:val="center"/>
          </w:tcPr>
          <w:p w14:paraId="2AFA0492">
            <w:pPr>
              <w:spacing w:line="440" w:lineRule="exact"/>
              <w:jc w:val="center"/>
              <w:rPr>
                <w:rFonts w:ascii="Times New Roman" w:hAnsi="Times New Roman" w:eastAsia="仿宋_GB2312" w:cs="Times New Roman"/>
                <w:sz w:val="24"/>
              </w:rPr>
            </w:pPr>
            <w:r>
              <w:fldChar w:fldCharType="begin"/>
            </w:r>
            <w:r>
              <w:instrText xml:space="preserve"> HYPERLINK "http://www.csres.com/detail/102355.html" \t "_blank" </w:instrText>
            </w:r>
            <w:r>
              <w:fldChar w:fldCharType="separate"/>
            </w:r>
            <w:r>
              <w:rPr>
                <w:rFonts w:ascii="Times New Roman" w:hAnsi="Times New Roman" w:eastAsia="仿宋_GB2312" w:cs="Times New Roman"/>
                <w:sz w:val="24"/>
              </w:rPr>
              <w:t>SJ/T 10367-1993</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364A957B">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计算机过程控制软件开发规程</w:t>
            </w:r>
          </w:p>
        </w:tc>
      </w:tr>
      <w:tr w14:paraId="72E575F0">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4B6D1F84">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2253" w:type="dxa"/>
            <w:tcBorders>
              <w:top w:val="nil"/>
              <w:left w:val="nil"/>
              <w:bottom w:val="single" w:color="auto" w:sz="4" w:space="0"/>
              <w:right w:val="single" w:color="auto" w:sz="4" w:space="0"/>
            </w:tcBorders>
            <w:noWrap/>
            <w:vAlign w:val="center"/>
          </w:tcPr>
          <w:p w14:paraId="3AA55028">
            <w:pPr>
              <w:spacing w:line="440" w:lineRule="exact"/>
              <w:jc w:val="center"/>
              <w:rPr>
                <w:rFonts w:ascii="Times New Roman" w:hAnsi="Times New Roman" w:eastAsia="仿宋_GB2312" w:cs="Times New Roman"/>
                <w:sz w:val="24"/>
              </w:rPr>
            </w:pPr>
            <w:r>
              <w:fldChar w:fldCharType="begin"/>
            </w:r>
            <w:r>
              <w:instrText xml:space="preserve"> HYPERLINK "http://www.csres.com/detail/315691.html" \t "_blank" </w:instrText>
            </w:r>
            <w:r>
              <w:fldChar w:fldCharType="separate"/>
            </w:r>
            <w:r>
              <w:rPr>
                <w:rFonts w:ascii="Times New Roman" w:hAnsi="Times New Roman" w:eastAsia="仿宋_GB2312" w:cs="Times New Roman"/>
                <w:sz w:val="24"/>
              </w:rPr>
              <w:t>GB/T 36475-2018</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4C160136">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软件产品分类</w:t>
            </w:r>
          </w:p>
        </w:tc>
      </w:tr>
      <w:tr w14:paraId="282B4263">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3740D487">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2253" w:type="dxa"/>
            <w:tcBorders>
              <w:top w:val="nil"/>
              <w:left w:val="nil"/>
              <w:bottom w:val="single" w:color="auto" w:sz="4" w:space="0"/>
              <w:right w:val="single" w:color="auto" w:sz="4" w:space="0"/>
            </w:tcBorders>
            <w:noWrap/>
            <w:vAlign w:val="center"/>
          </w:tcPr>
          <w:p w14:paraId="4F576D19">
            <w:pPr>
              <w:spacing w:line="440" w:lineRule="exact"/>
              <w:jc w:val="center"/>
              <w:rPr>
                <w:rFonts w:ascii="Times New Roman" w:hAnsi="Times New Roman" w:eastAsia="仿宋_GB2312" w:cs="Times New Roman"/>
                <w:sz w:val="24"/>
              </w:rPr>
            </w:pPr>
            <w:r>
              <w:fldChar w:fldCharType="begin"/>
            </w:r>
            <w:r>
              <w:instrText xml:space="preserve"> HYPERLINK "http://www.csres.com/detail/323663.html" \t "_blank" </w:instrText>
            </w:r>
            <w:r>
              <w:fldChar w:fldCharType="separate"/>
            </w:r>
            <w:r>
              <w:rPr>
                <w:rFonts w:ascii="Times New Roman" w:hAnsi="Times New Roman" w:eastAsia="仿宋_GB2312" w:cs="Times New Roman"/>
                <w:sz w:val="24"/>
              </w:rPr>
              <w:t>GB/T 36964-2018</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23179E47">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软件工程 软件开发成本度量规范</w:t>
            </w:r>
          </w:p>
        </w:tc>
      </w:tr>
      <w:tr w14:paraId="0C117DCF">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16B4845B">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6</w:t>
            </w:r>
          </w:p>
        </w:tc>
        <w:tc>
          <w:tcPr>
            <w:tcW w:w="2253" w:type="dxa"/>
            <w:tcBorders>
              <w:top w:val="nil"/>
              <w:left w:val="nil"/>
              <w:bottom w:val="single" w:color="auto" w:sz="4" w:space="0"/>
              <w:right w:val="single" w:color="auto" w:sz="4" w:space="0"/>
            </w:tcBorders>
            <w:noWrap/>
            <w:vAlign w:val="center"/>
          </w:tcPr>
          <w:p w14:paraId="73BBB32D">
            <w:pPr>
              <w:spacing w:line="440" w:lineRule="exact"/>
              <w:jc w:val="center"/>
              <w:rPr>
                <w:rFonts w:ascii="Times New Roman" w:hAnsi="Times New Roman" w:eastAsia="仿宋_GB2312" w:cs="Times New Roman"/>
                <w:sz w:val="24"/>
              </w:rPr>
            </w:pPr>
            <w:r>
              <w:fldChar w:fldCharType="begin"/>
            </w:r>
            <w:r>
              <w:instrText xml:space="preserve"> HYPERLINK "http://www.csres.com/detail/332747.html" \t "_blank" </w:instrText>
            </w:r>
            <w:r>
              <w:fldChar w:fldCharType="separate"/>
            </w:r>
            <w:r>
              <w:rPr>
                <w:rFonts w:ascii="Times New Roman" w:hAnsi="Times New Roman" w:eastAsia="仿宋_GB2312" w:cs="Times New Roman"/>
                <w:sz w:val="24"/>
              </w:rPr>
              <w:t>GB/T 37691-2019 </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63B38941">
            <w:pPr>
              <w:spacing w:line="440" w:lineRule="exact"/>
              <w:jc w:val="center"/>
              <w:rPr>
                <w:rFonts w:ascii="Times New Roman" w:hAnsi="Times New Roman" w:eastAsia="仿宋_GB2312" w:cs="Times New Roman"/>
                <w:sz w:val="24"/>
              </w:rPr>
            </w:pPr>
            <w:r>
              <w:fldChar w:fldCharType="begin"/>
            </w:r>
            <w:r>
              <w:instrText xml:space="preserve"> HYPERLINK "http://www.csres.com/detail/332747.html" \t "_blank" </w:instrText>
            </w:r>
            <w:r>
              <w:fldChar w:fldCharType="separate"/>
            </w:r>
            <w:r>
              <w:rPr>
                <w:rFonts w:ascii="Times New Roman" w:hAnsi="Times New Roman" w:eastAsia="仿宋_GB2312" w:cs="Times New Roman"/>
                <w:sz w:val="24"/>
              </w:rPr>
              <w:t>可编程逻辑器件软件安全性设计指南</w:t>
            </w:r>
            <w:r>
              <w:rPr>
                <w:rFonts w:ascii="Times New Roman" w:hAnsi="Times New Roman" w:eastAsia="仿宋_GB2312" w:cs="Times New Roman"/>
                <w:sz w:val="24"/>
              </w:rPr>
              <w:fldChar w:fldCharType="end"/>
            </w:r>
          </w:p>
        </w:tc>
      </w:tr>
      <w:tr w14:paraId="54F43980">
        <w:trPr>
          <w:trHeight w:val="90" w:hRule="atLeast"/>
          <w:jc w:val="center"/>
        </w:trPr>
        <w:tc>
          <w:tcPr>
            <w:tcW w:w="780" w:type="dxa"/>
            <w:tcBorders>
              <w:top w:val="nil"/>
              <w:left w:val="single" w:color="auto" w:sz="4" w:space="0"/>
              <w:bottom w:val="single" w:color="auto" w:sz="4" w:space="0"/>
              <w:right w:val="single" w:color="auto" w:sz="4" w:space="0"/>
            </w:tcBorders>
            <w:noWrap/>
            <w:vAlign w:val="center"/>
          </w:tcPr>
          <w:p w14:paraId="0638DB6C">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7</w:t>
            </w:r>
          </w:p>
        </w:tc>
        <w:tc>
          <w:tcPr>
            <w:tcW w:w="2253" w:type="dxa"/>
            <w:tcBorders>
              <w:top w:val="nil"/>
              <w:left w:val="nil"/>
              <w:bottom w:val="single" w:color="auto" w:sz="4" w:space="0"/>
              <w:right w:val="single" w:color="auto" w:sz="4" w:space="0"/>
            </w:tcBorders>
            <w:noWrap/>
            <w:vAlign w:val="center"/>
          </w:tcPr>
          <w:p w14:paraId="676A0057">
            <w:pPr>
              <w:spacing w:line="440" w:lineRule="exact"/>
              <w:jc w:val="center"/>
              <w:rPr>
                <w:rFonts w:ascii="Times New Roman" w:hAnsi="Times New Roman" w:eastAsia="仿宋_GB2312" w:cs="Times New Roman"/>
                <w:sz w:val="24"/>
              </w:rPr>
            </w:pPr>
            <w:r>
              <w:fldChar w:fldCharType="begin"/>
            </w:r>
            <w:r>
              <w:instrText xml:space="preserve"> HYPERLINK "http://www.csres.com/detail/323751.html" \t "_blank" </w:instrText>
            </w:r>
            <w:r>
              <w:fldChar w:fldCharType="separate"/>
            </w:r>
            <w:r>
              <w:rPr>
                <w:rFonts w:ascii="Times New Roman" w:hAnsi="Times New Roman" w:eastAsia="仿宋_GB2312" w:cs="Times New Roman"/>
                <w:sz w:val="24"/>
              </w:rPr>
              <w:t>GB/T 25000.2-2018</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60AD0D90">
            <w:pPr>
              <w:spacing w:line="440" w:lineRule="exact"/>
              <w:jc w:val="center"/>
              <w:rPr>
                <w:rFonts w:ascii="Times New Roman" w:hAnsi="Times New Roman" w:eastAsia="仿宋_GB2312" w:cs="Times New Roman"/>
                <w:sz w:val="24"/>
              </w:rPr>
            </w:pPr>
            <w:r>
              <w:fldChar w:fldCharType="begin"/>
            </w:r>
            <w:r>
              <w:instrText xml:space="preserve"> HYPERLINK "http://www.csres.com/detail/323751.html" \t "_blank" </w:instrText>
            </w:r>
            <w:r>
              <w:fldChar w:fldCharType="separate"/>
            </w:r>
            <w:r>
              <w:rPr>
                <w:rFonts w:ascii="Times New Roman" w:hAnsi="Times New Roman" w:eastAsia="仿宋_GB2312" w:cs="Times New Roman"/>
                <w:sz w:val="24"/>
              </w:rPr>
              <w:t>系统与软件工程 系统与软件质量要求和评价（SQuaRE） 第2部分：计划与管理</w:t>
            </w:r>
            <w:r>
              <w:rPr>
                <w:rFonts w:ascii="Times New Roman" w:hAnsi="Times New Roman" w:eastAsia="仿宋_GB2312" w:cs="Times New Roman"/>
                <w:sz w:val="24"/>
              </w:rPr>
              <w:fldChar w:fldCharType="end"/>
            </w:r>
          </w:p>
        </w:tc>
      </w:tr>
      <w:tr w14:paraId="13669317">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1FCE0486">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8</w:t>
            </w:r>
          </w:p>
        </w:tc>
        <w:tc>
          <w:tcPr>
            <w:tcW w:w="2253" w:type="dxa"/>
            <w:tcBorders>
              <w:top w:val="nil"/>
              <w:left w:val="nil"/>
              <w:bottom w:val="single" w:color="auto" w:sz="4" w:space="0"/>
              <w:right w:val="single" w:color="auto" w:sz="4" w:space="0"/>
            </w:tcBorders>
            <w:noWrap/>
            <w:vAlign w:val="center"/>
          </w:tcPr>
          <w:p w14:paraId="79C24517">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GB/T 28174.1-2011</w:t>
            </w:r>
          </w:p>
        </w:tc>
        <w:tc>
          <w:tcPr>
            <w:tcW w:w="5791" w:type="dxa"/>
            <w:tcBorders>
              <w:top w:val="nil"/>
              <w:left w:val="nil"/>
              <w:bottom w:val="single" w:color="auto" w:sz="4" w:space="0"/>
              <w:right w:val="single" w:color="auto" w:sz="4" w:space="0"/>
            </w:tcBorders>
            <w:noWrap/>
            <w:vAlign w:val="center"/>
          </w:tcPr>
          <w:p w14:paraId="23A8E631">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统一建模语言(UML) 第1部分：基础结构</w:t>
            </w:r>
          </w:p>
        </w:tc>
      </w:tr>
      <w:tr w14:paraId="1C9213B4">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156593E3">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9</w:t>
            </w:r>
          </w:p>
        </w:tc>
        <w:tc>
          <w:tcPr>
            <w:tcW w:w="2253" w:type="dxa"/>
            <w:tcBorders>
              <w:top w:val="nil"/>
              <w:left w:val="nil"/>
              <w:bottom w:val="single" w:color="auto" w:sz="4" w:space="0"/>
              <w:right w:val="single" w:color="auto" w:sz="4" w:space="0"/>
            </w:tcBorders>
            <w:noWrap/>
            <w:vAlign w:val="center"/>
          </w:tcPr>
          <w:p w14:paraId="232BADFA">
            <w:pPr>
              <w:spacing w:line="440" w:lineRule="exact"/>
              <w:jc w:val="center"/>
              <w:rPr>
                <w:rFonts w:ascii="Times New Roman" w:hAnsi="Times New Roman" w:eastAsia="仿宋_GB2312" w:cs="Times New Roman"/>
                <w:sz w:val="24"/>
              </w:rPr>
            </w:pPr>
            <w:r>
              <w:fldChar w:fldCharType="begin"/>
            </w:r>
            <w:r>
              <w:instrText xml:space="preserve"> HYPERLINK "http://www.csres.com/detail/60663.html" \t "_blank" </w:instrText>
            </w:r>
            <w:r>
              <w:fldChar w:fldCharType="separate"/>
            </w:r>
            <w:r>
              <w:rPr>
                <w:rFonts w:ascii="Times New Roman" w:hAnsi="Times New Roman" w:eastAsia="仿宋_GB2312" w:cs="Times New Roman"/>
                <w:sz w:val="24"/>
              </w:rPr>
              <w:t>GB/T 11457-2006</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5897C96D">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信息技术 软件工程术语</w:t>
            </w:r>
          </w:p>
        </w:tc>
      </w:tr>
      <w:tr w14:paraId="30DF39E9">
        <w:trPr>
          <w:trHeight w:val="417" w:hRule="atLeast"/>
          <w:jc w:val="center"/>
        </w:trPr>
        <w:tc>
          <w:tcPr>
            <w:tcW w:w="780" w:type="dxa"/>
            <w:tcBorders>
              <w:top w:val="single" w:color="auto" w:sz="4" w:space="0"/>
              <w:left w:val="single" w:color="auto" w:sz="4" w:space="0"/>
              <w:bottom w:val="single" w:color="auto" w:sz="4" w:space="0"/>
              <w:right w:val="single" w:color="auto" w:sz="4" w:space="0"/>
            </w:tcBorders>
            <w:noWrap/>
            <w:vAlign w:val="center"/>
          </w:tcPr>
          <w:p w14:paraId="2139CC4D">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10</w:t>
            </w:r>
          </w:p>
        </w:tc>
        <w:tc>
          <w:tcPr>
            <w:tcW w:w="2253" w:type="dxa"/>
            <w:tcBorders>
              <w:top w:val="single" w:color="auto" w:sz="4" w:space="0"/>
              <w:left w:val="single" w:color="auto" w:sz="4" w:space="0"/>
              <w:bottom w:val="single" w:color="auto" w:sz="4" w:space="0"/>
              <w:right w:val="single" w:color="auto" w:sz="4" w:space="0"/>
            </w:tcBorders>
            <w:noWrap/>
            <w:vAlign w:val="center"/>
          </w:tcPr>
          <w:p w14:paraId="18754CA3">
            <w:pPr>
              <w:spacing w:line="440" w:lineRule="exact"/>
              <w:jc w:val="center"/>
              <w:rPr>
                <w:rFonts w:ascii="Times New Roman" w:hAnsi="Times New Roman" w:eastAsia="仿宋_GB2312" w:cs="Times New Roman"/>
                <w:sz w:val="24"/>
              </w:rPr>
            </w:pPr>
            <w:r>
              <w:fldChar w:fldCharType="begin"/>
            </w:r>
            <w:r>
              <w:instrText xml:space="preserve"> HYPERLINK "http://www.csres.com/detail/279292.html" \t "_blank" </w:instrText>
            </w:r>
            <w:r>
              <w:fldChar w:fldCharType="separate"/>
            </w:r>
            <w:r>
              <w:rPr>
                <w:rFonts w:ascii="Times New Roman" w:hAnsi="Times New Roman" w:eastAsia="仿宋_GB2312" w:cs="Times New Roman"/>
                <w:sz w:val="24"/>
              </w:rPr>
              <w:t>GB/T 32421-2015</w:t>
            </w:r>
            <w:r>
              <w:rPr>
                <w:rFonts w:ascii="Times New Roman" w:hAnsi="Times New Roman" w:eastAsia="仿宋_GB2312" w:cs="Times New Roman"/>
                <w:sz w:val="24"/>
              </w:rPr>
              <w:fldChar w:fldCharType="end"/>
            </w:r>
          </w:p>
        </w:tc>
        <w:tc>
          <w:tcPr>
            <w:tcW w:w="5791" w:type="dxa"/>
            <w:tcBorders>
              <w:top w:val="single" w:color="auto" w:sz="4" w:space="0"/>
              <w:left w:val="single" w:color="auto" w:sz="4" w:space="0"/>
              <w:bottom w:val="single" w:color="auto" w:sz="4" w:space="0"/>
              <w:right w:val="single" w:color="auto" w:sz="4" w:space="0"/>
            </w:tcBorders>
            <w:noWrap/>
            <w:vAlign w:val="center"/>
          </w:tcPr>
          <w:p w14:paraId="34560205">
            <w:pPr>
              <w:spacing w:line="440" w:lineRule="exact"/>
              <w:jc w:val="center"/>
              <w:rPr>
                <w:rFonts w:ascii="Times New Roman" w:hAnsi="Times New Roman" w:eastAsia="仿宋_GB2312" w:cs="Times New Roman"/>
                <w:sz w:val="24"/>
              </w:rPr>
            </w:pPr>
            <w:r>
              <w:fldChar w:fldCharType="begin"/>
            </w:r>
            <w:r>
              <w:instrText xml:space="preserve"> HYPERLINK "http://www.csres.com/detail/279292.html" \t "_blank" </w:instrText>
            </w:r>
            <w:r>
              <w:fldChar w:fldCharType="separate"/>
            </w:r>
            <w:r>
              <w:rPr>
                <w:rFonts w:ascii="Times New Roman" w:hAnsi="Times New Roman" w:eastAsia="仿宋_GB2312" w:cs="Times New Roman"/>
                <w:sz w:val="24"/>
              </w:rPr>
              <w:t>软件工程 软件评审与审核</w:t>
            </w:r>
            <w:r>
              <w:rPr>
                <w:rFonts w:ascii="Times New Roman" w:hAnsi="Times New Roman" w:eastAsia="仿宋_GB2312" w:cs="Times New Roman"/>
                <w:sz w:val="24"/>
              </w:rPr>
              <w:fldChar w:fldCharType="end"/>
            </w:r>
          </w:p>
        </w:tc>
      </w:tr>
      <w:tr w14:paraId="18A38248">
        <w:trPr>
          <w:trHeight w:val="435" w:hRule="atLeast"/>
          <w:jc w:val="center"/>
        </w:trPr>
        <w:tc>
          <w:tcPr>
            <w:tcW w:w="780" w:type="dxa"/>
            <w:tcBorders>
              <w:top w:val="single" w:color="auto" w:sz="4" w:space="0"/>
              <w:left w:val="single" w:color="auto" w:sz="4" w:space="0"/>
              <w:bottom w:val="single" w:color="auto" w:sz="4" w:space="0"/>
              <w:right w:val="single" w:color="auto" w:sz="4" w:space="0"/>
            </w:tcBorders>
            <w:noWrap/>
            <w:vAlign w:val="center"/>
          </w:tcPr>
          <w:p w14:paraId="52366609">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11</w:t>
            </w:r>
          </w:p>
        </w:tc>
        <w:tc>
          <w:tcPr>
            <w:tcW w:w="2253" w:type="dxa"/>
            <w:tcBorders>
              <w:top w:val="single" w:color="auto" w:sz="4" w:space="0"/>
              <w:left w:val="single" w:color="auto" w:sz="4" w:space="0"/>
              <w:bottom w:val="single" w:color="auto" w:sz="4" w:space="0"/>
              <w:right w:val="single" w:color="auto" w:sz="4" w:space="0"/>
            </w:tcBorders>
            <w:noWrap/>
            <w:vAlign w:val="center"/>
          </w:tcPr>
          <w:p w14:paraId="6A8F852F">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GB/T 38634.1-2020</w:t>
            </w:r>
          </w:p>
        </w:tc>
        <w:tc>
          <w:tcPr>
            <w:tcW w:w="5791" w:type="dxa"/>
            <w:tcBorders>
              <w:top w:val="single" w:color="auto" w:sz="4" w:space="0"/>
              <w:left w:val="single" w:color="auto" w:sz="4" w:space="0"/>
              <w:bottom w:val="single" w:color="auto" w:sz="4" w:space="0"/>
              <w:right w:val="single" w:color="auto" w:sz="4" w:space="0"/>
            </w:tcBorders>
            <w:noWrap/>
            <w:vAlign w:val="center"/>
          </w:tcPr>
          <w:p w14:paraId="1870CF7C">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系统与软件工程 软件测试 第1部分：概念和定义</w:t>
            </w:r>
          </w:p>
        </w:tc>
      </w:tr>
      <w:tr w14:paraId="28D6C693">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1E0B0E2C">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12</w:t>
            </w:r>
          </w:p>
        </w:tc>
        <w:tc>
          <w:tcPr>
            <w:tcW w:w="2253" w:type="dxa"/>
            <w:tcBorders>
              <w:top w:val="nil"/>
              <w:left w:val="nil"/>
              <w:bottom w:val="single" w:color="auto" w:sz="4" w:space="0"/>
              <w:right w:val="single" w:color="auto" w:sz="4" w:space="0"/>
            </w:tcBorders>
            <w:noWrap/>
            <w:vAlign w:val="center"/>
          </w:tcPr>
          <w:p w14:paraId="6CE9DF64">
            <w:pPr>
              <w:spacing w:line="440" w:lineRule="exact"/>
              <w:jc w:val="center"/>
              <w:rPr>
                <w:rFonts w:ascii="Times New Roman" w:hAnsi="Times New Roman" w:eastAsia="仿宋_GB2312" w:cs="Times New Roman"/>
                <w:sz w:val="24"/>
              </w:rPr>
            </w:pPr>
            <w:r>
              <w:fldChar w:fldCharType="begin"/>
            </w:r>
            <w:r>
              <w:instrText xml:space="preserve"> HYPERLINK "http://www.csres.com/detail/279294.html" \t "_blank" </w:instrText>
            </w:r>
            <w:r>
              <w:fldChar w:fldCharType="separate"/>
            </w:r>
            <w:r>
              <w:rPr>
                <w:rFonts w:ascii="Times New Roman" w:hAnsi="Times New Roman" w:eastAsia="仿宋_GB2312" w:cs="Times New Roman"/>
                <w:sz w:val="24"/>
              </w:rPr>
              <w:t>GB/T 32423-2015</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2F98C274">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系统与软件工程 验证与确认</w:t>
            </w:r>
          </w:p>
        </w:tc>
      </w:tr>
      <w:tr w14:paraId="7F517354">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1320FD02">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13</w:t>
            </w:r>
          </w:p>
        </w:tc>
        <w:tc>
          <w:tcPr>
            <w:tcW w:w="2253" w:type="dxa"/>
            <w:tcBorders>
              <w:top w:val="nil"/>
              <w:left w:val="nil"/>
              <w:bottom w:val="single" w:color="auto" w:sz="4" w:space="0"/>
              <w:right w:val="single" w:color="auto" w:sz="4" w:space="0"/>
            </w:tcBorders>
            <w:noWrap/>
            <w:vAlign w:val="center"/>
          </w:tcPr>
          <w:p w14:paraId="54422F94">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GB/T 32424—2015</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22976984">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系统与软件工程 用户文档的设计者和开发者要求</w:t>
            </w:r>
            <w:r>
              <w:rPr>
                <w:rFonts w:ascii="Times New Roman" w:hAnsi="Times New Roman" w:eastAsia="仿宋_GB2312" w:cs="Times New Roman"/>
                <w:sz w:val="24"/>
              </w:rPr>
              <w:fldChar w:fldCharType="end"/>
            </w:r>
          </w:p>
        </w:tc>
      </w:tr>
      <w:tr w14:paraId="6D746924">
        <w:trPr>
          <w:trHeight w:val="575" w:hRule="atLeast"/>
          <w:jc w:val="center"/>
        </w:trPr>
        <w:tc>
          <w:tcPr>
            <w:tcW w:w="780" w:type="dxa"/>
            <w:tcBorders>
              <w:top w:val="nil"/>
              <w:left w:val="single" w:color="auto" w:sz="4" w:space="0"/>
              <w:bottom w:val="single" w:color="auto" w:sz="4" w:space="0"/>
              <w:right w:val="single" w:color="auto" w:sz="4" w:space="0"/>
            </w:tcBorders>
            <w:noWrap/>
            <w:vAlign w:val="center"/>
          </w:tcPr>
          <w:p w14:paraId="5453287A">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14</w:t>
            </w:r>
          </w:p>
        </w:tc>
        <w:tc>
          <w:tcPr>
            <w:tcW w:w="2253" w:type="dxa"/>
            <w:tcBorders>
              <w:top w:val="nil"/>
              <w:left w:val="nil"/>
              <w:bottom w:val="single" w:color="auto" w:sz="4" w:space="0"/>
              <w:right w:val="single" w:color="auto" w:sz="4" w:space="0"/>
            </w:tcBorders>
            <w:noWrap/>
            <w:vAlign w:val="center"/>
          </w:tcPr>
          <w:p w14:paraId="5D211ACC">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GB/T 30999—2014</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04C7C63C">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系统和软件工程 生存周期管理 过程描述指南</w:t>
            </w:r>
            <w:r>
              <w:rPr>
                <w:rFonts w:ascii="Times New Roman" w:hAnsi="Times New Roman" w:eastAsia="仿宋_GB2312" w:cs="Times New Roman"/>
                <w:sz w:val="24"/>
              </w:rPr>
              <w:fldChar w:fldCharType="end"/>
            </w:r>
          </w:p>
        </w:tc>
      </w:tr>
      <w:tr w14:paraId="72E68F51">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045663C1">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15</w:t>
            </w:r>
          </w:p>
        </w:tc>
        <w:tc>
          <w:tcPr>
            <w:tcW w:w="2253" w:type="dxa"/>
            <w:tcBorders>
              <w:top w:val="nil"/>
              <w:left w:val="nil"/>
              <w:bottom w:val="single" w:color="auto" w:sz="4" w:space="0"/>
              <w:right w:val="single" w:color="auto" w:sz="4" w:space="0"/>
            </w:tcBorders>
            <w:noWrap/>
            <w:vAlign w:val="center"/>
          </w:tcPr>
          <w:p w14:paraId="4852E5FA">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GB/T 30971—2014</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0BA715B3">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软件工程 用于互联网的推荐实践 网站工程、网站管理和网站生存周期</w:t>
            </w:r>
            <w:r>
              <w:rPr>
                <w:rFonts w:ascii="Times New Roman" w:hAnsi="Times New Roman" w:eastAsia="仿宋_GB2312" w:cs="Times New Roman"/>
                <w:sz w:val="24"/>
              </w:rPr>
              <w:fldChar w:fldCharType="end"/>
            </w:r>
          </w:p>
        </w:tc>
      </w:tr>
      <w:tr w14:paraId="1961FF67">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2B2AB498">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16</w:t>
            </w:r>
          </w:p>
        </w:tc>
        <w:tc>
          <w:tcPr>
            <w:tcW w:w="2253" w:type="dxa"/>
            <w:tcBorders>
              <w:top w:val="nil"/>
              <w:left w:val="nil"/>
              <w:bottom w:val="single" w:color="auto" w:sz="4" w:space="0"/>
              <w:right w:val="single" w:color="auto" w:sz="4" w:space="0"/>
            </w:tcBorders>
            <w:noWrap/>
            <w:vAlign w:val="center"/>
          </w:tcPr>
          <w:p w14:paraId="06468EFD">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GB/T 26239—2010</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0CE828DF">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软件工程 开发方法元模型</w:t>
            </w:r>
            <w:r>
              <w:rPr>
                <w:rFonts w:ascii="Times New Roman" w:hAnsi="Times New Roman" w:eastAsia="仿宋_GB2312" w:cs="Times New Roman"/>
                <w:sz w:val="24"/>
              </w:rPr>
              <w:fldChar w:fldCharType="end"/>
            </w:r>
          </w:p>
        </w:tc>
      </w:tr>
      <w:tr w14:paraId="30E9C05C">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219AA17A">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17</w:t>
            </w:r>
          </w:p>
        </w:tc>
        <w:tc>
          <w:tcPr>
            <w:tcW w:w="2253" w:type="dxa"/>
            <w:tcBorders>
              <w:top w:val="nil"/>
              <w:left w:val="nil"/>
              <w:bottom w:val="single" w:color="auto" w:sz="4" w:space="0"/>
              <w:right w:val="single" w:color="auto" w:sz="4" w:space="0"/>
            </w:tcBorders>
            <w:noWrap/>
            <w:vAlign w:val="center"/>
          </w:tcPr>
          <w:p w14:paraId="4E802542">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GB/T 22032—2021</w:t>
            </w:r>
            <w:r>
              <w:rPr>
                <w:rFonts w:ascii="Times New Roman" w:hAnsi="Times New Roman" w:eastAsia="仿宋_GB2312" w:cs="Times New Roman"/>
                <w:sz w:val="24"/>
              </w:rPr>
              <w:fldChar w:fldCharType="end"/>
            </w:r>
          </w:p>
        </w:tc>
        <w:tc>
          <w:tcPr>
            <w:tcW w:w="5791" w:type="dxa"/>
            <w:tcBorders>
              <w:top w:val="nil"/>
              <w:left w:val="nil"/>
              <w:bottom w:val="single" w:color="auto" w:sz="4" w:space="0"/>
              <w:right w:val="single" w:color="auto" w:sz="4" w:space="0"/>
            </w:tcBorders>
            <w:noWrap/>
            <w:vAlign w:val="center"/>
          </w:tcPr>
          <w:p w14:paraId="1CEC864E">
            <w:pPr>
              <w:spacing w:line="440" w:lineRule="exact"/>
              <w:jc w:val="center"/>
              <w:rPr>
                <w:rFonts w:ascii="Times New Roman" w:hAnsi="Times New Roman" w:eastAsia="仿宋_GB2312" w:cs="Times New Roman"/>
                <w:sz w:val="24"/>
              </w:rPr>
            </w:pPr>
            <w:r>
              <w:fldChar w:fldCharType="begin"/>
            </w:r>
            <w:r>
              <w:instrText xml:space="preserve"> HYPERLINK "https://openstd.samr.gov.cn/bzgk/gb/javascript:void(0)" \o "https://openstd.samr.gov.cn/bzgk/gb/javascript:void(0)" </w:instrText>
            </w:r>
            <w:r>
              <w:fldChar w:fldCharType="separate"/>
            </w:r>
            <w:r>
              <w:rPr>
                <w:rFonts w:ascii="Times New Roman" w:hAnsi="Times New Roman" w:eastAsia="仿宋_GB2312" w:cs="Times New Roman"/>
                <w:sz w:val="24"/>
              </w:rPr>
              <w:t>系统与软件工程 系统生存周期过程</w:t>
            </w:r>
            <w:r>
              <w:rPr>
                <w:rFonts w:ascii="Times New Roman" w:hAnsi="Times New Roman" w:eastAsia="仿宋_GB2312" w:cs="Times New Roman"/>
                <w:sz w:val="24"/>
              </w:rPr>
              <w:fldChar w:fldCharType="end"/>
            </w:r>
          </w:p>
        </w:tc>
      </w:tr>
      <w:tr w14:paraId="3C82E21E">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560A9391">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18</w:t>
            </w:r>
          </w:p>
        </w:tc>
        <w:tc>
          <w:tcPr>
            <w:tcW w:w="2253" w:type="dxa"/>
            <w:tcBorders>
              <w:top w:val="nil"/>
              <w:left w:val="nil"/>
              <w:bottom w:val="single" w:color="auto" w:sz="4" w:space="0"/>
              <w:right w:val="single" w:color="auto" w:sz="4" w:space="0"/>
            </w:tcBorders>
            <w:noWrap/>
            <w:vAlign w:val="center"/>
          </w:tcPr>
          <w:p w14:paraId="0FFD825C">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T/CESA 1154—2021</w:t>
            </w:r>
          </w:p>
        </w:tc>
        <w:tc>
          <w:tcPr>
            <w:tcW w:w="5791" w:type="dxa"/>
            <w:tcBorders>
              <w:top w:val="nil"/>
              <w:left w:val="nil"/>
              <w:bottom w:val="single" w:color="auto" w:sz="4" w:space="0"/>
              <w:right w:val="single" w:color="auto" w:sz="4" w:space="0"/>
            </w:tcBorders>
            <w:noWrap/>
            <w:vAlign w:val="center"/>
          </w:tcPr>
          <w:p w14:paraId="7EFD3FEE">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信息技术服务 从业人员能力评价指南 设计与开发服务</w:t>
            </w:r>
          </w:p>
        </w:tc>
      </w:tr>
      <w:tr w14:paraId="49443A90">
        <w:trPr>
          <w:trHeight w:val="467" w:hRule="atLeast"/>
          <w:jc w:val="center"/>
        </w:trPr>
        <w:tc>
          <w:tcPr>
            <w:tcW w:w="780" w:type="dxa"/>
            <w:tcBorders>
              <w:top w:val="nil"/>
              <w:left w:val="single" w:color="auto" w:sz="4" w:space="0"/>
              <w:bottom w:val="single" w:color="auto" w:sz="4" w:space="0"/>
              <w:right w:val="single" w:color="auto" w:sz="4" w:space="0"/>
            </w:tcBorders>
            <w:noWrap/>
            <w:vAlign w:val="center"/>
          </w:tcPr>
          <w:p w14:paraId="3C6F4453">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19</w:t>
            </w:r>
          </w:p>
        </w:tc>
        <w:tc>
          <w:tcPr>
            <w:tcW w:w="2253" w:type="dxa"/>
            <w:tcBorders>
              <w:top w:val="nil"/>
              <w:left w:val="nil"/>
              <w:bottom w:val="single" w:color="auto" w:sz="4" w:space="0"/>
              <w:right w:val="single" w:color="auto" w:sz="4" w:space="0"/>
            </w:tcBorders>
            <w:noWrap/>
            <w:vAlign w:val="center"/>
          </w:tcPr>
          <w:p w14:paraId="7DFD6C2A">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T/CESA 1155—2021</w:t>
            </w:r>
          </w:p>
        </w:tc>
        <w:tc>
          <w:tcPr>
            <w:tcW w:w="5791" w:type="dxa"/>
            <w:tcBorders>
              <w:top w:val="nil"/>
              <w:left w:val="nil"/>
              <w:bottom w:val="single" w:color="auto" w:sz="4" w:space="0"/>
              <w:right w:val="single" w:color="auto" w:sz="4" w:space="0"/>
            </w:tcBorders>
            <w:noWrap/>
            <w:vAlign w:val="center"/>
          </w:tcPr>
          <w:p w14:paraId="0B971711">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信息技术服务 从业人员能力评价指南 集成实施服务</w:t>
            </w:r>
          </w:p>
        </w:tc>
      </w:tr>
      <w:tr w14:paraId="3AE7268F">
        <w:trPr>
          <w:trHeight w:val="407" w:hRule="atLeast"/>
          <w:jc w:val="center"/>
        </w:trPr>
        <w:tc>
          <w:tcPr>
            <w:tcW w:w="780" w:type="dxa"/>
            <w:tcBorders>
              <w:top w:val="nil"/>
              <w:left w:val="single" w:color="auto" w:sz="4" w:space="0"/>
              <w:bottom w:val="single" w:color="auto" w:sz="4" w:space="0"/>
              <w:right w:val="single" w:color="auto" w:sz="4" w:space="0"/>
            </w:tcBorders>
            <w:noWrap/>
            <w:vAlign w:val="center"/>
          </w:tcPr>
          <w:p w14:paraId="6E1A6F02">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20</w:t>
            </w:r>
          </w:p>
        </w:tc>
        <w:tc>
          <w:tcPr>
            <w:tcW w:w="2253" w:type="dxa"/>
            <w:tcBorders>
              <w:top w:val="nil"/>
              <w:left w:val="nil"/>
              <w:bottom w:val="single" w:color="auto" w:sz="4" w:space="0"/>
              <w:right w:val="single" w:color="auto" w:sz="4" w:space="0"/>
            </w:tcBorders>
            <w:noWrap/>
            <w:vAlign w:val="center"/>
          </w:tcPr>
          <w:p w14:paraId="58400EBE">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T/CESA 1156—2021</w:t>
            </w:r>
          </w:p>
        </w:tc>
        <w:tc>
          <w:tcPr>
            <w:tcW w:w="5791" w:type="dxa"/>
            <w:tcBorders>
              <w:top w:val="nil"/>
              <w:left w:val="nil"/>
              <w:bottom w:val="single" w:color="auto" w:sz="4" w:space="0"/>
              <w:right w:val="single" w:color="auto" w:sz="4" w:space="0"/>
            </w:tcBorders>
            <w:noWrap/>
            <w:vAlign w:val="center"/>
          </w:tcPr>
          <w:p w14:paraId="49B38F48">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信息技术服务 从业人员能力评价指南 运行维护服务</w:t>
            </w:r>
          </w:p>
        </w:tc>
      </w:tr>
    </w:tbl>
    <w:p w14:paraId="14B79599">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（三）专业知识与技术技能</w:t>
      </w:r>
    </w:p>
    <w:p w14:paraId="1A258D69">
      <w:pPr>
        <w:adjustRightInd w:val="0"/>
        <w:snapToGrid w:val="0"/>
        <w:spacing w:line="360" w:lineRule="auto"/>
        <w:ind w:right="210" w:rightChars="100"/>
        <w:jc w:val="center"/>
        <w:rPr>
          <w:rFonts w:ascii="Times New Roman" w:hAnsi="Times New Roman" w:eastAsia="黑体" w:cs="Times New Roman"/>
          <w:bCs/>
          <w:sz w:val="24"/>
        </w:rPr>
      </w:pPr>
      <w:r>
        <w:rPr>
          <w:rFonts w:ascii="Times New Roman" w:hAnsi="Times New Roman" w:eastAsia="黑体" w:cs="Times New Roman"/>
          <w:bCs/>
          <w:sz w:val="24"/>
        </w:rPr>
        <w:t>表</w:t>
      </w:r>
      <w:r>
        <w:rPr>
          <w:rFonts w:hint="eastAsia" w:ascii="Times New Roman" w:hAnsi="Times New Roman" w:eastAsia="黑体" w:cs="Times New Roman"/>
          <w:bCs/>
          <w:sz w:val="24"/>
        </w:rPr>
        <w:t>5</w:t>
      </w:r>
      <w:r>
        <w:rPr>
          <w:rFonts w:ascii="Times New Roman" w:hAnsi="Times New Roman" w:eastAsia="黑体" w:cs="Times New Roman"/>
          <w:bCs/>
          <w:sz w:val="24"/>
        </w:rPr>
        <w:t xml:space="preserve">  专业知识与技术技能一览表</w:t>
      </w:r>
    </w:p>
    <w:tbl>
      <w:tblPr>
        <w:tblStyle w:val="14"/>
        <w:tblW w:w="8824" w:type="dxa"/>
        <w:jc w:val="center"/>
        <w:tblLayout w:type="fixed"/>
        <w:tblCellMar>
          <w:top w:w="0" w:type="dxa"/>
          <w:left w:w="108" w:type="dxa"/>
          <w:bottom w:w="0" w:type="dxa"/>
          <w:right w:w="108" w:type="dxa"/>
        </w:tblCellMar>
      </w:tblPr>
      <w:tblGrid>
        <w:gridCol w:w="735"/>
        <w:gridCol w:w="1360"/>
        <w:gridCol w:w="6729"/>
      </w:tblGrid>
      <w:tr w14:paraId="5F03675C">
        <w:trPr>
          <w:trHeight w:val="324" w:hRule="atLeast"/>
          <w:jc w:val="center"/>
        </w:trPr>
        <w:tc>
          <w:tcPr>
            <w:tcW w:w="735" w:type="dxa"/>
            <w:tcBorders>
              <w:top w:val="single" w:color="auto" w:sz="4" w:space="0"/>
              <w:left w:val="single" w:color="auto" w:sz="4" w:space="0"/>
              <w:bottom w:val="single" w:color="auto" w:sz="4" w:space="0"/>
              <w:right w:val="single" w:color="auto" w:sz="4" w:space="0"/>
            </w:tcBorders>
            <w:noWrap/>
            <w:vAlign w:val="center"/>
          </w:tcPr>
          <w:p w14:paraId="08C4CF2B">
            <w:pPr>
              <w:spacing w:line="440" w:lineRule="exact"/>
              <w:jc w:val="center"/>
              <w:rPr>
                <w:rFonts w:ascii="Times New Roman" w:hAnsi="Times New Roman" w:eastAsia="仿宋_GB2312" w:cs="Times New Roman"/>
                <w:b/>
                <w:bCs/>
                <w:sz w:val="24"/>
              </w:rPr>
            </w:pPr>
            <w:r>
              <w:rPr>
                <w:rFonts w:ascii="Times New Roman" w:hAnsi="Times New Roman" w:eastAsia="仿宋_GB2312" w:cs="Times New Roman"/>
                <w:b/>
                <w:bCs/>
                <w:sz w:val="24"/>
              </w:rPr>
              <w:t>序号</w:t>
            </w:r>
          </w:p>
        </w:tc>
        <w:tc>
          <w:tcPr>
            <w:tcW w:w="1360" w:type="dxa"/>
            <w:tcBorders>
              <w:top w:val="single" w:color="auto" w:sz="4" w:space="0"/>
              <w:left w:val="nil"/>
              <w:bottom w:val="single" w:color="auto" w:sz="4" w:space="0"/>
              <w:right w:val="single" w:color="auto" w:sz="4" w:space="0"/>
            </w:tcBorders>
            <w:vAlign w:val="center"/>
          </w:tcPr>
          <w:p w14:paraId="3B2CB9DC">
            <w:pPr>
              <w:spacing w:line="440" w:lineRule="exact"/>
              <w:jc w:val="center"/>
              <w:rPr>
                <w:rFonts w:ascii="Times New Roman" w:hAnsi="Times New Roman" w:eastAsia="仿宋_GB2312" w:cs="Times New Roman"/>
                <w:b/>
                <w:bCs/>
                <w:sz w:val="24"/>
              </w:rPr>
            </w:pPr>
            <w:r>
              <w:rPr>
                <w:rFonts w:ascii="Times New Roman" w:hAnsi="Times New Roman" w:eastAsia="仿宋_GB2312" w:cs="Times New Roman"/>
                <w:b/>
                <w:bCs/>
                <w:sz w:val="24"/>
              </w:rPr>
              <w:t>分类</w:t>
            </w:r>
          </w:p>
        </w:tc>
        <w:tc>
          <w:tcPr>
            <w:tcW w:w="6729" w:type="dxa"/>
            <w:tcBorders>
              <w:top w:val="single" w:color="auto" w:sz="4" w:space="0"/>
              <w:left w:val="nil"/>
              <w:bottom w:val="single" w:color="auto" w:sz="4" w:space="0"/>
              <w:right w:val="single" w:color="auto" w:sz="4" w:space="0"/>
            </w:tcBorders>
            <w:vAlign w:val="center"/>
          </w:tcPr>
          <w:p w14:paraId="4B021286">
            <w:pPr>
              <w:spacing w:line="440" w:lineRule="exact"/>
              <w:jc w:val="center"/>
              <w:rPr>
                <w:rFonts w:ascii="Times New Roman" w:hAnsi="Times New Roman" w:eastAsia="仿宋_GB2312" w:cs="Times New Roman"/>
                <w:b/>
                <w:bCs/>
                <w:sz w:val="24"/>
              </w:rPr>
            </w:pPr>
            <w:r>
              <w:rPr>
                <w:rFonts w:ascii="Times New Roman" w:hAnsi="Times New Roman" w:eastAsia="仿宋_GB2312" w:cs="Times New Roman"/>
                <w:b/>
                <w:bCs/>
                <w:sz w:val="24"/>
              </w:rPr>
              <w:t>具体要求</w:t>
            </w:r>
          </w:p>
        </w:tc>
      </w:tr>
      <w:tr w14:paraId="4A0F20FC">
        <w:trPr>
          <w:trHeight w:val="407" w:hRule="atLeast"/>
          <w:jc w:val="center"/>
        </w:trPr>
        <w:tc>
          <w:tcPr>
            <w:tcW w:w="735" w:type="dxa"/>
            <w:tcBorders>
              <w:top w:val="nil"/>
              <w:left w:val="single" w:color="auto" w:sz="4" w:space="0"/>
              <w:bottom w:val="single" w:color="auto" w:sz="4" w:space="0"/>
              <w:right w:val="single" w:color="auto" w:sz="4" w:space="0"/>
            </w:tcBorders>
            <w:noWrap/>
            <w:vAlign w:val="center"/>
          </w:tcPr>
          <w:p w14:paraId="06F01C9D">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1360" w:type="dxa"/>
            <w:tcBorders>
              <w:top w:val="nil"/>
              <w:left w:val="nil"/>
              <w:bottom w:val="single" w:color="auto" w:sz="4" w:space="0"/>
              <w:right w:val="single" w:color="auto" w:sz="4" w:space="0"/>
            </w:tcBorders>
            <w:noWrap/>
            <w:vAlign w:val="center"/>
          </w:tcPr>
          <w:p w14:paraId="46C4AA40">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需求分析</w:t>
            </w:r>
          </w:p>
        </w:tc>
        <w:tc>
          <w:tcPr>
            <w:tcW w:w="6729" w:type="dxa"/>
            <w:tcBorders>
              <w:top w:val="nil"/>
              <w:left w:val="nil"/>
              <w:bottom w:val="single" w:color="auto" w:sz="4" w:space="0"/>
              <w:right w:val="single" w:color="auto" w:sz="4" w:space="0"/>
            </w:tcBorders>
            <w:noWrap/>
            <w:vAlign w:val="center"/>
          </w:tcPr>
          <w:p w14:paraId="1CDF7AF1">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掌握需求分析的方法和技巧，能够根据用户需求编写需求规格说明书，进行需求分析和设计。</w:t>
            </w:r>
          </w:p>
        </w:tc>
      </w:tr>
      <w:tr w14:paraId="6F84D265">
        <w:trPr>
          <w:trHeight w:val="407" w:hRule="atLeast"/>
          <w:jc w:val="center"/>
        </w:trPr>
        <w:tc>
          <w:tcPr>
            <w:tcW w:w="735" w:type="dxa"/>
            <w:tcBorders>
              <w:top w:val="nil"/>
              <w:left w:val="single" w:color="auto" w:sz="4" w:space="0"/>
              <w:bottom w:val="single" w:color="auto" w:sz="4" w:space="0"/>
              <w:right w:val="single" w:color="auto" w:sz="4" w:space="0"/>
            </w:tcBorders>
            <w:noWrap/>
            <w:vAlign w:val="center"/>
          </w:tcPr>
          <w:p w14:paraId="65BA185C">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1360" w:type="dxa"/>
            <w:tcBorders>
              <w:top w:val="nil"/>
              <w:left w:val="nil"/>
              <w:bottom w:val="single" w:color="auto" w:sz="4" w:space="0"/>
              <w:right w:val="single" w:color="auto" w:sz="4" w:space="0"/>
            </w:tcBorders>
            <w:noWrap/>
            <w:vAlign w:val="center"/>
          </w:tcPr>
          <w:p w14:paraId="0DED95E0">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软件设计</w:t>
            </w:r>
          </w:p>
        </w:tc>
        <w:tc>
          <w:tcPr>
            <w:tcW w:w="6729" w:type="dxa"/>
            <w:tcBorders>
              <w:top w:val="nil"/>
              <w:left w:val="nil"/>
              <w:bottom w:val="single" w:color="auto" w:sz="4" w:space="0"/>
              <w:right w:val="single" w:color="auto" w:sz="4" w:space="0"/>
            </w:tcBorders>
            <w:noWrap/>
            <w:vAlign w:val="center"/>
          </w:tcPr>
          <w:p w14:paraId="7622E9E4">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了解软件设计的原则和方法，能够根据需求规格说明书进行软件设计，包括架构设计、模块设计、接口设计等。</w:t>
            </w:r>
          </w:p>
        </w:tc>
      </w:tr>
      <w:tr w14:paraId="3101DE0B">
        <w:trPr>
          <w:trHeight w:val="786" w:hRule="atLeast"/>
          <w:jc w:val="center"/>
        </w:trPr>
        <w:tc>
          <w:tcPr>
            <w:tcW w:w="735" w:type="dxa"/>
            <w:tcBorders>
              <w:top w:val="nil"/>
              <w:left w:val="single" w:color="auto" w:sz="4" w:space="0"/>
              <w:bottom w:val="single" w:color="auto" w:sz="4" w:space="0"/>
              <w:right w:val="single" w:color="auto" w:sz="4" w:space="0"/>
            </w:tcBorders>
            <w:noWrap/>
            <w:vAlign w:val="center"/>
          </w:tcPr>
          <w:p w14:paraId="779DF0F8">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1360" w:type="dxa"/>
            <w:tcBorders>
              <w:top w:val="nil"/>
              <w:left w:val="nil"/>
              <w:bottom w:val="single" w:color="auto" w:sz="4" w:space="0"/>
              <w:right w:val="single" w:color="auto" w:sz="4" w:space="0"/>
            </w:tcBorders>
            <w:noWrap/>
            <w:vAlign w:val="center"/>
          </w:tcPr>
          <w:p w14:paraId="337C4A8F">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编码实现</w:t>
            </w:r>
          </w:p>
        </w:tc>
        <w:tc>
          <w:tcPr>
            <w:tcW w:w="6729" w:type="dxa"/>
            <w:tcBorders>
              <w:top w:val="nil"/>
              <w:left w:val="nil"/>
              <w:bottom w:val="single" w:color="auto" w:sz="4" w:space="0"/>
              <w:right w:val="single" w:color="auto" w:sz="4" w:space="0"/>
            </w:tcBorders>
            <w:noWrap/>
            <w:vAlign w:val="center"/>
          </w:tcPr>
          <w:p w14:paraId="30535089">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掌握编码实现的技术和规范，能够根据软件设计进行编码实现，包括代码编写、调试、测试等。</w:t>
            </w:r>
          </w:p>
        </w:tc>
      </w:tr>
      <w:tr w14:paraId="5476071C">
        <w:trPr>
          <w:trHeight w:val="407" w:hRule="atLeast"/>
          <w:jc w:val="center"/>
        </w:trPr>
        <w:tc>
          <w:tcPr>
            <w:tcW w:w="735" w:type="dxa"/>
            <w:tcBorders>
              <w:top w:val="nil"/>
              <w:left w:val="single" w:color="auto" w:sz="4" w:space="0"/>
              <w:bottom w:val="single" w:color="auto" w:sz="4" w:space="0"/>
              <w:right w:val="single" w:color="auto" w:sz="4" w:space="0"/>
            </w:tcBorders>
            <w:noWrap/>
            <w:vAlign w:val="center"/>
          </w:tcPr>
          <w:p w14:paraId="17BA40E1">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1360" w:type="dxa"/>
            <w:tcBorders>
              <w:top w:val="nil"/>
              <w:left w:val="nil"/>
              <w:bottom w:val="single" w:color="auto" w:sz="4" w:space="0"/>
              <w:right w:val="single" w:color="auto" w:sz="4" w:space="0"/>
            </w:tcBorders>
            <w:noWrap/>
            <w:vAlign w:val="center"/>
          </w:tcPr>
          <w:p w14:paraId="700CFC81">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软件测试</w:t>
            </w:r>
          </w:p>
        </w:tc>
        <w:tc>
          <w:tcPr>
            <w:tcW w:w="6729" w:type="dxa"/>
            <w:tcBorders>
              <w:top w:val="nil"/>
              <w:left w:val="nil"/>
              <w:bottom w:val="single" w:color="auto" w:sz="4" w:space="0"/>
              <w:right w:val="single" w:color="auto" w:sz="4" w:space="0"/>
            </w:tcBorders>
            <w:noWrap/>
            <w:vAlign w:val="center"/>
          </w:tcPr>
          <w:p w14:paraId="44F18B32">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了解软件测试的方法和技巧，能够进行软件测试，包括单元测试、集成测试、系统测试等，确保软件质量。</w:t>
            </w:r>
          </w:p>
        </w:tc>
      </w:tr>
      <w:tr w14:paraId="63747532">
        <w:trPr>
          <w:trHeight w:val="407" w:hRule="atLeast"/>
          <w:jc w:val="center"/>
        </w:trPr>
        <w:tc>
          <w:tcPr>
            <w:tcW w:w="735" w:type="dxa"/>
            <w:tcBorders>
              <w:top w:val="nil"/>
              <w:left w:val="single" w:color="auto" w:sz="4" w:space="0"/>
              <w:bottom w:val="single" w:color="auto" w:sz="4" w:space="0"/>
              <w:right w:val="single" w:color="auto" w:sz="4" w:space="0"/>
            </w:tcBorders>
            <w:noWrap/>
            <w:vAlign w:val="center"/>
          </w:tcPr>
          <w:p w14:paraId="42119C47">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1360" w:type="dxa"/>
            <w:tcBorders>
              <w:top w:val="nil"/>
              <w:left w:val="nil"/>
              <w:bottom w:val="single" w:color="auto" w:sz="4" w:space="0"/>
              <w:right w:val="single" w:color="auto" w:sz="4" w:space="0"/>
            </w:tcBorders>
            <w:noWrap/>
            <w:vAlign w:val="center"/>
          </w:tcPr>
          <w:p w14:paraId="4A611D30">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软件维护</w:t>
            </w:r>
          </w:p>
        </w:tc>
        <w:tc>
          <w:tcPr>
            <w:tcW w:w="6729" w:type="dxa"/>
            <w:tcBorders>
              <w:top w:val="nil"/>
              <w:left w:val="nil"/>
              <w:bottom w:val="single" w:color="auto" w:sz="4" w:space="0"/>
              <w:right w:val="single" w:color="auto" w:sz="4" w:space="0"/>
            </w:tcBorders>
            <w:noWrap/>
            <w:vAlign w:val="center"/>
          </w:tcPr>
          <w:p w14:paraId="270D535D">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了解软件维护的方法和技巧，能够对软件进行维护和升级，包括BUG修复、功能扩展等。</w:t>
            </w:r>
          </w:p>
        </w:tc>
      </w:tr>
      <w:tr w14:paraId="61E4C822">
        <w:trPr>
          <w:trHeight w:val="407" w:hRule="atLeast"/>
          <w:jc w:val="center"/>
        </w:trPr>
        <w:tc>
          <w:tcPr>
            <w:tcW w:w="735" w:type="dxa"/>
            <w:tcBorders>
              <w:top w:val="nil"/>
              <w:left w:val="single" w:color="auto" w:sz="4" w:space="0"/>
              <w:bottom w:val="single" w:color="auto" w:sz="4" w:space="0"/>
              <w:right w:val="single" w:color="auto" w:sz="4" w:space="0"/>
            </w:tcBorders>
            <w:noWrap/>
            <w:vAlign w:val="center"/>
          </w:tcPr>
          <w:p w14:paraId="19C4489B">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6</w:t>
            </w:r>
          </w:p>
        </w:tc>
        <w:tc>
          <w:tcPr>
            <w:tcW w:w="1360" w:type="dxa"/>
            <w:tcBorders>
              <w:top w:val="nil"/>
              <w:left w:val="nil"/>
              <w:bottom w:val="single" w:color="auto" w:sz="4" w:space="0"/>
              <w:right w:val="single" w:color="auto" w:sz="4" w:space="0"/>
            </w:tcBorders>
            <w:noWrap/>
            <w:vAlign w:val="center"/>
          </w:tcPr>
          <w:p w14:paraId="672DC7F2">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项目管理</w:t>
            </w:r>
          </w:p>
        </w:tc>
        <w:tc>
          <w:tcPr>
            <w:tcW w:w="6729" w:type="dxa"/>
            <w:tcBorders>
              <w:top w:val="nil"/>
              <w:left w:val="nil"/>
              <w:bottom w:val="single" w:color="auto" w:sz="4" w:space="0"/>
              <w:right w:val="single" w:color="auto" w:sz="4" w:space="0"/>
            </w:tcBorders>
            <w:noWrap/>
            <w:vAlign w:val="center"/>
          </w:tcPr>
          <w:p w14:paraId="5B01CF0C">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了解项目管理的方法和工具，能够进行项目计划制定、进度控制、风险管理等，确保项目按时按质完成。</w:t>
            </w:r>
          </w:p>
        </w:tc>
      </w:tr>
      <w:tr w14:paraId="60290837">
        <w:trPr>
          <w:trHeight w:val="407" w:hRule="atLeast"/>
          <w:jc w:val="center"/>
        </w:trPr>
        <w:tc>
          <w:tcPr>
            <w:tcW w:w="735" w:type="dxa"/>
            <w:tcBorders>
              <w:top w:val="nil"/>
              <w:left w:val="single" w:color="auto" w:sz="4" w:space="0"/>
              <w:bottom w:val="single" w:color="auto" w:sz="4" w:space="0"/>
              <w:right w:val="single" w:color="auto" w:sz="4" w:space="0"/>
            </w:tcBorders>
            <w:noWrap/>
            <w:vAlign w:val="center"/>
          </w:tcPr>
          <w:p w14:paraId="6F2C300A">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7</w:t>
            </w:r>
          </w:p>
        </w:tc>
        <w:tc>
          <w:tcPr>
            <w:tcW w:w="1360" w:type="dxa"/>
            <w:tcBorders>
              <w:top w:val="nil"/>
              <w:left w:val="nil"/>
              <w:bottom w:val="single" w:color="auto" w:sz="4" w:space="0"/>
              <w:right w:val="single" w:color="auto" w:sz="4" w:space="0"/>
            </w:tcBorders>
            <w:noWrap/>
            <w:vAlign w:val="center"/>
          </w:tcPr>
          <w:p w14:paraId="5F9F8707">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团队协作</w:t>
            </w:r>
          </w:p>
        </w:tc>
        <w:tc>
          <w:tcPr>
            <w:tcW w:w="6729" w:type="dxa"/>
            <w:tcBorders>
              <w:top w:val="nil"/>
              <w:left w:val="nil"/>
              <w:bottom w:val="single" w:color="auto" w:sz="4" w:space="0"/>
              <w:right w:val="single" w:color="auto" w:sz="4" w:space="0"/>
            </w:tcBorders>
            <w:noWrap/>
            <w:vAlign w:val="center"/>
          </w:tcPr>
          <w:p w14:paraId="7BD50AA7">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具备良好的团队协作能力，能够与团队成员进行有效的沟通和协作，共同完成软件开发任务。</w:t>
            </w:r>
          </w:p>
        </w:tc>
      </w:tr>
      <w:tr w14:paraId="1367889C">
        <w:trPr>
          <w:trHeight w:val="786" w:hRule="atLeast"/>
          <w:jc w:val="center"/>
        </w:trPr>
        <w:tc>
          <w:tcPr>
            <w:tcW w:w="735" w:type="dxa"/>
            <w:tcBorders>
              <w:top w:val="nil"/>
              <w:left w:val="single" w:color="auto" w:sz="4" w:space="0"/>
              <w:bottom w:val="single" w:color="auto" w:sz="4" w:space="0"/>
              <w:right w:val="single" w:color="auto" w:sz="4" w:space="0"/>
            </w:tcBorders>
            <w:noWrap/>
            <w:vAlign w:val="center"/>
          </w:tcPr>
          <w:p w14:paraId="0AAE2186">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8</w:t>
            </w:r>
          </w:p>
        </w:tc>
        <w:tc>
          <w:tcPr>
            <w:tcW w:w="1360" w:type="dxa"/>
            <w:tcBorders>
              <w:top w:val="nil"/>
              <w:left w:val="nil"/>
              <w:bottom w:val="single" w:color="auto" w:sz="4" w:space="0"/>
              <w:right w:val="single" w:color="auto" w:sz="4" w:space="0"/>
            </w:tcBorders>
            <w:noWrap/>
            <w:vAlign w:val="center"/>
          </w:tcPr>
          <w:p w14:paraId="299D7F42">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学习能力</w:t>
            </w:r>
          </w:p>
        </w:tc>
        <w:tc>
          <w:tcPr>
            <w:tcW w:w="6729" w:type="dxa"/>
            <w:tcBorders>
              <w:top w:val="nil"/>
              <w:left w:val="nil"/>
              <w:bottom w:val="single" w:color="auto" w:sz="4" w:space="0"/>
              <w:right w:val="single" w:color="auto" w:sz="4" w:space="0"/>
            </w:tcBorders>
            <w:noWrap/>
            <w:vAlign w:val="center"/>
          </w:tcPr>
          <w:p w14:paraId="1E748B1E">
            <w:pPr>
              <w:spacing w:line="440" w:lineRule="exact"/>
              <w:jc w:val="left"/>
              <w:rPr>
                <w:rFonts w:ascii="Times New Roman" w:hAnsi="Times New Roman" w:eastAsia="仿宋_GB2312" w:cs="Times New Roman"/>
                <w:sz w:val="24"/>
              </w:rPr>
            </w:pPr>
            <w:r>
              <w:rPr>
                <w:rFonts w:ascii="Times New Roman" w:hAnsi="Times New Roman" w:eastAsia="仿宋_GB2312" w:cs="Times New Roman"/>
                <w:sz w:val="24"/>
              </w:rPr>
              <w:t>具备快速学习新知识和技术的能力，能够不断学习和掌握新的技术和工具，提升自己的职业素养和竞争力。</w:t>
            </w:r>
          </w:p>
        </w:tc>
      </w:tr>
    </w:tbl>
    <w:p w14:paraId="03CF272C">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技术环境</w:t>
      </w:r>
    </w:p>
    <w:p w14:paraId="76B4617A">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（一）竞赛环境</w:t>
      </w:r>
    </w:p>
    <w:p w14:paraId="68CCDF6C">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竞赛场地包括参赛选手竞赛区域、展示平台区、裁判区、技术支持区、检录区、服务区。</w:t>
      </w:r>
    </w:p>
    <w:p w14:paraId="0FABA201">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1.参赛选手竞赛区。每个竞赛工位需标有醒目的工位编号，各工位间距大于1.5m，每个工位面积大于</w:t>
      </w:r>
      <w:r>
        <w:rPr>
          <w:rFonts w:hint="eastAsia" w:ascii="Times New Roman" w:hAnsi="Times New Roman" w:eastAsia="仿宋_GB2312" w:cs="Times New Roman"/>
          <w:sz w:val="28"/>
          <w:szCs w:val="28"/>
        </w:rPr>
        <w:t>8</w:t>
      </w:r>
      <w:r>
        <w:rPr>
          <w:rFonts w:ascii="Times New Roman" w:hAnsi="Times New Roman" w:eastAsia="仿宋_GB2312" w:cs="Times New Roman"/>
          <w:sz w:val="28"/>
          <w:szCs w:val="28"/>
        </w:rPr>
        <w:t>㎡，每个工位保证独立用电单元（安装漏电保护开关），确保参赛队之间互不干扰。赛场要求竞赛过程全程无死角视频监控，监控录像保存3个月。环境标准要求保证赛场采光（大于500lux）、照明和通风良好，提供稳定的水、电，并提供应急的备用电源，提供足够的干粉灭火器材。</w:t>
      </w:r>
    </w:p>
    <w:p w14:paraId="40165EC3">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2.展示平台区。需要与比赛场地分开的隔离带，供参赛队领队、指导教师及工作人员休息，并开展其他相关活动。</w:t>
      </w:r>
    </w:p>
    <w:p w14:paraId="76486222">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3.裁判区。供裁判休息及工作场地。共配有服务器1台，计算机20台、桌椅20套，A4激光打印机1台，饮水机、纸杯、文具用品若干。</w:t>
      </w:r>
    </w:p>
    <w:p w14:paraId="736C8A81">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4.技术支持区。技术支持人员的工作场地。</w:t>
      </w:r>
    </w:p>
    <w:p w14:paraId="45122F0E">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5.检录区。参赛选手检录区域。</w:t>
      </w:r>
    </w:p>
    <w:p w14:paraId="321C6382">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6.服务区。配备常用药品、消毒用品等急救用品，提供医疗等服务保障，并用隔离带隔离。</w:t>
      </w:r>
    </w:p>
    <w:p w14:paraId="12B8B850">
      <w:pPr>
        <w:jc w:val="center"/>
        <w:rPr>
          <w:rFonts w:ascii="Times New Roman" w:hAnsi="Times New Roman" w:cs="Times New Roman"/>
        </w:rPr>
      </w:pPr>
      <w:r>
        <w:rPr>
          <w:rFonts w:ascii="Times New Roman" w:hAnsi="Times New Roman" w:cs="Times New Roman"/>
        </w:rPr>
        <w:drawing>
          <wp:inline distT="0" distB="0" distL="114300" distR="114300">
            <wp:extent cx="4455795" cy="2536825"/>
            <wp:effectExtent l="0" t="0" r="1905" b="3175"/>
            <wp:docPr id="3"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
                    <pic:cNvPicPr>
                      <a:picLocks noChangeAspect="1"/>
                    </pic:cNvPicPr>
                  </pic:nvPicPr>
                  <pic:blipFill>
                    <a:blip r:embed="rId5"/>
                    <a:stretch>
                      <a:fillRect/>
                    </a:stretch>
                  </pic:blipFill>
                  <pic:spPr>
                    <a:xfrm>
                      <a:off x="0" y="0"/>
                      <a:ext cx="4455795" cy="2536825"/>
                    </a:xfrm>
                    <a:prstGeom prst="rect">
                      <a:avLst/>
                    </a:prstGeom>
                    <a:noFill/>
                    <a:ln>
                      <a:noFill/>
                    </a:ln>
                  </pic:spPr>
                </pic:pic>
              </a:graphicData>
            </a:graphic>
          </wp:inline>
        </w:drawing>
      </w:r>
    </w:p>
    <w:p w14:paraId="20467B82">
      <w:pPr>
        <w:adjustRightInd w:val="0"/>
        <w:snapToGrid w:val="0"/>
        <w:spacing w:line="360" w:lineRule="auto"/>
        <w:ind w:right="210" w:rightChars="100"/>
        <w:jc w:val="center"/>
        <w:rPr>
          <w:rFonts w:ascii="Times New Roman" w:hAnsi="Times New Roman" w:eastAsia="黑体" w:cs="Times New Roman"/>
          <w:bCs/>
          <w:sz w:val="24"/>
        </w:rPr>
      </w:pPr>
      <w:r>
        <w:rPr>
          <w:rFonts w:ascii="Times New Roman" w:hAnsi="Times New Roman" w:eastAsia="黑体" w:cs="Times New Roman"/>
          <w:bCs/>
          <w:sz w:val="24"/>
        </w:rPr>
        <w:t>图</w:t>
      </w:r>
      <w:r>
        <w:rPr>
          <w:rFonts w:hint="eastAsia" w:ascii="Times New Roman" w:hAnsi="Times New Roman" w:eastAsia="黑体" w:cs="Times New Roman"/>
          <w:bCs/>
          <w:sz w:val="24"/>
        </w:rPr>
        <w:t>2</w:t>
      </w:r>
      <w:r>
        <w:rPr>
          <w:rFonts w:ascii="Times New Roman" w:hAnsi="Times New Roman" w:eastAsia="黑体" w:cs="Times New Roman"/>
          <w:bCs/>
          <w:sz w:val="24"/>
        </w:rPr>
        <w:t xml:space="preserve"> 竞赛场地网络布局图</w:t>
      </w:r>
    </w:p>
    <w:p w14:paraId="55F3A488">
      <w:pPr>
        <w:pStyle w:val="2"/>
        <w:spacing w:after="0" w:line="360" w:lineRule="auto"/>
        <w:ind w:firstLine="281"/>
        <w:rPr>
          <w:rFonts w:ascii="Times New Roman" w:hAnsi="Times New Roman" w:eastAsia="楷体"/>
          <w:b/>
          <w:bCs/>
          <w:sz w:val="28"/>
          <w:szCs w:val="28"/>
        </w:rPr>
      </w:pPr>
    </w:p>
    <w:p w14:paraId="19360C92">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（二）硬件环境与配置</w:t>
      </w:r>
    </w:p>
    <w:p w14:paraId="465A2724">
      <w:pPr>
        <w:adjustRightInd w:val="0"/>
        <w:snapToGrid w:val="0"/>
        <w:spacing w:line="360" w:lineRule="auto"/>
        <w:ind w:right="210" w:rightChars="100"/>
        <w:jc w:val="center"/>
        <w:rPr>
          <w:rFonts w:ascii="Times New Roman" w:hAnsi="Times New Roman" w:eastAsia="黑体" w:cs="Times New Roman"/>
          <w:bCs/>
          <w:sz w:val="24"/>
        </w:rPr>
      </w:pPr>
      <w:r>
        <w:rPr>
          <w:rFonts w:ascii="Times New Roman" w:hAnsi="Times New Roman" w:eastAsia="黑体" w:cs="Times New Roman"/>
          <w:bCs/>
          <w:sz w:val="24"/>
        </w:rPr>
        <w:t>表</w:t>
      </w:r>
      <w:r>
        <w:rPr>
          <w:rFonts w:hint="eastAsia" w:ascii="Times New Roman" w:hAnsi="Times New Roman" w:eastAsia="黑体" w:cs="Times New Roman"/>
          <w:bCs/>
          <w:sz w:val="24"/>
        </w:rPr>
        <w:t>6</w:t>
      </w:r>
      <w:r>
        <w:rPr>
          <w:rFonts w:ascii="Times New Roman" w:hAnsi="Times New Roman" w:eastAsia="黑体" w:cs="Times New Roman"/>
          <w:bCs/>
          <w:sz w:val="24"/>
        </w:rPr>
        <w:t xml:space="preserve"> 竞赛硬件环境及配置一览表</w:t>
      </w:r>
    </w:p>
    <w:tbl>
      <w:tblPr>
        <w:tblStyle w:val="14"/>
        <w:tblW w:w="5006" w:type="pct"/>
        <w:tblInd w:w="-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17"/>
        <w:gridCol w:w="1338"/>
        <w:gridCol w:w="4705"/>
        <w:gridCol w:w="1462"/>
      </w:tblGrid>
      <w:tr w14:paraId="61DEC838">
        <w:trPr>
          <w:trHeight w:val="462" w:hRule="atLeast"/>
        </w:trPr>
        <w:tc>
          <w:tcPr>
            <w:tcW w:w="491" w:type="pct"/>
            <w:shd w:val="clear" w:color="auto" w:fill="FFFFFF"/>
            <w:vAlign w:val="center"/>
          </w:tcPr>
          <w:p w14:paraId="0B54B9B4">
            <w:pPr>
              <w:widowControl/>
              <w:jc w:val="center"/>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序号</w:t>
            </w:r>
          </w:p>
        </w:tc>
        <w:tc>
          <w:tcPr>
            <w:tcW w:w="804" w:type="pct"/>
            <w:shd w:val="clear" w:color="auto" w:fill="FFFFFF"/>
            <w:vAlign w:val="center"/>
          </w:tcPr>
          <w:p w14:paraId="189EFE51">
            <w:pPr>
              <w:widowControl/>
              <w:jc w:val="center"/>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设备名称</w:t>
            </w:r>
          </w:p>
        </w:tc>
        <w:tc>
          <w:tcPr>
            <w:tcW w:w="2826" w:type="pct"/>
            <w:shd w:val="clear" w:color="auto" w:fill="FFFFFF"/>
            <w:vAlign w:val="center"/>
          </w:tcPr>
          <w:p w14:paraId="49D8AFFC">
            <w:pPr>
              <w:widowControl/>
              <w:jc w:val="center"/>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配置要求</w:t>
            </w:r>
          </w:p>
        </w:tc>
        <w:tc>
          <w:tcPr>
            <w:tcW w:w="878" w:type="pct"/>
            <w:shd w:val="clear" w:color="auto" w:fill="FFFFFF"/>
            <w:vAlign w:val="center"/>
          </w:tcPr>
          <w:p w14:paraId="1B882316">
            <w:pPr>
              <w:widowControl/>
              <w:jc w:val="center"/>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数量</w:t>
            </w:r>
          </w:p>
        </w:tc>
      </w:tr>
      <w:tr w14:paraId="113D1994">
        <w:tc>
          <w:tcPr>
            <w:tcW w:w="491" w:type="pct"/>
            <w:vAlign w:val="center"/>
          </w:tcPr>
          <w:p w14:paraId="59F5DD02">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c>
          <w:tcPr>
            <w:tcW w:w="804" w:type="pct"/>
            <w:vAlign w:val="center"/>
          </w:tcPr>
          <w:p w14:paraId="751613AF">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计算机</w:t>
            </w:r>
          </w:p>
        </w:tc>
        <w:tc>
          <w:tcPr>
            <w:tcW w:w="2826" w:type="pct"/>
            <w:vAlign w:val="center"/>
          </w:tcPr>
          <w:p w14:paraId="498BED97">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操作系统：Windows 10专业版 （64位）</w:t>
            </w:r>
          </w:p>
          <w:p w14:paraId="7D3FA484">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处理器：i5 及以上处理器</w:t>
            </w:r>
          </w:p>
          <w:p w14:paraId="5444BE38">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内存：16GB 及以上</w:t>
            </w:r>
          </w:p>
          <w:p w14:paraId="65E082E9">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硬盘：256GB固态硬盘及以上</w:t>
            </w:r>
          </w:p>
          <w:p w14:paraId="6D2B89BB">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显示器：23寸1920×1080分辨率及以上</w:t>
            </w:r>
          </w:p>
          <w:p w14:paraId="66EEB3D1">
            <w:pPr>
              <w:numPr>
                <w:ilvl w:val="0"/>
                <w:numId w:val="3"/>
              </w:numPr>
              <w:spacing w:line="440" w:lineRule="exact"/>
              <w:ind w:left="0" w:firstLine="0"/>
              <w:jc w:val="left"/>
              <w:rPr>
                <w:rFonts w:ascii="Times New Roman" w:hAnsi="Times New Roman" w:cs="Times New Roman"/>
                <w:sz w:val="24"/>
              </w:rPr>
            </w:pPr>
            <w:r>
              <w:rPr>
                <w:rFonts w:ascii="Times New Roman" w:hAnsi="Times New Roman" w:eastAsia="仿宋_GB2312" w:cs="Times New Roman"/>
                <w:color w:val="000000"/>
                <w:sz w:val="24"/>
              </w:rPr>
              <w:t>有线网卡：1000Mbps以太网卡</w:t>
            </w:r>
          </w:p>
        </w:tc>
        <w:tc>
          <w:tcPr>
            <w:tcW w:w="878" w:type="pct"/>
            <w:vAlign w:val="center"/>
          </w:tcPr>
          <w:p w14:paraId="4339CB7C">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4台/每队</w:t>
            </w:r>
          </w:p>
          <w:p w14:paraId="7CC9D5A9">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（含3台开发机、1台服务器）</w:t>
            </w:r>
          </w:p>
        </w:tc>
      </w:tr>
      <w:tr w14:paraId="47D77562">
        <w:tc>
          <w:tcPr>
            <w:tcW w:w="491" w:type="pct"/>
            <w:vAlign w:val="center"/>
          </w:tcPr>
          <w:p w14:paraId="72A6F42C">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2</w:t>
            </w:r>
          </w:p>
        </w:tc>
        <w:tc>
          <w:tcPr>
            <w:tcW w:w="804" w:type="pct"/>
            <w:vAlign w:val="center"/>
          </w:tcPr>
          <w:p w14:paraId="33498C01">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路由器</w:t>
            </w:r>
          </w:p>
        </w:tc>
        <w:tc>
          <w:tcPr>
            <w:tcW w:w="2826" w:type="pct"/>
            <w:vAlign w:val="center"/>
          </w:tcPr>
          <w:p w14:paraId="28A40B46">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千兆端口</w:t>
            </w:r>
          </w:p>
          <w:p w14:paraId="412E3773">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Wan口数量：1个</w:t>
            </w:r>
          </w:p>
          <w:p w14:paraId="5CA1F678">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LAN口数量：4个及以上</w:t>
            </w:r>
          </w:p>
        </w:tc>
        <w:tc>
          <w:tcPr>
            <w:tcW w:w="878" w:type="pct"/>
            <w:vAlign w:val="center"/>
          </w:tcPr>
          <w:p w14:paraId="3ED6396F">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1台/每队</w:t>
            </w:r>
          </w:p>
        </w:tc>
      </w:tr>
      <w:tr w14:paraId="64C14D64">
        <w:tc>
          <w:tcPr>
            <w:tcW w:w="491" w:type="pct"/>
            <w:vAlign w:val="center"/>
          </w:tcPr>
          <w:p w14:paraId="5E7250F5">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3</w:t>
            </w:r>
          </w:p>
        </w:tc>
        <w:tc>
          <w:tcPr>
            <w:tcW w:w="804" w:type="pct"/>
            <w:vAlign w:val="center"/>
          </w:tcPr>
          <w:p w14:paraId="15A8E593">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竞赛服务器</w:t>
            </w:r>
          </w:p>
        </w:tc>
        <w:tc>
          <w:tcPr>
            <w:tcW w:w="2826" w:type="pct"/>
            <w:vAlign w:val="center"/>
          </w:tcPr>
          <w:p w14:paraId="3F85EECC">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双路至强处理器32核心 64线程及以上，128G及以上内存，512G及以上固态硬盘，显示器分辨率1920×1080及以上，千兆网络接口，USB接口</w:t>
            </w:r>
          </w:p>
          <w:p w14:paraId="6DBD18AE">
            <w:pPr>
              <w:numPr>
                <w:ilvl w:val="0"/>
                <w:numId w:val="3"/>
              </w:numPr>
              <w:spacing w:line="440" w:lineRule="exact"/>
              <w:ind w:left="0" w:firstLine="0"/>
              <w:jc w:val="left"/>
              <w:rPr>
                <w:rFonts w:ascii="Times New Roman" w:hAnsi="Times New Roman" w:eastAsia="仿宋_GB2312" w:cs="Times New Roman"/>
                <w:sz w:val="24"/>
              </w:rPr>
            </w:pPr>
            <w:r>
              <w:rPr>
                <w:rFonts w:ascii="Times New Roman" w:hAnsi="Times New Roman" w:eastAsia="仿宋_GB2312" w:cs="Times New Roman"/>
                <w:color w:val="000000"/>
                <w:sz w:val="24"/>
              </w:rPr>
              <w:t>Windows Server操作系统</w:t>
            </w:r>
          </w:p>
          <w:p w14:paraId="514EA748">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部署本地资源服务</w:t>
            </w:r>
          </w:p>
          <w:p w14:paraId="4547E2AD">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支持虚拟化服务</w:t>
            </w:r>
          </w:p>
        </w:tc>
        <w:tc>
          <w:tcPr>
            <w:tcW w:w="878" w:type="pct"/>
            <w:vAlign w:val="center"/>
          </w:tcPr>
          <w:p w14:paraId="3843C41E">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1台</w:t>
            </w:r>
          </w:p>
        </w:tc>
      </w:tr>
      <w:tr w14:paraId="7045FDEA">
        <w:tc>
          <w:tcPr>
            <w:tcW w:w="491" w:type="pct"/>
            <w:vAlign w:val="center"/>
          </w:tcPr>
          <w:p w14:paraId="2641DCE6">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4</w:t>
            </w:r>
          </w:p>
        </w:tc>
        <w:tc>
          <w:tcPr>
            <w:tcW w:w="804" w:type="pct"/>
            <w:vAlign w:val="center"/>
          </w:tcPr>
          <w:p w14:paraId="0D62B4DC">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交换机</w:t>
            </w:r>
          </w:p>
        </w:tc>
        <w:tc>
          <w:tcPr>
            <w:tcW w:w="2826" w:type="pct"/>
            <w:vAlign w:val="center"/>
          </w:tcPr>
          <w:p w14:paraId="586D3C3F">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端口：48口（千兆）</w:t>
            </w:r>
          </w:p>
          <w:p w14:paraId="03F2BA28">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网管类型：网管</w:t>
            </w:r>
          </w:p>
          <w:p w14:paraId="2EE454DE">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层级：三层企业级网络交换机</w:t>
            </w:r>
          </w:p>
          <w:p w14:paraId="75E8C39F">
            <w:pPr>
              <w:numPr>
                <w:ilvl w:val="0"/>
                <w:numId w:val="3"/>
              </w:numPr>
              <w:spacing w:line="440" w:lineRule="exact"/>
              <w:ind w:left="0" w:firstLine="0"/>
              <w:jc w:val="left"/>
              <w:rPr>
                <w:rFonts w:ascii="Times New Roman" w:hAnsi="Times New Roman" w:eastAsia="仿宋_GB2312" w:cs="Times New Roman"/>
                <w:color w:val="000000"/>
                <w:sz w:val="24"/>
              </w:rPr>
            </w:pPr>
            <w:r>
              <w:rPr>
                <w:rFonts w:ascii="Times New Roman" w:hAnsi="Times New Roman" w:eastAsia="仿宋_GB2312" w:cs="Times New Roman"/>
                <w:color w:val="000000"/>
                <w:sz w:val="24"/>
              </w:rPr>
              <w:t>特性：支持VLAN、WEB网管、端口隔离、ACL IP扩展等特性</w:t>
            </w:r>
          </w:p>
        </w:tc>
        <w:tc>
          <w:tcPr>
            <w:tcW w:w="878" w:type="pct"/>
            <w:vAlign w:val="center"/>
          </w:tcPr>
          <w:p w14:paraId="7E7476F3">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3台</w:t>
            </w:r>
          </w:p>
        </w:tc>
      </w:tr>
    </w:tbl>
    <w:p w14:paraId="7E61F43C">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（三）软件环境与版本</w:t>
      </w:r>
    </w:p>
    <w:p w14:paraId="1E0758D6">
      <w:pPr>
        <w:adjustRightInd w:val="0"/>
        <w:snapToGrid w:val="0"/>
        <w:spacing w:line="360" w:lineRule="auto"/>
        <w:ind w:right="210" w:rightChars="100"/>
        <w:jc w:val="center"/>
        <w:rPr>
          <w:rFonts w:ascii="Times New Roman" w:hAnsi="Times New Roman" w:eastAsia="黑体" w:cs="Times New Roman"/>
          <w:bCs/>
          <w:sz w:val="24"/>
        </w:rPr>
      </w:pPr>
      <w:r>
        <w:rPr>
          <w:rFonts w:ascii="Times New Roman" w:hAnsi="Times New Roman" w:eastAsia="黑体" w:cs="Times New Roman"/>
          <w:bCs/>
          <w:sz w:val="24"/>
        </w:rPr>
        <w:t>表</w:t>
      </w:r>
      <w:r>
        <w:rPr>
          <w:rFonts w:hint="eastAsia" w:ascii="Times New Roman" w:hAnsi="Times New Roman" w:eastAsia="黑体" w:cs="Times New Roman"/>
          <w:bCs/>
          <w:sz w:val="24"/>
        </w:rPr>
        <w:t>7</w:t>
      </w:r>
      <w:r>
        <w:rPr>
          <w:rFonts w:ascii="Times New Roman" w:hAnsi="Times New Roman" w:eastAsia="黑体" w:cs="Times New Roman"/>
          <w:bCs/>
          <w:sz w:val="24"/>
        </w:rPr>
        <w:t xml:space="preserve"> 竞赛软件开发环境及版本一览表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5"/>
        <w:gridCol w:w="2235"/>
        <w:gridCol w:w="3095"/>
        <w:gridCol w:w="989"/>
        <w:gridCol w:w="858"/>
      </w:tblGrid>
      <w:tr w14:paraId="78B77292">
        <w:trPr>
          <w:tblHeader/>
          <w:jc w:val="center"/>
        </w:trPr>
        <w:tc>
          <w:tcPr>
            <w:tcW w:w="789" w:type="pct"/>
            <w:shd w:val="clear" w:color="auto" w:fill="FFFFFF"/>
            <w:vAlign w:val="center"/>
          </w:tcPr>
          <w:p w14:paraId="1304DBA9">
            <w:pPr>
              <w:widowControl/>
              <w:jc w:val="center"/>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类别</w:t>
            </w:r>
          </w:p>
        </w:tc>
        <w:tc>
          <w:tcPr>
            <w:tcW w:w="1311" w:type="pct"/>
            <w:shd w:val="clear" w:color="auto" w:fill="FFFFFF"/>
            <w:vAlign w:val="center"/>
          </w:tcPr>
          <w:p w14:paraId="0DA07567">
            <w:pPr>
              <w:jc w:val="center"/>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名称</w:t>
            </w:r>
          </w:p>
        </w:tc>
        <w:tc>
          <w:tcPr>
            <w:tcW w:w="1815" w:type="pct"/>
            <w:shd w:val="clear" w:color="auto" w:fill="FFFFFF"/>
            <w:vAlign w:val="center"/>
          </w:tcPr>
          <w:p w14:paraId="56628087">
            <w:pPr>
              <w:jc w:val="center"/>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版本</w:t>
            </w:r>
          </w:p>
        </w:tc>
        <w:tc>
          <w:tcPr>
            <w:tcW w:w="580" w:type="pct"/>
            <w:shd w:val="clear" w:color="auto" w:fill="FFFFFF"/>
            <w:vAlign w:val="center"/>
          </w:tcPr>
          <w:p w14:paraId="57473EFF">
            <w:pPr>
              <w:jc w:val="center"/>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单位</w:t>
            </w:r>
          </w:p>
        </w:tc>
        <w:tc>
          <w:tcPr>
            <w:tcW w:w="503" w:type="pct"/>
            <w:shd w:val="clear" w:color="auto" w:fill="FFFFFF"/>
            <w:vAlign w:val="center"/>
          </w:tcPr>
          <w:p w14:paraId="4AE99FE0">
            <w:pPr>
              <w:jc w:val="center"/>
              <w:rPr>
                <w:rFonts w:ascii="Times New Roman" w:hAnsi="Times New Roman" w:eastAsia="仿宋_GB2312" w:cs="Times New Roman"/>
                <w:b/>
                <w:bCs/>
                <w:color w:val="000000"/>
                <w:sz w:val="24"/>
              </w:rPr>
            </w:pPr>
            <w:r>
              <w:rPr>
                <w:rFonts w:ascii="Times New Roman" w:hAnsi="Times New Roman" w:eastAsia="仿宋_GB2312" w:cs="Times New Roman"/>
                <w:b/>
                <w:bCs/>
                <w:color w:val="000000"/>
                <w:sz w:val="24"/>
              </w:rPr>
              <w:t>数量</w:t>
            </w:r>
          </w:p>
        </w:tc>
      </w:tr>
      <w:tr w14:paraId="1F9316BF">
        <w:trPr>
          <w:jc w:val="center"/>
        </w:trPr>
        <w:tc>
          <w:tcPr>
            <w:tcW w:w="789" w:type="pct"/>
            <w:vAlign w:val="center"/>
          </w:tcPr>
          <w:p w14:paraId="75F9A7D7">
            <w:pPr>
              <w:widowControl/>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操作系统</w:t>
            </w:r>
          </w:p>
        </w:tc>
        <w:tc>
          <w:tcPr>
            <w:tcW w:w="1311" w:type="pct"/>
            <w:vAlign w:val="center"/>
          </w:tcPr>
          <w:p w14:paraId="380083D5">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Windows10</w:t>
            </w:r>
          </w:p>
        </w:tc>
        <w:tc>
          <w:tcPr>
            <w:tcW w:w="1815" w:type="pct"/>
            <w:vAlign w:val="center"/>
          </w:tcPr>
          <w:p w14:paraId="03EC25AB">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Windows 10专业版 （64位）</w:t>
            </w:r>
          </w:p>
        </w:tc>
        <w:tc>
          <w:tcPr>
            <w:tcW w:w="580" w:type="pct"/>
            <w:vAlign w:val="center"/>
          </w:tcPr>
          <w:p w14:paraId="24E994E0">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7726CAE8">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35E71E6E">
        <w:trPr>
          <w:jc w:val="center"/>
        </w:trPr>
        <w:tc>
          <w:tcPr>
            <w:tcW w:w="789" w:type="pct"/>
            <w:vMerge w:val="restart"/>
            <w:vAlign w:val="center"/>
          </w:tcPr>
          <w:p w14:paraId="6C87B2A8">
            <w:pPr>
              <w:widowControl/>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开发工具</w:t>
            </w:r>
          </w:p>
        </w:tc>
        <w:tc>
          <w:tcPr>
            <w:tcW w:w="1311" w:type="pct"/>
            <w:vAlign w:val="center"/>
          </w:tcPr>
          <w:p w14:paraId="298546DC">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Adobe Photoshop</w:t>
            </w:r>
          </w:p>
        </w:tc>
        <w:tc>
          <w:tcPr>
            <w:tcW w:w="1815" w:type="pct"/>
            <w:vAlign w:val="center"/>
          </w:tcPr>
          <w:p w14:paraId="0E466CEA">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Version 2019</w:t>
            </w:r>
          </w:p>
        </w:tc>
        <w:tc>
          <w:tcPr>
            <w:tcW w:w="580" w:type="pct"/>
            <w:vAlign w:val="center"/>
          </w:tcPr>
          <w:p w14:paraId="25E5EE0D">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515C3D87">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54B48D52">
        <w:trPr>
          <w:jc w:val="center"/>
        </w:trPr>
        <w:tc>
          <w:tcPr>
            <w:tcW w:w="789" w:type="pct"/>
            <w:vMerge w:val="continue"/>
            <w:vAlign w:val="center"/>
          </w:tcPr>
          <w:p w14:paraId="17487CD7">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699C56FA">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sz w:val="24"/>
              </w:rPr>
              <w:t>Axure RP</w:t>
            </w:r>
          </w:p>
        </w:tc>
        <w:tc>
          <w:tcPr>
            <w:tcW w:w="1815" w:type="pct"/>
            <w:vAlign w:val="center"/>
          </w:tcPr>
          <w:p w14:paraId="5DD2C21A">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Version 9.0</w:t>
            </w:r>
          </w:p>
        </w:tc>
        <w:tc>
          <w:tcPr>
            <w:tcW w:w="580" w:type="pct"/>
            <w:vAlign w:val="center"/>
          </w:tcPr>
          <w:p w14:paraId="04AE5516">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3D0E1747">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3C32737B">
        <w:trPr>
          <w:jc w:val="center"/>
        </w:trPr>
        <w:tc>
          <w:tcPr>
            <w:tcW w:w="789" w:type="pct"/>
            <w:vMerge w:val="continue"/>
            <w:vAlign w:val="center"/>
          </w:tcPr>
          <w:p w14:paraId="7C91B5D2">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014A8D99">
            <w:pPr>
              <w:pStyle w:val="7"/>
              <w:widowControl/>
              <w:jc w:val="center"/>
              <w:textAlignment w:val="baseline"/>
              <w:rPr>
                <w:rFonts w:hint="default" w:ascii="Times New Roman" w:hAnsi="Times New Roman" w:eastAsia="仿宋_GB2312"/>
              </w:rPr>
            </w:pPr>
            <w:r>
              <w:rPr>
                <w:rFonts w:hint="default" w:ascii="Times New Roman" w:hAnsi="Times New Roman" w:eastAsia="仿宋_GB2312"/>
                <w:b w:val="0"/>
                <w:bCs w:val="0"/>
                <w:color w:val="000000"/>
                <w:kern w:val="2"/>
              </w:rPr>
              <w:t xml:space="preserve">IntelliJ IDEA </w:t>
            </w:r>
          </w:p>
        </w:tc>
        <w:tc>
          <w:tcPr>
            <w:tcW w:w="1815" w:type="pct"/>
            <w:vAlign w:val="center"/>
          </w:tcPr>
          <w:p w14:paraId="16DB8E65">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Version 2023.1</w:t>
            </w:r>
          </w:p>
        </w:tc>
        <w:tc>
          <w:tcPr>
            <w:tcW w:w="580" w:type="pct"/>
            <w:vAlign w:val="center"/>
          </w:tcPr>
          <w:p w14:paraId="2B58B40D">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0734BF97">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5299594B">
        <w:trPr>
          <w:jc w:val="center"/>
        </w:trPr>
        <w:tc>
          <w:tcPr>
            <w:tcW w:w="789" w:type="pct"/>
            <w:vMerge w:val="continue"/>
            <w:vAlign w:val="center"/>
          </w:tcPr>
          <w:p w14:paraId="75A0518A">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283D30BF">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Visual Studio Code</w:t>
            </w:r>
          </w:p>
        </w:tc>
        <w:tc>
          <w:tcPr>
            <w:tcW w:w="1815" w:type="pct"/>
            <w:vAlign w:val="center"/>
          </w:tcPr>
          <w:p w14:paraId="47944BC0">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 xml:space="preserve">Version </w:t>
            </w:r>
            <w:r>
              <w:rPr>
                <w:rFonts w:ascii="Times New Roman" w:hAnsi="Times New Roman" w:eastAsia="仿宋_GB2312" w:cs="Times New Roman"/>
                <w:sz w:val="24"/>
              </w:rPr>
              <w:t>1.77及以上</w:t>
            </w:r>
          </w:p>
        </w:tc>
        <w:tc>
          <w:tcPr>
            <w:tcW w:w="580" w:type="pct"/>
            <w:vAlign w:val="center"/>
          </w:tcPr>
          <w:p w14:paraId="5135CFE3">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0A70F5F8">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0C62A7C1">
        <w:trPr>
          <w:jc w:val="center"/>
        </w:trPr>
        <w:tc>
          <w:tcPr>
            <w:tcW w:w="789" w:type="pct"/>
            <w:vMerge w:val="continue"/>
            <w:vAlign w:val="center"/>
          </w:tcPr>
          <w:p w14:paraId="076F798A">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7D156C66">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HBuilder X</w:t>
            </w:r>
          </w:p>
        </w:tc>
        <w:tc>
          <w:tcPr>
            <w:tcW w:w="1815" w:type="pct"/>
            <w:vAlign w:val="center"/>
          </w:tcPr>
          <w:p w14:paraId="79B67DE5">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 xml:space="preserve">Version </w:t>
            </w:r>
            <w:r>
              <w:rPr>
                <w:rFonts w:ascii="Times New Roman" w:hAnsi="Times New Roman" w:eastAsia="仿宋_GB2312" w:cs="Times New Roman"/>
                <w:sz w:val="24"/>
              </w:rPr>
              <w:t>3.1.22</w:t>
            </w:r>
          </w:p>
        </w:tc>
        <w:tc>
          <w:tcPr>
            <w:tcW w:w="580" w:type="pct"/>
            <w:vAlign w:val="center"/>
          </w:tcPr>
          <w:p w14:paraId="3635DED8">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71283229">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7F54622A">
        <w:trPr>
          <w:jc w:val="center"/>
        </w:trPr>
        <w:tc>
          <w:tcPr>
            <w:tcW w:w="789" w:type="pct"/>
            <w:vMerge w:val="restart"/>
            <w:vAlign w:val="center"/>
          </w:tcPr>
          <w:p w14:paraId="76784323">
            <w:pPr>
              <w:widowControl/>
              <w:spacing w:line="440" w:lineRule="exact"/>
              <w:jc w:val="center"/>
              <w:rPr>
                <w:rFonts w:hint="default" w:ascii="Times New Roman" w:hAnsi="Times New Roman" w:eastAsia="仿宋_GB2312" w:cs="Times New Roman"/>
                <w:color w:val="000000"/>
                <w:sz w:val="24"/>
                <w:lang w:val="en-US" w:eastAsia="zh-CN"/>
              </w:rPr>
            </w:pPr>
            <w:r>
              <w:rPr>
                <w:rFonts w:hint="eastAsia" w:ascii="Times New Roman" w:hAnsi="Times New Roman" w:eastAsia="仿宋_GB2312" w:cs="Times New Roman"/>
                <w:color w:val="000000"/>
                <w:sz w:val="24"/>
                <w:lang w:val="en-US" w:eastAsia="zh-CN"/>
              </w:rPr>
              <w:t>前端开发</w:t>
            </w:r>
          </w:p>
        </w:tc>
        <w:tc>
          <w:tcPr>
            <w:tcW w:w="1311" w:type="pct"/>
            <w:shd w:val="clear" w:color="auto" w:fill="auto"/>
            <w:vAlign w:val="center"/>
          </w:tcPr>
          <w:p w14:paraId="1C82789C">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sz w:val="24"/>
              </w:rPr>
              <w:t>file-saver</w:t>
            </w:r>
          </w:p>
        </w:tc>
        <w:tc>
          <w:tcPr>
            <w:tcW w:w="1815" w:type="pct"/>
            <w:shd w:val="clear" w:color="auto" w:fill="auto"/>
            <w:vAlign w:val="center"/>
          </w:tcPr>
          <w:p w14:paraId="55B1182F">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color w:val="000000"/>
                <w:sz w:val="24"/>
                <w:highlight w:val="none"/>
              </w:rPr>
              <w:t xml:space="preserve">Version </w:t>
            </w:r>
            <w:r>
              <w:rPr>
                <w:rFonts w:ascii="Times New Roman" w:hAnsi="Times New Roman" w:eastAsia="仿宋_GB2312" w:cs="Times New Roman"/>
                <w:sz w:val="24"/>
                <w:highlight w:val="none"/>
              </w:rPr>
              <w:t>2.0.</w:t>
            </w:r>
            <w:r>
              <w:rPr>
                <w:rFonts w:hint="eastAsia" w:ascii="Times New Roman" w:hAnsi="Times New Roman" w:eastAsia="仿宋_GB2312" w:cs="Times New Roman"/>
                <w:sz w:val="24"/>
                <w:highlight w:val="none"/>
                <w:lang w:val="en-US" w:eastAsia="zh-CN"/>
              </w:rPr>
              <w:t>5</w:t>
            </w:r>
            <w:r>
              <w:rPr>
                <w:rFonts w:ascii="Times New Roman" w:hAnsi="Times New Roman" w:eastAsia="仿宋_GB2312" w:cs="Times New Roman"/>
                <w:color w:val="000000"/>
                <w:sz w:val="24"/>
                <w:highlight w:val="none"/>
              </w:rPr>
              <w:t>及以上</w:t>
            </w:r>
          </w:p>
        </w:tc>
        <w:tc>
          <w:tcPr>
            <w:tcW w:w="580" w:type="pct"/>
            <w:shd w:val="clear" w:color="auto" w:fill="auto"/>
            <w:vAlign w:val="center"/>
          </w:tcPr>
          <w:p w14:paraId="5B981AEC">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sz w:val="24"/>
              </w:rPr>
              <w:t>套</w:t>
            </w:r>
          </w:p>
        </w:tc>
        <w:tc>
          <w:tcPr>
            <w:tcW w:w="503" w:type="pct"/>
            <w:shd w:val="clear" w:color="auto" w:fill="auto"/>
            <w:vAlign w:val="center"/>
          </w:tcPr>
          <w:p w14:paraId="4EC79752">
            <w:pPr>
              <w:spacing w:line="440" w:lineRule="exact"/>
              <w:jc w:val="center"/>
              <w:rPr>
                <w:rFonts w:ascii="Times New Roman" w:hAnsi="Times New Roman" w:eastAsia="仿宋_GB2312" w:cs="Times New Roman"/>
                <w:color w:val="000000"/>
                <w:kern w:val="2"/>
                <w:sz w:val="24"/>
                <w:szCs w:val="24"/>
                <w:lang w:val="en-US" w:eastAsia="zh-CN" w:bidi="ar-SA"/>
              </w:rPr>
            </w:pPr>
            <w:r>
              <w:rPr>
                <w:rFonts w:ascii="Times New Roman" w:hAnsi="Times New Roman" w:eastAsia="仿宋_GB2312" w:cs="Times New Roman"/>
                <w:color w:val="000000"/>
                <w:sz w:val="24"/>
              </w:rPr>
              <w:t>1</w:t>
            </w:r>
          </w:p>
        </w:tc>
      </w:tr>
      <w:tr w14:paraId="4D60CFCD">
        <w:trPr>
          <w:jc w:val="center"/>
        </w:trPr>
        <w:tc>
          <w:tcPr>
            <w:tcW w:w="789" w:type="pct"/>
            <w:vMerge w:val="continue"/>
            <w:vAlign w:val="center"/>
          </w:tcPr>
          <w:p w14:paraId="15253D6F">
            <w:pPr>
              <w:widowControl/>
              <w:spacing w:line="440" w:lineRule="exact"/>
              <w:jc w:val="center"/>
              <w:rPr>
                <w:rFonts w:hint="eastAsia" w:ascii="Times New Roman" w:hAnsi="Times New Roman" w:eastAsia="仿宋_GB2312" w:cs="Times New Roman"/>
                <w:color w:val="000000"/>
                <w:sz w:val="24"/>
                <w:lang w:val="en-US" w:eastAsia="zh-CN"/>
              </w:rPr>
            </w:pPr>
          </w:p>
        </w:tc>
        <w:tc>
          <w:tcPr>
            <w:tcW w:w="1311" w:type="pct"/>
            <w:shd w:val="clear" w:color="auto" w:fill="auto"/>
            <w:vAlign w:val="center"/>
          </w:tcPr>
          <w:p w14:paraId="1EC5C840">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sz w:val="24"/>
              </w:rPr>
              <w:t>js-cookie</w:t>
            </w:r>
          </w:p>
        </w:tc>
        <w:tc>
          <w:tcPr>
            <w:tcW w:w="1815" w:type="pct"/>
            <w:shd w:val="clear" w:color="auto" w:fill="auto"/>
            <w:vAlign w:val="center"/>
          </w:tcPr>
          <w:p w14:paraId="5138DC5F">
            <w:pPr>
              <w:spacing w:line="440" w:lineRule="exact"/>
              <w:jc w:val="center"/>
              <w:rPr>
                <w:rFonts w:ascii="Times New Roman" w:hAnsi="Times New Roman" w:eastAsia="仿宋_GB2312" w:cs="Times New Roman"/>
                <w:kern w:val="2"/>
                <w:sz w:val="24"/>
                <w:szCs w:val="24"/>
                <w:highlight w:val="none"/>
                <w:lang w:val="en-US" w:eastAsia="zh-CN" w:bidi="ar-SA"/>
              </w:rPr>
            </w:pPr>
            <w:r>
              <w:rPr>
                <w:rFonts w:ascii="Times New Roman" w:hAnsi="Times New Roman" w:eastAsia="仿宋_GB2312" w:cs="Times New Roman"/>
                <w:color w:val="000000"/>
                <w:sz w:val="24"/>
                <w:highlight w:val="none"/>
              </w:rPr>
              <w:t xml:space="preserve">Version </w:t>
            </w:r>
            <w:r>
              <w:rPr>
                <w:rFonts w:hint="eastAsia" w:ascii="Times New Roman" w:hAnsi="Times New Roman" w:eastAsia="仿宋_GB2312" w:cs="Times New Roman"/>
                <w:color w:val="000000"/>
                <w:sz w:val="24"/>
                <w:highlight w:val="none"/>
                <w:lang w:val="en-US" w:eastAsia="zh-CN"/>
              </w:rPr>
              <w:t>3</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0</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1</w:t>
            </w:r>
            <w:r>
              <w:rPr>
                <w:rFonts w:ascii="Times New Roman" w:hAnsi="Times New Roman" w:eastAsia="仿宋_GB2312" w:cs="Times New Roman"/>
                <w:color w:val="000000"/>
                <w:sz w:val="24"/>
                <w:highlight w:val="none"/>
              </w:rPr>
              <w:t>及以上</w:t>
            </w:r>
          </w:p>
        </w:tc>
        <w:tc>
          <w:tcPr>
            <w:tcW w:w="580" w:type="pct"/>
            <w:shd w:val="clear" w:color="auto" w:fill="auto"/>
            <w:vAlign w:val="center"/>
          </w:tcPr>
          <w:p w14:paraId="1BD98094">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sz w:val="24"/>
              </w:rPr>
              <w:t>套</w:t>
            </w:r>
          </w:p>
        </w:tc>
        <w:tc>
          <w:tcPr>
            <w:tcW w:w="503" w:type="pct"/>
            <w:shd w:val="clear" w:color="auto" w:fill="auto"/>
            <w:vAlign w:val="center"/>
          </w:tcPr>
          <w:p w14:paraId="55920D7E">
            <w:pPr>
              <w:spacing w:line="440" w:lineRule="exact"/>
              <w:jc w:val="center"/>
              <w:rPr>
                <w:rFonts w:ascii="Times New Roman" w:hAnsi="Times New Roman" w:eastAsia="仿宋_GB2312" w:cs="Times New Roman"/>
                <w:color w:val="000000"/>
                <w:kern w:val="2"/>
                <w:sz w:val="24"/>
                <w:szCs w:val="24"/>
                <w:lang w:val="en-US" w:eastAsia="zh-CN" w:bidi="ar-SA"/>
              </w:rPr>
            </w:pPr>
            <w:r>
              <w:rPr>
                <w:rFonts w:ascii="Times New Roman" w:hAnsi="Times New Roman" w:eastAsia="仿宋_GB2312" w:cs="Times New Roman"/>
                <w:color w:val="000000"/>
                <w:sz w:val="24"/>
              </w:rPr>
              <w:t>1</w:t>
            </w:r>
          </w:p>
        </w:tc>
      </w:tr>
      <w:tr w14:paraId="2D2C46F5">
        <w:trPr>
          <w:jc w:val="center"/>
        </w:trPr>
        <w:tc>
          <w:tcPr>
            <w:tcW w:w="789" w:type="pct"/>
            <w:vMerge w:val="continue"/>
            <w:vAlign w:val="center"/>
          </w:tcPr>
          <w:p w14:paraId="0041E4E4">
            <w:pPr>
              <w:widowControl/>
              <w:spacing w:line="440" w:lineRule="exact"/>
              <w:jc w:val="center"/>
              <w:rPr>
                <w:rFonts w:hint="eastAsia" w:ascii="Times New Roman" w:hAnsi="Times New Roman" w:eastAsia="仿宋_GB2312" w:cs="Times New Roman"/>
                <w:color w:val="000000"/>
                <w:sz w:val="24"/>
                <w:lang w:val="en-US" w:eastAsia="zh-CN"/>
              </w:rPr>
            </w:pPr>
          </w:p>
        </w:tc>
        <w:tc>
          <w:tcPr>
            <w:tcW w:w="1311" w:type="pct"/>
            <w:shd w:val="clear" w:color="auto" w:fill="auto"/>
            <w:vAlign w:val="center"/>
          </w:tcPr>
          <w:p w14:paraId="2EF69A99">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sz w:val="24"/>
              </w:rPr>
              <w:t>jsencrypt</w:t>
            </w:r>
          </w:p>
        </w:tc>
        <w:tc>
          <w:tcPr>
            <w:tcW w:w="1815" w:type="pct"/>
            <w:shd w:val="clear" w:color="auto" w:fill="auto"/>
            <w:vAlign w:val="center"/>
          </w:tcPr>
          <w:p w14:paraId="0778B3C8">
            <w:pPr>
              <w:spacing w:line="440" w:lineRule="exact"/>
              <w:jc w:val="center"/>
              <w:rPr>
                <w:rFonts w:ascii="Times New Roman" w:hAnsi="Times New Roman" w:eastAsia="仿宋_GB2312" w:cs="Times New Roman"/>
                <w:kern w:val="2"/>
                <w:sz w:val="24"/>
                <w:szCs w:val="24"/>
                <w:highlight w:val="none"/>
                <w:lang w:val="en-US" w:eastAsia="zh-CN" w:bidi="ar-SA"/>
              </w:rPr>
            </w:pPr>
            <w:r>
              <w:rPr>
                <w:rFonts w:ascii="Times New Roman" w:hAnsi="Times New Roman" w:eastAsia="仿宋_GB2312" w:cs="Times New Roman"/>
                <w:color w:val="000000"/>
                <w:sz w:val="24"/>
                <w:highlight w:val="none"/>
              </w:rPr>
              <w:t xml:space="preserve">Version </w:t>
            </w:r>
            <w:r>
              <w:rPr>
                <w:rFonts w:ascii="Times New Roman" w:hAnsi="Times New Roman" w:eastAsia="仿宋_GB2312" w:cs="Times New Roman"/>
                <w:sz w:val="24"/>
                <w:highlight w:val="none"/>
              </w:rPr>
              <w:t>3.</w:t>
            </w:r>
            <w:r>
              <w:rPr>
                <w:rFonts w:hint="eastAsia" w:ascii="Times New Roman" w:hAnsi="Times New Roman" w:eastAsia="仿宋_GB2312" w:cs="Times New Roman"/>
                <w:sz w:val="24"/>
                <w:highlight w:val="none"/>
                <w:lang w:val="en-US" w:eastAsia="zh-CN"/>
              </w:rPr>
              <w:t>3.2</w:t>
            </w:r>
            <w:r>
              <w:rPr>
                <w:rFonts w:ascii="Times New Roman" w:hAnsi="Times New Roman" w:eastAsia="仿宋_GB2312" w:cs="Times New Roman"/>
                <w:color w:val="000000"/>
                <w:sz w:val="24"/>
                <w:highlight w:val="none"/>
              </w:rPr>
              <w:t>及以上</w:t>
            </w:r>
          </w:p>
        </w:tc>
        <w:tc>
          <w:tcPr>
            <w:tcW w:w="580" w:type="pct"/>
            <w:shd w:val="clear" w:color="auto" w:fill="auto"/>
            <w:vAlign w:val="center"/>
          </w:tcPr>
          <w:p w14:paraId="53C3460D">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sz w:val="24"/>
              </w:rPr>
              <w:t>套</w:t>
            </w:r>
          </w:p>
        </w:tc>
        <w:tc>
          <w:tcPr>
            <w:tcW w:w="503" w:type="pct"/>
            <w:shd w:val="clear" w:color="auto" w:fill="auto"/>
            <w:vAlign w:val="center"/>
          </w:tcPr>
          <w:p w14:paraId="42335862">
            <w:pPr>
              <w:spacing w:line="440" w:lineRule="exact"/>
              <w:jc w:val="center"/>
              <w:rPr>
                <w:rFonts w:ascii="Times New Roman" w:hAnsi="Times New Roman" w:eastAsia="仿宋_GB2312" w:cs="Times New Roman"/>
                <w:color w:val="000000"/>
                <w:kern w:val="2"/>
                <w:sz w:val="24"/>
                <w:szCs w:val="24"/>
                <w:lang w:val="en-US" w:eastAsia="zh-CN" w:bidi="ar-SA"/>
              </w:rPr>
            </w:pPr>
            <w:r>
              <w:rPr>
                <w:rFonts w:ascii="Times New Roman" w:hAnsi="Times New Roman" w:eastAsia="仿宋_GB2312" w:cs="Times New Roman"/>
                <w:color w:val="000000"/>
                <w:sz w:val="24"/>
              </w:rPr>
              <w:t>1</w:t>
            </w:r>
          </w:p>
        </w:tc>
      </w:tr>
      <w:tr w14:paraId="218057A6">
        <w:trPr>
          <w:jc w:val="center"/>
        </w:trPr>
        <w:tc>
          <w:tcPr>
            <w:tcW w:w="789" w:type="pct"/>
            <w:vMerge w:val="continue"/>
            <w:vAlign w:val="center"/>
          </w:tcPr>
          <w:p w14:paraId="443F72CE">
            <w:pPr>
              <w:widowControl/>
              <w:spacing w:line="440" w:lineRule="exact"/>
              <w:jc w:val="center"/>
              <w:rPr>
                <w:rFonts w:hint="eastAsia" w:ascii="Times New Roman" w:hAnsi="Times New Roman" w:eastAsia="仿宋_GB2312" w:cs="Times New Roman"/>
                <w:color w:val="000000"/>
                <w:sz w:val="24"/>
                <w:lang w:val="en-US" w:eastAsia="zh-CN"/>
              </w:rPr>
            </w:pPr>
          </w:p>
        </w:tc>
        <w:tc>
          <w:tcPr>
            <w:tcW w:w="1311" w:type="pct"/>
            <w:shd w:val="clear" w:color="auto" w:fill="auto"/>
            <w:vAlign w:val="center"/>
          </w:tcPr>
          <w:p w14:paraId="55801EC6">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sz w:val="24"/>
              </w:rPr>
              <w:t>screenfull</w:t>
            </w:r>
          </w:p>
        </w:tc>
        <w:tc>
          <w:tcPr>
            <w:tcW w:w="1815" w:type="pct"/>
            <w:shd w:val="clear" w:color="auto" w:fill="auto"/>
            <w:vAlign w:val="center"/>
          </w:tcPr>
          <w:p w14:paraId="2F16E451">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color w:val="000000"/>
                <w:sz w:val="24"/>
              </w:rPr>
              <w:t xml:space="preserve">Version </w:t>
            </w:r>
            <w:r>
              <w:rPr>
                <w:rFonts w:ascii="Times New Roman" w:hAnsi="Times New Roman" w:eastAsia="仿宋_GB2312" w:cs="Times New Roman"/>
                <w:sz w:val="24"/>
              </w:rPr>
              <w:t>5.0.2</w:t>
            </w:r>
            <w:r>
              <w:rPr>
                <w:rFonts w:ascii="Times New Roman" w:hAnsi="Times New Roman" w:eastAsia="仿宋_GB2312" w:cs="Times New Roman"/>
                <w:color w:val="000000"/>
                <w:sz w:val="24"/>
              </w:rPr>
              <w:t>及以上</w:t>
            </w:r>
          </w:p>
        </w:tc>
        <w:tc>
          <w:tcPr>
            <w:tcW w:w="580" w:type="pct"/>
            <w:shd w:val="clear" w:color="auto" w:fill="auto"/>
            <w:vAlign w:val="center"/>
          </w:tcPr>
          <w:p w14:paraId="4C6DCD36">
            <w:pPr>
              <w:spacing w:line="440" w:lineRule="exact"/>
              <w:jc w:val="center"/>
              <w:rPr>
                <w:rFonts w:ascii="Times New Roman" w:hAnsi="Times New Roman" w:eastAsia="仿宋_GB2312" w:cs="Times New Roman"/>
                <w:kern w:val="2"/>
                <w:sz w:val="24"/>
                <w:szCs w:val="24"/>
                <w:lang w:val="en-US" w:eastAsia="zh-CN" w:bidi="ar-SA"/>
              </w:rPr>
            </w:pPr>
            <w:r>
              <w:rPr>
                <w:rFonts w:ascii="Times New Roman" w:hAnsi="Times New Roman" w:eastAsia="仿宋_GB2312" w:cs="Times New Roman"/>
                <w:sz w:val="24"/>
              </w:rPr>
              <w:t>套</w:t>
            </w:r>
          </w:p>
        </w:tc>
        <w:tc>
          <w:tcPr>
            <w:tcW w:w="503" w:type="pct"/>
            <w:shd w:val="clear" w:color="auto" w:fill="auto"/>
            <w:vAlign w:val="center"/>
          </w:tcPr>
          <w:p w14:paraId="1067121B">
            <w:pPr>
              <w:spacing w:line="440" w:lineRule="exact"/>
              <w:jc w:val="center"/>
              <w:rPr>
                <w:rFonts w:ascii="Times New Roman" w:hAnsi="Times New Roman" w:eastAsia="仿宋_GB2312" w:cs="Times New Roman"/>
                <w:color w:val="000000"/>
                <w:kern w:val="2"/>
                <w:sz w:val="24"/>
                <w:szCs w:val="24"/>
                <w:lang w:val="en-US" w:eastAsia="zh-CN" w:bidi="ar-SA"/>
              </w:rPr>
            </w:pPr>
            <w:r>
              <w:rPr>
                <w:rFonts w:ascii="Times New Roman" w:hAnsi="Times New Roman" w:eastAsia="仿宋_GB2312" w:cs="Times New Roman"/>
                <w:color w:val="000000"/>
                <w:sz w:val="24"/>
              </w:rPr>
              <w:t>1</w:t>
            </w:r>
          </w:p>
        </w:tc>
      </w:tr>
      <w:tr w14:paraId="35637D54">
        <w:trPr>
          <w:jc w:val="center"/>
        </w:trPr>
        <w:tc>
          <w:tcPr>
            <w:tcW w:w="789" w:type="pct"/>
            <w:vMerge w:val="continue"/>
            <w:vAlign w:val="center"/>
          </w:tcPr>
          <w:p w14:paraId="06ED6A50">
            <w:pPr>
              <w:widowControl/>
              <w:spacing w:line="440" w:lineRule="exact"/>
              <w:jc w:val="center"/>
              <w:rPr>
                <w:rFonts w:hint="default" w:ascii="Times New Roman" w:hAnsi="Times New Roman" w:eastAsia="仿宋_GB2312" w:cs="Times New Roman"/>
                <w:color w:val="000000"/>
                <w:sz w:val="24"/>
                <w:lang w:val="en-US" w:eastAsia="zh-CN"/>
              </w:rPr>
            </w:pPr>
          </w:p>
        </w:tc>
        <w:tc>
          <w:tcPr>
            <w:tcW w:w="1311" w:type="pct"/>
            <w:vAlign w:val="center"/>
          </w:tcPr>
          <w:p w14:paraId="4060F427">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axios</w:t>
            </w:r>
          </w:p>
        </w:tc>
        <w:tc>
          <w:tcPr>
            <w:tcW w:w="1815" w:type="pct"/>
            <w:vAlign w:val="center"/>
          </w:tcPr>
          <w:p w14:paraId="3A657270">
            <w:pPr>
              <w:spacing w:line="440" w:lineRule="exact"/>
              <w:jc w:val="center"/>
              <w:rPr>
                <w:rFonts w:ascii="Times New Roman" w:hAnsi="Times New Roman" w:eastAsia="仿宋_GB2312" w:cs="Times New Roman"/>
                <w:sz w:val="24"/>
                <w:highlight w:val="none"/>
              </w:rPr>
            </w:pPr>
            <w:r>
              <w:rPr>
                <w:rFonts w:ascii="Times New Roman" w:hAnsi="Times New Roman" w:eastAsia="仿宋_GB2312" w:cs="Times New Roman"/>
                <w:color w:val="000000"/>
                <w:sz w:val="24"/>
                <w:highlight w:val="none"/>
              </w:rPr>
              <w:t xml:space="preserve">Version </w:t>
            </w:r>
            <w:r>
              <w:rPr>
                <w:rFonts w:ascii="Times New Roman" w:hAnsi="Times New Roman" w:eastAsia="仿宋_GB2312" w:cs="Times New Roman"/>
                <w:sz w:val="24"/>
                <w:highlight w:val="none"/>
              </w:rPr>
              <w:t>0.2</w:t>
            </w:r>
            <w:r>
              <w:rPr>
                <w:rFonts w:hint="eastAsia" w:ascii="Times New Roman" w:hAnsi="Times New Roman" w:eastAsia="仿宋_GB2312" w:cs="Times New Roman"/>
                <w:sz w:val="24"/>
                <w:highlight w:val="none"/>
                <w:lang w:val="en-US" w:eastAsia="zh-CN"/>
              </w:rPr>
              <w:t>7</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2</w:t>
            </w:r>
            <w:r>
              <w:rPr>
                <w:rFonts w:ascii="Times New Roman" w:hAnsi="Times New Roman" w:eastAsia="仿宋_GB2312" w:cs="Times New Roman"/>
                <w:color w:val="000000"/>
                <w:sz w:val="24"/>
                <w:highlight w:val="none"/>
              </w:rPr>
              <w:t>及以上</w:t>
            </w:r>
          </w:p>
        </w:tc>
        <w:tc>
          <w:tcPr>
            <w:tcW w:w="580" w:type="pct"/>
            <w:vAlign w:val="center"/>
          </w:tcPr>
          <w:p w14:paraId="62EF9945">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套</w:t>
            </w:r>
          </w:p>
        </w:tc>
        <w:tc>
          <w:tcPr>
            <w:tcW w:w="503" w:type="pct"/>
            <w:vAlign w:val="center"/>
          </w:tcPr>
          <w:p w14:paraId="20411F31">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7E9486CF">
        <w:trPr>
          <w:jc w:val="center"/>
        </w:trPr>
        <w:tc>
          <w:tcPr>
            <w:tcW w:w="789" w:type="pct"/>
            <w:vMerge w:val="continue"/>
            <w:vAlign w:val="center"/>
          </w:tcPr>
          <w:p w14:paraId="0EF2BCAD">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0ECCBCEE">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vue-router</w:t>
            </w:r>
          </w:p>
        </w:tc>
        <w:tc>
          <w:tcPr>
            <w:tcW w:w="1815" w:type="pct"/>
            <w:vAlign w:val="center"/>
          </w:tcPr>
          <w:p w14:paraId="6F85D214">
            <w:pPr>
              <w:spacing w:line="440" w:lineRule="exact"/>
              <w:jc w:val="center"/>
              <w:rPr>
                <w:rFonts w:ascii="Times New Roman" w:hAnsi="Times New Roman" w:eastAsia="仿宋_GB2312" w:cs="Times New Roman"/>
                <w:sz w:val="24"/>
                <w:highlight w:val="none"/>
              </w:rPr>
            </w:pPr>
            <w:r>
              <w:rPr>
                <w:rFonts w:ascii="Times New Roman" w:hAnsi="Times New Roman" w:eastAsia="仿宋_GB2312" w:cs="Times New Roman"/>
                <w:color w:val="000000"/>
                <w:sz w:val="24"/>
                <w:highlight w:val="none"/>
              </w:rPr>
              <w:t xml:space="preserve">Version </w:t>
            </w:r>
            <w:r>
              <w:rPr>
                <w:rFonts w:hint="eastAsia" w:ascii="Times New Roman" w:hAnsi="Times New Roman" w:eastAsia="仿宋_GB2312" w:cs="Times New Roman"/>
                <w:color w:val="000000"/>
                <w:sz w:val="24"/>
                <w:highlight w:val="none"/>
                <w:lang w:val="en-US" w:eastAsia="zh-CN"/>
              </w:rPr>
              <w:t>4</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2</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5</w:t>
            </w:r>
            <w:r>
              <w:rPr>
                <w:rFonts w:ascii="Times New Roman" w:hAnsi="Times New Roman" w:eastAsia="仿宋_GB2312" w:cs="Times New Roman"/>
                <w:color w:val="000000"/>
                <w:sz w:val="24"/>
                <w:highlight w:val="none"/>
              </w:rPr>
              <w:t>及以上</w:t>
            </w:r>
          </w:p>
        </w:tc>
        <w:tc>
          <w:tcPr>
            <w:tcW w:w="580" w:type="pct"/>
            <w:vAlign w:val="center"/>
          </w:tcPr>
          <w:p w14:paraId="6E5E1DF3">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套</w:t>
            </w:r>
          </w:p>
        </w:tc>
        <w:tc>
          <w:tcPr>
            <w:tcW w:w="503" w:type="pct"/>
            <w:vAlign w:val="center"/>
          </w:tcPr>
          <w:p w14:paraId="6868003B">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41123AE6">
        <w:trPr>
          <w:jc w:val="center"/>
        </w:trPr>
        <w:tc>
          <w:tcPr>
            <w:tcW w:w="789" w:type="pct"/>
            <w:vMerge w:val="continue"/>
            <w:vAlign w:val="center"/>
          </w:tcPr>
          <w:p w14:paraId="1D82576E">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090F6699">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vuex</w:t>
            </w:r>
          </w:p>
        </w:tc>
        <w:tc>
          <w:tcPr>
            <w:tcW w:w="1815" w:type="pct"/>
            <w:vAlign w:val="center"/>
          </w:tcPr>
          <w:p w14:paraId="214FDBFA">
            <w:pPr>
              <w:spacing w:line="440" w:lineRule="exact"/>
              <w:jc w:val="center"/>
              <w:rPr>
                <w:rFonts w:ascii="Times New Roman" w:hAnsi="Times New Roman" w:eastAsia="仿宋_GB2312" w:cs="Times New Roman"/>
                <w:sz w:val="24"/>
              </w:rPr>
            </w:pPr>
            <w:r>
              <w:rPr>
                <w:rFonts w:ascii="Times New Roman" w:hAnsi="Times New Roman" w:eastAsia="仿宋_GB2312" w:cs="Times New Roman"/>
                <w:color w:val="000000"/>
                <w:sz w:val="24"/>
              </w:rPr>
              <w:t xml:space="preserve">Version </w:t>
            </w:r>
            <w:r>
              <w:rPr>
                <w:rFonts w:hint="eastAsia" w:ascii="Times New Roman" w:hAnsi="Times New Roman" w:eastAsia="仿宋_GB2312" w:cs="Times New Roman"/>
                <w:color w:val="000000"/>
                <w:sz w:val="24"/>
                <w:lang w:val="en-US" w:eastAsia="zh-CN"/>
              </w:rPr>
              <w:t>4</w:t>
            </w:r>
            <w:r>
              <w:rPr>
                <w:rFonts w:ascii="Times New Roman" w:hAnsi="Times New Roman" w:eastAsia="仿宋_GB2312" w:cs="Times New Roman"/>
                <w:sz w:val="24"/>
              </w:rPr>
              <w:t>.</w:t>
            </w:r>
            <w:r>
              <w:rPr>
                <w:rFonts w:hint="eastAsia" w:ascii="Times New Roman" w:hAnsi="Times New Roman" w:eastAsia="仿宋_GB2312" w:cs="Times New Roman"/>
                <w:sz w:val="24"/>
                <w:lang w:val="en-US" w:eastAsia="zh-CN"/>
              </w:rPr>
              <w:t>1</w:t>
            </w:r>
            <w:r>
              <w:rPr>
                <w:rFonts w:ascii="Times New Roman" w:hAnsi="Times New Roman" w:eastAsia="仿宋_GB2312" w:cs="Times New Roman"/>
                <w:sz w:val="24"/>
              </w:rPr>
              <w:t>.0</w:t>
            </w:r>
            <w:r>
              <w:rPr>
                <w:rFonts w:ascii="Times New Roman" w:hAnsi="Times New Roman" w:eastAsia="仿宋_GB2312" w:cs="Times New Roman"/>
                <w:color w:val="000000"/>
                <w:sz w:val="24"/>
              </w:rPr>
              <w:t>及以上</w:t>
            </w:r>
          </w:p>
        </w:tc>
        <w:tc>
          <w:tcPr>
            <w:tcW w:w="580" w:type="pct"/>
            <w:vAlign w:val="center"/>
          </w:tcPr>
          <w:p w14:paraId="38825E49">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套</w:t>
            </w:r>
          </w:p>
        </w:tc>
        <w:tc>
          <w:tcPr>
            <w:tcW w:w="503" w:type="pct"/>
            <w:vAlign w:val="center"/>
          </w:tcPr>
          <w:p w14:paraId="3B85AF8B">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26A39ACD">
        <w:trPr>
          <w:trHeight w:val="90" w:hRule="atLeast"/>
          <w:jc w:val="center"/>
        </w:trPr>
        <w:tc>
          <w:tcPr>
            <w:tcW w:w="789" w:type="pct"/>
            <w:vMerge w:val="continue"/>
            <w:vAlign w:val="center"/>
          </w:tcPr>
          <w:p w14:paraId="30E09098">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0DADAEEA">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sass</w:t>
            </w:r>
          </w:p>
        </w:tc>
        <w:tc>
          <w:tcPr>
            <w:tcW w:w="1815" w:type="pct"/>
            <w:vAlign w:val="center"/>
          </w:tcPr>
          <w:p w14:paraId="03BDF050">
            <w:pPr>
              <w:spacing w:line="440" w:lineRule="exact"/>
              <w:jc w:val="center"/>
              <w:rPr>
                <w:rFonts w:ascii="Times New Roman" w:hAnsi="Times New Roman" w:eastAsia="仿宋_GB2312" w:cs="Times New Roman"/>
                <w:sz w:val="24"/>
                <w:highlight w:val="none"/>
              </w:rPr>
            </w:pPr>
            <w:r>
              <w:rPr>
                <w:rFonts w:ascii="Times New Roman" w:hAnsi="Times New Roman" w:eastAsia="仿宋_GB2312" w:cs="Times New Roman"/>
                <w:color w:val="000000"/>
                <w:sz w:val="24"/>
                <w:highlight w:val="none"/>
              </w:rPr>
              <w:t xml:space="preserve">Version </w:t>
            </w:r>
            <w:r>
              <w:rPr>
                <w:rFonts w:hint="eastAsia" w:ascii="Times New Roman" w:hAnsi="Times New Roman" w:eastAsia="仿宋_GB2312" w:cs="Times New Roman"/>
                <w:sz w:val="24"/>
                <w:highlight w:val="none"/>
              </w:rPr>
              <w:t>1</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69</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5</w:t>
            </w:r>
            <w:r>
              <w:rPr>
                <w:rFonts w:ascii="Times New Roman" w:hAnsi="Times New Roman" w:eastAsia="仿宋_GB2312" w:cs="Times New Roman"/>
                <w:color w:val="000000"/>
                <w:sz w:val="24"/>
                <w:highlight w:val="none"/>
              </w:rPr>
              <w:t>及以上</w:t>
            </w:r>
          </w:p>
        </w:tc>
        <w:tc>
          <w:tcPr>
            <w:tcW w:w="580" w:type="pct"/>
            <w:vAlign w:val="center"/>
          </w:tcPr>
          <w:p w14:paraId="4F3184C3">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套</w:t>
            </w:r>
          </w:p>
        </w:tc>
        <w:tc>
          <w:tcPr>
            <w:tcW w:w="503" w:type="pct"/>
            <w:vAlign w:val="center"/>
          </w:tcPr>
          <w:p w14:paraId="08BD1F3C">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1F3FA7B0">
        <w:trPr>
          <w:jc w:val="center"/>
        </w:trPr>
        <w:tc>
          <w:tcPr>
            <w:tcW w:w="789" w:type="pct"/>
            <w:vMerge w:val="continue"/>
            <w:vAlign w:val="center"/>
          </w:tcPr>
          <w:p w14:paraId="32C195CA">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683D7753">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Node.js</w:t>
            </w:r>
          </w:p>
        </w:tc>
        <w:tc>
          <w:tcPr>
            <w:tcW w:w="1815" w:type="pct"/>
            <w:vAlign w:val="center"/>
          </w:tcPr>
          <w:p w14:paraId="5D8E5E2E">
            <w:pPr>
              <w:spacing w:line="440" w:lineRule="exact"/>
              <w:jc w:val="center"/>
              <w:rPr>
                <w:rFonts w:ascii="Times New Roman" w:hAnsi="Times New Roman" w:eastAsia="仿宋_GB2312" w:cs="Times New Roman"/>
                <w:sz w:val="24"/>
              </w:rPr>
            </w:pPr>
            <w:r>
              <w:rPr>
                <w:rFonts w:ascii="Times New Roman" w:hAnsi="Times New Roman" w:eastAsia="仿宋_GB2312" w:cs="Times New Roman"/>
                <w:color w:val="000000"/>
                <w:sz w:val="24"/>
              </w:rPr>
              <w:t xml:space="preserve">Version </w:t>
            </w:r>
            <w:r>
              <w:rPr>
                <w:rFonts w:ascii="Times New Roman" w:hAnsi="Times New Roman" w:eastAsia="仿宋_GB2312" w:cs="Times New Roman"/>
                <w:sz w:val="24"/>
              </w:rPr>
              <w:t>1</w:t>
            </w:r>
            <w:r>
              <w:rPr>
                <w:rFonts w:hint="eastAsia" w:ascii="Times New Roman" w:hAnsi="Times New Roman" w:eastAsia="仿宋_GB2312" w:cs="Times New Roman"/>
                <w:sz w:val="24"/>
                <w:lang w:val="en-US" w:eastAsia="zh-CN"/>
              </w:rPr>
              <w:t>6</w:t>
            </w:r>
            <w:r>
              <w:rPr>
                <w:rFonts w:ascii="Times New Roman" w:hAnsi="Times New Roman" w:eastAsia="仿宋_GB2312" w:cs="Times New Roman"/>
                <w:sz w:val="24"/>
              </w:rPr>
              <w:t>.1</w:t>
            </w:r>
            <w:r>
              <w:rPr>
                <w:rFonts w:hint="eastAsia" w:ascii="Times New Roman" w:hAnsi="Times New Roman" w:eastAsia="仿宋_GB2312" w:cs="Times New Roman"/>
                <w:sz w:val="24"/>
                <w:lang w:val="en-US" w:eastAsia="zh-CN"/>
              </w:rPr>
              <w:t xml:space="preserve">5.0 </w:t>
            </w:r>
            <w:bookmarkStart w:id="3" w:name="_GoBack"/>
            <w:bookmarkEnd w:id="3"/>
            <w:r>
              <w:rPr>
                <w:rFonts w:ascii="Times New Roman" w:hAnsi="Times New Roman" w:eastAsia="仿宋_GB2312" w:cs="Times New Roman"/>
                <w:color w:val="000000"/>
                <w:sz w:val="24"/>
              </w:rPr>
              <w:t>及以上</w:t>
            </w:r>
          </w:p>
        </w:tc>
        <w:tc>
          <w:tcPr>
            <w:tcW w:w="580" w:type="pct"/>
            <w:vAlign w:val="center"/>
          </w:tcPr>
          <w:p w14:paraId="638E36DB">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套</w:t>
            </w:r>
          </w:p>
        </w:tc>
        <w:tc>
          <w:tcPr>
            <w:tcW w:w="503" w:type="pct"/>
            <w:vAlign w:val="center"/>
          </w:tcPr>
          <w:p w14:paraId="45277654">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0B675316">
        <w:trPr>
          <w:jc w:val="center"/>
        </w:trPr>
        <w:tc>
          <w:tcPr>
            <w:tcW w:w="789" w:type="pct"/>
            <w:vMerge w:val="continue"/>
            <w:vAlign w:val="center"/>
          </w:tcPr>
          <w:p w14:paraId="291FE187">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154414C8">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Vue</w:t>
            </w:r>
          </w:p>
        </w:tc>
        <w:tc>
          <w:tcPr>
            <w:tcW w:w="1815" w:type="pct"/>
            <w:vAlign w:val="center"/>
          </w:tcPr>
          <w:p w14:paraId="7099D7A4">
            <w:pPr>
              <w:spacing w:line="440" w:lineRule="exact"/>
              <w:jc w:val="center"/>
              <w:rPr>
                <w:rFonts w:ascii="Times New Roman" w:hAnsi="Times New Roman" w:eastAsia="仿宋_GB2312" w:cs="Times New Roman"/>
                <w:sz w:val="24"/>
                <w:highlight w:val="none"/>
              </w:rPr>
            </w:pPr>
            <w:r>
              <w:rPr>
                <w:rFonts w:ascii="Times New Roman" w:hAnsi="Times New Roman" w:eastAsia="仿宋_GB2312" w:cs="Times New Roman"/>
                <w:color w:val="000000"/>
                <w:sz w:val="24"/>
                <w:highlight w:val="none"/>
              </w:rPr>
              <w:t xml:space="preserve">Version </w:t>
            </w:r>
            <w:r>
              <w:rPr>
                <w:rFonts w:hint="eastAsia" w:ascii="Times New Roman" w:hAnsi="Times New Roman" w:eastAsia="仿宋_GB2312" w:cs="Times New Roman"/>
                <w:color w:val="000000"/>
                <w:sz w:val="24"/>
                <w:highlight w:val="none"/>
                <w:lang w:val="en-US" w:eastAsia="zh-CN"/>
              </w:rPr>
              <w:t>3</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2</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45</w:t>
            </w:r>
            <w:r>
              <w:rPr>
                <w:rFonts w:ascii="Times New Roman" w:hAnsi="Times New Roman" w:eastAsia="仿宋_GB2312" w:cs="Times New Roman"/>
                <w:color w:val="000000"/>
                <w:sz w:val="24"/>
                <w:highlight w:val="none"/>
              </w:rPr>
              <w:t>及以上</w:t>
            </w:r>
          </w:p>
        </w:tc>
        <w:tc>
          <w:tcPr>
            <w:tcW w:w="580" w:type="pct"/>
            <w:vAlign w:val="center"/>
          </w:tcPr>
          <w:p w14:paraId="1BB1933F">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套</w:t>
            </w:r>
          </w:p>
        </w:tc>
        <w:tc>
          <w:tcPr>
            <w:tcW w:w="503" w:type="pct"/>
            <w:vAlign w:val="center"/>
          </w:tcPr>
          <w:p w14:paraId="148F516A">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2FDF51F1">
        <w:trPr>
          <w:jc w:val="center"/>
        </w:trPr>
        <w:tc>
          <w:tcPr>
            <w:tcW w:w="789" w:type="pct"/>
            <w:vMerge w:val="continue"/>
            <w:vAlign w:val="center"/>
          </w:tcPr>
          <w:p w14:paraId="6B363170">
            <w:pPr>
              <w:widowControl/>
              <w:spacing w:line="440" w:lineRule="exact"/>
              <w:jc w:val="center"/>
              <w:rPr>
                <w:rFonts w:ascii="Times New Roman" w:hAnsi="Times New Roman" w:eastAsia="仿宋_GB2312" w:cs="Times New Roman"/>
                <w:color w:val="000000"/>
                <w:sz w:val="24"/>
                <w:highlight w:val="yellow"/>
              </w:rPr>
            </w:pPr>
          </w:p>
        </w:tc>
        <w:tc>
          <w:tcPr>
            <w:tcW w:w="1311" w:type="pct"/>
            <w:vAlign w:val="center"/>
          </w:tcPr>
          <w:p w14:paraId="5D02EAE3">
            <w:pPr>
              <w:spacing w:line="440" w:lineRule="exact"/>
              <w:jc w:val="center"/>
              <w:rPr>
                <w:rFonts w:hint="eastAsia" w:ascii="Times New Roman" w:hAnsi="Times New Roman" w:eastAsia="仿宋_GB2312" w:cs="Times New Roman"/>
                <w:sz w:val="24"/>
                <w:highlight w:val="none"/>
                <w:lang w:val="en-US" w:eastAsia="zh-CN"/>
              </w:rPr>
            </w:pPr>
            <w:r>
              <w:rPr>
                <w:rFonts w:ascii="Times New Roman" w:hAnsi="Times New Roman" w:eastAsia="仿宋_GB2312" w:cs="Times New Roman"/>
                <w:sz w:val="24"/>
                <w:highlight w:val="none"/>
              </w:rPr>
              <w:t>Element-</w:t>
            </w:r>
            <w:r>
              <w:rPr>
                <w:rFonts w:hint="eastAsia" w:ascii="Times New Roman" w:hAnsi="Times New Roman" w:eastAsia="仿宋_GB2312" w:cs="Times New Roman"/>
                <w:sz w:val="24"/>
                <w:highlight w:val="none"/>
                <w:lang w:val="en-US" w:eastAsia="zh-CN"/>
              </w:rPr>
              <w:t>plus</w:t>
            </w:r>
          </w:p>
        </w:tc>
        <w:tc>
          <w:tcPr>
            <w:tcW w:w="1815" w:type="pct"/>
            <w:vAlign w:val="center"/>
          </w:tcPr>
          <w:p w14:paraId="03A11A1E">
            <w:pPr>
              <w:spacing w:line="440" w:lineRule="exact"/>
              <w:jc w:val="center"/>
              <w:rPr>
                <w:rFonts w:ascii="Times New Roman" w:hAnsi="Times New Roman" w:eastAsia="仿宋_GB2312" w:cs="Times New Roman"/>
                <w:sz w:val="24"/>
                <w:highlight w:val="none"/>
              </w:rPr>
            </w:pPr>
            <w:r>
              <w:rPr>
                <w:rFonts w:ascii="Times New Roman" w:hAnsi="Times New Roman" w:eastAsia="仿宋_GB2312" w:cs="Times New Roman"/>
                <w:color w:val="000000"/>
                <w:sz w:val="24"/>
                <w:highlight w:val="none"/>
              </w:rPr>
              <w:t xml:space="preserve">Version </w:t>
            </w:r>
            <w:r>
              <w:rPr>
                <w:rFonts w:ascii="Times New Roman" w:hAnsi="Times New Roman" w:eastAsia="仿宋_GB2312" w:cs="Times New Roman"/>
                <w:sz w:val="24"/>
                <w:highlight w:val="none"/>
              </w:rPr>
              <w:t>2.</w:t>
            </w:r>
            <w:r>
              <w:rPr>
                <w:rFonts w:hint="default" w:ascii="Times New Roman" w:hAnsi="Times New Roman" w:eastAsia="仿宋_GB2312" w:cs="Times New Roman"/>
                <w:sz w:val="24"/>
                <w:highlight w:val="none"/>
                <w:lang w:val="en-US"/>
              </w:rPr>
              <w:t>4</w:t>
            </w:r>
            <w:r>
              <w:rPr>
                <w:rFonts w:ascii="Times New Roman" w:hAnsi="Times New Roman" w:eastAsia="仿宋_GB2312" w:cs="Times New Roman"/>
                <w:sz w:val="24"/>
                <w:highlight w:val="none"/>
              </w:rPr>
              <w:t>.</w:t>
            </w:r>
            <w:r>
              <w:rPr>
                <w:rFonts w:hint="default" w:ascii="Times New Roman" w:hAnsi="Times New Roman" w:eastAsia="仿宋_GB2312" w:cs="Times New Roman"/>
                <w:sz w:val="24"/>
                <w:highlight w:val="none"/>
                <w:lang w:val="en-US"/>
              </w:rPr>
              <w:t>3</w:t>
            </w:r>
            <w:r>
              <w:rPr>
                <w:rFonts w:ascii="Times New Roman" w:hAnsi="Times New Roman" w:eastAsia="仿宋_GB2312" w:cs="Times New Roman"/>
                <w:color w:val="000000"/>
                <w:sz w:val="24"/>
                <w:highlight w:val="none"/>
              </w:rPr>
              <w:t>及以上</w:t>
            </w:r>
          </w:p>
        </w:tc>
        <w:tc>
          <w:tcPr>
            <w:tcW w:w="580" w:type="pct"/>
            <w:vAlign w:val="center"/>
          </w:tcPr>
          <w:p w14:paraId="7A0A4AF7">
            <w:pPr>
              <w:spacing w:line="440" w:lineRule="exact"/>
              <w:jc w:val="center"/>
              <w:rPr>
                <w:rFonts w:ascii="Times New Roman" w:hAnsi="Times New Roman" w:eastAsia="仿宋_GB2312" w:cs="Times New Roman"/>
                <w:sz w:val="24"/>
                <w:highlight w:val="none"/>
              </w:rPr>
            </w:pPr>
            <w:r>
              <w:rPr>
                <w:rFonts w:ascii="Times New Roman" w:hAnsi="Times New Roman" w:eastAsia="仿宋_GB2312" w:cs="Times New Roman"/>
                <w:sz w:val="24"/>
                <w:highlight w:val="none"/>
              </w:rPr>
              <w:t>套</w:t>
            </w:r>
          </w:p>
        </w:tc>
        <w:tc>
          <w:tcPr>
            <w:tcW w:w="503" w:type="pct"/>
            <w:vAlign w:val="center"/>
          </w:tcPr>
          <w:p w14:paraId="39DBC435">
            <w:pPr>
              <w:spacing w:line="440" w:lineRule="exact"/>
              <w:jc w:val="center"/>
              <w:rPr>
                <w:rFonts w:ascii="Times New Roman" w:hAnsi="Times New Roman" w:eastAsia="仿宋_GB2312" w:cs="Times New Roman"/>
                <w:color w:val="000000"/>
                <w:sz w:val="24"/>
                <w:highlight w:val="none"/>
              </w:rPr>
            </w:pPr>
            <w:r>
              <w:rPr>
                <w:rFonts w:ascii="Times New Roman" w:hAnsi="Times New Roman" w:eastAsia="仿宋_GB2312" w:cs="Times New Roman"/>
                <w:color w:val="000000"/>
                <w:sz w:val="24"/>
                <w:highlight w:val="none"/>
              </w:rPr>
              <w:t>1</w:t>
            </w:r>
          </w:p>
        </w:tc>
      </w:tr>
      <w:tr w14:paraId="11DA865C">
        <w:trPr>
          <w:jc w:val="center"/>
        </w:trPr>
        <w:tc>
          <w:tcPr>
            <w:tcW w:w="789" w:type="pct"/>
            <w:vMerge w:val="continue"/>
            <w:vAlign w:val="center"/>
          </w:tcPr>
          <w:p w14:paraId="209FE3E9">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7597F71C">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Echarts</w:t>
            </w:r>
          </w:p>
        </w:tc>
        <w:tc>
          <w:tcPr>
            <w:tcW w:w="1815" w:type="pct"/>
            <w:vAlign w:val="center"/>
          </w:tcPr>
          <w:p w14:paraId="78934975">
            <w:pPr>
              <w:spacing w:line="440" w:lineRule="exact"/>
              <w:jc w:val="center"/>
              <w:rPr>
                <w:rFonts w:ascii="Times New Roman" w:hAnsi="Times New Roman" w:eastAsia="仿宋_GB2312" w:cs="Times New Roman"/>
                <w:sz w:val="24"/>
                <w:highlight w:val="none"/>
              </w:rPr>
            </w:pPr>
            <w:r>
              <w:rPr>
                <w:rFonts w:ascii="Times New Roman" w:hAnsi="Times New Roman" w:eastAsia="仿宋_GB2312" w:cs="Times New Roman"/>
                <w:color w:val="000000"/>
                <w:sz w:val="24"/>
                <w:highlight w:val="none"/>
              </w:rPr>
              <w:t xml:space="preserve">Version </w:t>
            </w:r>
            <w:r>
              <w:rPr>
                <w:rFonts w:ascii="Times New Roman" w:hAnsi="Times New Roman" w:eastAsia="仿宋_GB2312" w:cs="Times New Roman"/>
                <w:sz w:val="24"/>
                <w:highlight w:val="none"/>
              </w:rPr>
              <w:t>5.</w:t>
            </w:r>
            <w:r>
              <w:rPr>
                <w:rFonts w:hint="default" w:ascii="Times New Roman" w:hAnsi="Times New Roman" w:eastAsia="仿宋_GB2312" w:cs="Times New Roman"/>
                <w:sz w:val="24"/>
                <w:highlight w:val="none"/>
                <w:lang w:val="en-US"/>
              </w:rPr>
              <w:t>4</w:t>
            </w:r>
            <w:r>
              <w:rPr>
                <w:rFonts w:ascii="Times New Roman" w:hAnsi="Times New Roman" w:eastAsia="仿宋_GB2312" w:cs="Times New Roman"/>
                <w:sz w:val="24"/>
                <w:highlight w:val="none"/>
              </w:rPr>
              <w:t>.</w:t>
            </w:r>
            <w:r>
              <w:rPr>
                <w:rFonts w:hint="eastAsia" w:ascii="Times New Roman" w:hAnsi="Times New Roman" w:eastAsia="仿宋_GB2312" w:cs="Times New Roman"/>
                <w:sz w:val="24"/>
                <w:highlight w:val="none"/>
                <w:lang w:val="en-US" w:eastAsia="zh-CN"/>
              </w:rPr>
              <w:t>0</w:t>
            </w:r>
            <w:r>
              <w:rPr>
                <w:rFonts w:ascii="Times New Roman" w:hAnsi="Times New Roman" w:eastAsia="仿宋_GB2312" w:cs="Times New Roman"/>
                <w:color w:val="000000"/>
                <w:sz w:val="24"/>
                <w:highlight w:val="none"/>
              </w:rPr>
              <w:t>及以上</w:t>
            </w:r>
          </w:p>
        </w:tc>
        <w:tc>
          <w:tcPr>
            <w:tcW w:w="580" w:type="pct"/>
            <w:vAlign w:val="center"/>
          </w:tcPr>
          <w:p w14:paraId="7EA7B565">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套</w:t>
            </w:r>
          </w:p>
        </w:tc>
        <w:tc>
          <w:tcPr>
            <w:tcW w:w="503" w:type="pct"/>
            <w:vAlign w:val="center"/>
          </w:tcPr>
          <w:p w14:paraId="06D6AA24">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1A50A22D">
        <w:trPr>
          <w:jc w:val="center"/>
        </w:trPr>
        <w:tc>
          <w:tcPr>
            <w:tcW w:w="789" w:type="pct"/>
            <w:vMerge w:val="continue"/>
            <w:vAlign w:val="center"/>
          </w:tcPr>
          <w:p w14:paraId="631F753F">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028B1E96">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vue-element-admin</w:t>
            </w:r>
          </w:p>
        </w:tc>
        <w:tc>
          <w:tcPr>
            <w:tcW w:w="1815" w:type="pct"/>
            <w:vAlign w:val="center"/>
          </w:tcPr>
          <w:p w14:paraId="5F8527A6">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Version 4.4.0及以上</w:t>
            </w:r>
          </w:p>
        </w:tc>
        <w:tc>
          <w:tcPr>
            <w:tcW w:w="580" w:type="pct"/>
            <w:vAlign w:val="center"/>
          </w:tcPr>
          <w:p w14:paraId="16795B14">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套</w:t>
            </w:r>
          </w:p>
        </w:tc>
        <w:tc>
          <w:tcPr>
            <w:tcW w:w="503" w:type="pct"/>
            <w:vAlign w:val="center"/>
          </w:tcPr>
          <w:p w14:paraId="246DE114">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30A9BD66">
        <w:trPr>
          <w:trHeight w:val="90" w:hRule="atLeast"/>
          <w:jc w:val="center"/>
        </w:trPr>
        <w:tc>
          <w:tcPr>
            <w:tcW w:w="789" w:type="pct"/>
            <w:vMerge w:val="restart"/>
            <w:vAlign w:val="center"/>
          </w:tcPr>
          <w:p w14:paraId="38EE5269">
            <w:pPr>
              <w:widowControl/>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后端开发</w:t>
            </w:r>
          </w:p>
        </w:tc>
        <w:tc>
          <w:tcPr>
            <w:tcW w:w="1311" w:type="pct"/>
            <w:vAlign w:val="center"/>
          </w:tcPr>
          <w:p w14:paraId="0C8B80FA">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Spring</w:t>
            </w:r>
            <w:r>
              <w:rPr>
                <w:rFonts w:hint="eastAsia" w:ascii="Times New Roman" w:hAnsi="Times New Roman" w:eastAsia="仿宋_GB2312" w:cs="Times New Roman"/>
                <w:sz w:val="24"/>
              </w:rPr>
              <w:t>Boot</w:t>
            </w:r>
          </w:p>
        </w:tc>
        <w:tc>
          <w:tcPr>
            <w:tcW w:w="1815" w:type="pct"/>
            <w:vAlign w:val="center"/>
          </w:tcPr>
          <w:p w14:paraId="6DE10317">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 xml:space="preserve">Version </w:t>
            </w:r>
            <w:r>
              <w:rPr>
                <w:rFonts w:ascii="Times New Roman" w:hAnsi="Times New Roman" w:eastAsia="仿宋_GB2312" w:cs="Times New Roman"/>
                <w:sz w:val="24"/>
              </w:rPr>
              <w:t>2.2.12</w:t>
            </w:r>
            <w:r>
              <w:rPr>
                <w:rFonts w:ascii="Times New Roman" w:hAnsi="Times New Roman" w:eastAsia="仿宋_GB2312" w:cs="Times New Roman"/>
                <w:color w:val="000000"/>
                <w:sz w:val="24"/>
              </w:rPr>
              <w:t>及以上</w:t>
            </w:r>
          </w:p>
        </w:tc>
        <w:tc>
          <w:tcPr>
            <w:tcW w:w="580" w:type="pct"/>
            <w:vAlign w:val="center"/>
          </w:tcPr>
          <w:p w14:paraId="57B9FA53">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sz w:val="24"/>
              </w:rPr>
              <w:t>套</w:t>
            </w:r>
          </w:p>
        </w:tc>
        <w:tc>
          <w:tcPr>
            <w:tcW w:w="503" w:type="pct"/>
            <w:vAlign w:val="center"/>
          </w:tcPr>
          <w:p w14:paraId="5CE49043">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5A057FB8">
        <w:trPr>
          <w:trHeight w:val="626" w:hRule="atLeast"/>
          <w:jc w:val="center"/>
        </w:trPr>
        <w:tc>
          <w:tcPr>
            <w:tcW w:w="789" w:type="pct"/>
            <w:vMerge w:val="continue"/>
            <w:vAlign w:val="center"/>
          </w:tcPr>
          <w:p w14:paraId="4F0B8771">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3A34E792">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Tomcat</w:t>
            </w:r>
          </w:p>
          <w:p w14:paraId="349E4CFF">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w:t>
            </w:r>
            <w:r>
              <w:rPr>
                <w:rFonts w:ascii="Times New Roman" w:hAnsi="Times New Roman" w:eastAsia="仿宋_GB2312" w:cs="Times New Roman"/>
                <w:color w:val="000000"/>
                <w:sz w:val="24"/>
              </w:rPr>
              <w:t>内嵌至Spring</w:t>
            </w:r>
            <w:r>
              <w:rPr>
                <w:rFonts w:ascii="Times New Roman" w:hAnsi="Times New Roman" w:eastAsia="仿宋_GB2312" w:cs="Times New Roman"/>
                <w:sz w:val="24"/>
              </w:rPr>
              <w:t>）</w:t>
            </w:r>
          </w:p>
        </w:tc>
        <w:tc>
          <w:tcPr>
            <w:tcW w:w="1815" w:type="pct"/>
            <w:vAlign w:val="center"/>
          </w:tcPr>
          <w:p w14:paraId="31617F03">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Version 9</w:t>
            </w:r>
          </w:p>
        </w:tc>
        <w:tc>
          <w:tcPr>
            <w:tcW w:w="580" w:type="pct"/>
            <w:vAlign w:val="center"/>
          </w:tcPr>
          <w:p w14:paraId="36F4D667">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套</w:t>
            </w:r>
          </w:p>
        </w:tc>
        <w:tc>
          <w:tcPr>
            <w:tcW w:w="503" w:type="pct"/>
            <w:vAlign w:val="center"/>
          </w:tcPr>
          <w:p w14:paraId="375327CB">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73C940EE">
        <w:trPr>
          <w:jc w:val="center"/>
        </w:trPr>
        <w:tc>
          <w:tcPr>
            <w:tcW w:w="789" w:type="pct"/>
            <w:vMerge w:val="continue"/>
            <w:vAlign w:val="center"/>
          </w:tcPr>
          <w:p w14:paraId="13AF8198">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56E2FD77">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Mybatis</w:t>
            </w:r>
          </w:p>
        </w:tc>
        <w:tc>
          <w:tcPr>
            <w:tcW w:w="1815" w:type="pct"/>
            <w:vAlign w:val="center"/>
          </w:tcPr>
          <w:p w14:paraId="08A0EEC3">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Version 3及以上</w:t>
            </w:r>
          </w:p>
        </w:tc>
        <w:tc>
          <w:tcPr>
            <w:tcW w:w="580" w:type="pct"/>
            <w:vAlign w:val="center"/>
          </w:tcPr>
          <w:p w14:paraId="4606E635">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sz w:val="24"/>
              </w:rPr>
              <w:t>套</w:t>
            </w:r>
          </w:p>
        </w:tc>
        <w:tc>
          <w:tcPr>
            <w:tcW w:w="503" w:type="pct"/>
            <w:vAlign w:val="center"/>
          </w:tcPr>
          <w:p w14:paraId="6FDB0A99">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076C1854">
        <w:trPr>
          <w:jc w:val="center"/>
        </w:trPr>
        <w:tc>
          <w:tcPr>
            <w:tcW w:w="789" w:type="pct"/>
            <w:vMerge w:val="continue"/>
            <w:vAlign w:val="center"/>
          </w:tcPr>
          <w:p w14:paraId="421A41F0">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749DE135">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Spring Security</w:t>
            </w:r>
          </w:p>
        </w:tc>
        <w:tc>
          <w:tcPr>
            <w:tcW w:w="1815" w:type="pct"/>
            <w:vAlign w:val="center"/>
          </w:tcPr>
          <w:p w14:paraId="00616E96">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Version 5.</w:t>
            </w:r>
            <w:r>
              <w:rPr>
                <w:rFonts w:hint="eastAsia" w:ascii="Times New Roman" w:hAnsi="Times New Roman" w:eastAsia="仿宋_GB2312" w:cs="Times New Roman"/>
                <w:color w:val="000000"/>
                <w:sz w:val="24"/>
              </w:rPr>
              <w:t>2.X</w:t>
            </w:r>
            <w:r>
              <w:rPr>
                <w:rFonts w:ascii="Times New Roman" w:hAnsi="Times New Roman" w:eastAsia="仿宋_GB2312" w:cs="Times New Roman"/>
                <w:color w:val="000000"/>
                <w:sz w:val="24"/>
              </w:rPr>
              <w:t>及以上</w:t>
            </w:r>
          </w:p>
        </w:tc>
        <w:tc>
          <w:tcPr>
            <w:tcW w:w="580" w:type="pct"/>
            <w:vAlign w:val="center"/>
          </w:tcPr>
          <w:p w14:paraId="1F88C491">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sz w:val="24"/>
              </w:rPr>
              <w:t>套</w:t>
            </w:r>
          </w:p>
        </w:tc>
        <w:tc>
          <w:tcPr>
            <w:tcW w:w="503" w:type="pct"/>
            <w:vAlign w:val="center"/>
          </w:tcPr>
          <w:p w14:paraId="69670C63">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4B67F9E1">
        <w:trPr>
          <w:jc w:val="center"/>
        </w:trPr>
        <w:tc>
          <w:tcPr>
            <w:tcW w:w="789" w:type="pct"/>
            <w:vMerge w:val="continue"/>
            <w:vAlign w:val="center"/>
          </w:tcPr>
          <w:p w14:paraId="0CBC24D5">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5331550D">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JDK</w:t>
            </w:r>
          </w:p>
        </w:tc>
        <w:tc>
          <w:tcPr>
            <w:tcW w:w="1815" w:type="pct"/>
            <w:vAlign w:val="center"/>
          </w:tcPr>
          <w:p w14:paraId="52E41F07">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 xml:space="preserve">Version </w:t>
            </w:r>
            <w:r>
              <w:rPr>
                <w:rFonts w:ascii="Times New Roman" w:hAnsi="Times New Roman" w:eastAsia="仿宋_GB2312" w:cs="Times New Roman"/>
                <w:sz w:val="24"/>
              </w:rPr>
              <w:t>8</w:t>
            </w:r>
            <w:r>
              <w:rPr>
                <w:rFonts w:ascii="Times New Roman" w:hAnsi="Times New Roman" w:eastAsia="仿宋_GB2312" w:cs="Times New Roman"/>
                <w:color w:val="000000"/>
                <w:sz w:val="24"/>
              </w:rPr>
              <w:t>及以上</w:t>
            </w:r>
          </w:p>
        </w:tc>
        <w:tc>
          <w:tcPr>
            <w:tcW w:w="580" w:type="pct"/>
            <w:vAlign w:val="center"/>
          </w:tcPr>
          <w:p w14:paraId="3954BF60">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30995347">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7168DA6B">
        <w:trPr>
          <w:jc w:val="center"/>
        </w:trPr>
        <w:tc>
          <w:tcPr>
            <w:tcW w:w="789" w:type="pct"/>
            <w:vMerge w:val="continue"/>
            <w:vAlign w:val="center"/>
          </w:tcPr>
          <w:p w14:paraId="30934305">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0921A855">
            <w:pPr>
              <w:spacing w:line="440" w:lineRule="exact"/>
              <w:jc w:val="center"/>
              <w:rPr>
                <w:rFonts w:ascii="Times New Roman" w:hAnsi="Times New Roman" w:eastAsia="仿宋_GB2312" w:cs="Times New Roman"/>
                <w:sz w:val="24"/>
              </w:rPr>
            </w:pPr>
            <w:r>
              <w:rPr>
                <w:rFonts w:hint="eastAsia" w:ascii="Times New Roman" w:hAnsi="Times New Roman" w:eastAsia="仿宋_GB2312" w:cs="Times New Roman"/>
                <w:sz w:val="24"/>
              </w:rPr>
              <w:t>JJ</w:t>
            </w:r>
            <w:r>
              <w:rPr>
                <w:rFonts w:ascii="Times New Roman" w:hAnsi="Times New Roman" w:eastAsia="仿宋_GB2312" w:cs="Times New Roman"/>
                <w:sz w:val="24"/>
              </w:rPr>
              <w:t>wt</w:t>
            </w:r>
          </w:p>
        </w:tc>
        <w:tc>
          <w:tcPr>
            <w:tcW w:w="1815" w:type="pct"/>
            <w:vAlign w:val="center"/>
          </w:tcPr>
          <w:p w14:paraId="6E052861">
            <w:pPr>
              <w:spacing w:line="440" w:lineRule="exact"/>
              <w:jc w:val="center"/>
              <w:rPr>
                <w:rFonts w:ascii="Times New Roman" w:hAnsi="Times New Roman" w:eastAsia="仿宋_GB2312" w:cs="Times New Roman"/>
                <w:sz w:val="24"/>
              </w:rPr>
            </w:pPr>
            <w:r>
              <w:rPr>
                <w:rFonts w:ascii="Times New Roman" w:hAnsi="Times New Roman" w:eastAsia="仿宋_GB2312" w:cs="Times New Roman"/>
                <w:color w:val="000000"/>
                <w:sz w:val="24"/>
              </w:rPr>
              <w:t xml:space="preserve">Version </w:t>
            </w:r>
            <w:r>
              <w:rPr>
                <w:rFonts w:hint="eastAsia" w:ascii="Times New Roman" w:hAnsi="Times New Roman" w:eastAsia="仿宋_GB2312" w:cs="Times New Roman"/>
                <w:sz w:val="24"/>
              </w:rPr>
              <w:t>0.9.1</w:t>
            </w:r>
            <w:r>
              <w:rPr>
                <w:rFonts w:ascii="Times New Roman" w:hAnsi="Times New Roman" w:eastAsia="仿宋_GB2312" w:cs="Times New Roman"/>
                <w:color w:val="000000"/>
                <w:sz w:val="24"/>
              </w:rPr>
              <w:t>及以上</w:t>
            </w:r>
          </w:p>
        </w:tc>
        <w:tc>
          <w:tcPr>
            <w:tcW w:w="580" w:type="pct"/>
            <w:vAlign w:val="center"/>
          </w:tcPr>
          <w:p w14:paraId="54F202FE">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sz w:val="24"/>
              </w:rPr>
              <w:t>套</w:t>
            </w:r>
          </w:p>
        </w:tc>
        <w:tc>
          <w:tcPr>
            <w:tcW w:w="503" w:type="pct"/>
            <w:vAlign w:val="center"/>
          </w:tcPr>
          <w:p w14:paraId="479D20C4">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63E0C071">
        <w:trPr>
          <w:jc w:val="center"/>
        </w:trPr>
        <w:tc>
          <w:tcPr>
            <w:tcW w:w="789" w:type="pct"/>
            <w:vMerge w:val="restart"/>
            <w:vAlign w:val="center"/>
          </w:tcPr>
          <w:p w14:paraId="7FAEC8EE">
            <w:pPr>
              <w:widowControl/>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数据库及管理工具</w:t>
            </w:r>
          </w:p>
        </w:tc>
        <w:tc>
          <w:tcPr>
            <w:tcW w:w="1311" w:type="pct"/>
            <w:vAlign w:val="center"/>
          </w:tcPr>
          <w:p w14:paraId="110268C2">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 xml:space="preserve">MySQL </w:t>
            </w:r>
          </w:p>
        </w:tc>
        <w:tc>
          <w:tcPr>
            <w:tcW w:w="1815" w:type="pct"/>
            <w:vAlign w:val="center"/>
          </w:tcPr>
          <w:p w14:paraId="3C03EFC1">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Version 8.0</w:t>
            </w:r>
          </w:p>
        </w:tc>
        <w:tc>
          <w:tcPr>
            <w:tcW w:w="580" w:type="pct"/>
            <w:vAlign w:val="center"/>
          </w:tcPr>
          <w:p w14:paraId="537AE3B7">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5967743D">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62358724">
        <w:trPr>
          <w:jc w:val="center"/>
        </w:trPr>
        <w:tc>
          <w:tcPr>
            <w:tcW w:w="789" w:type="pct"/>
            <w:vMerge w:val="continue"/>
            <w:vAlign w:val="center"/>
          </w:tcPr>
          <w:p w14:paraId="5B40BA77">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53538254">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sz w:val="24"/>
              </w:rPr>
              <w:t>Redis</w:t>
            </w:r>
          </w:p>
        </w:tc>
        <w:tc>
          <w:tcPr>
            <w:tcW w:w="1815" w:type="pct"/>
            <w:vAlign w:val="center"/>
          </w:tcPr>
          <w:p w14:paraId="6B7C12DE">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 xml:space="preserve">Version </w:t>
            </w:r>
            <w:r>
              <w:rPr>
                <w:rFonts w:ascii="Times New Roman" w:hAnsi="Times New Roman" w:eastAsia="仿宋_GB2312" w:cs="Times New Roman"/>
                <w:sz w:val="24"/>
              </w:rPr>
              <w:t>3.0及以上</w:t>
            </w:r>
          </w:p>
        </w:tc>
        <w:tc>
          <w:tcPr>
            <w:tcW w:w="580" w:type="pct"/>
            <w:vAlign w:val="center"/>
          </w:tcPr>
          <w:p w14:paraId="7B515711">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0B086E2F">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3F7D9D5D">
        <w:trPr>
          <w:jc w:val="center"/>
        </w:trPr>
        <w:tc>
          <w:tcPr>
            <w:tcW w:w="789" w:type="pct"/>
            <w:vMerge w:val="continue"/>
            <w:vAlign w:val="center"/>
          </w:tcPr>
          <w:p w14:paraId="4AE9C391">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30727C74">
            <w:pPr>
              <w:spacing w:line="440" w:lineRule="exact"/>
              <w:jc w:val="center"/>
              <w:rPr>
                <w:rFonts w:ascii="Times New Roman" w:hAnsi="Times New Roman" w:eastAsia="仿宋_GB2312" w:cs="Times New Roman"/>
                <w:sz w:val="24"/>
              </w:rPr>
            </w:pPr>
            <w:r>
              <w:rPr>
                <w:rFonts w:ascii="Times New Roman" w:hAnsi="Times New Roman" w:eastAsia="仿宋_GB2312" w:cs="Times New Roman"/>
                <w:sz w:val="24"/>
              </w:rPr>
              <w:t>Navicat Premium</w:t>
            </w:r>
          </w:p>
        </w:tc>
        <w:tc>
          <w:tcPr>
            <w:tcW w:w="1815" w:type="pct"/>
            <w:vAlign w:val="center"/>
          </w:tcPr>
          <w:p w14:paraId="4F2DBF13">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 xml:space="preserve">Version </w:t>
            </w:r>
            <w:r>
              <w:rPr>
                <w:rFonts w:ascii="Times New Roman" w:hAnsi="Times New Roman" w:eastAsia="仿宋_GB2312" w:cs="Times New Roman"/>
                <w:sz w:val="24"/>
              </w:rPr>
              <w:t>11.0及以上</w:t>
            </w:r>
          </w:p>
        </w:tc>
        <w:tc>
          <w:tcPr>
            <w:tcW w:w="580" w:type="pct"/>
            <w:vAlign w:val="center"/>
          </w:tcPr>
          <w:p w14:paraId="39462D66">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60DF1FD9">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64C30F61">
        <w:trPr>
          <w:jc w:val="center"/>
        </w:trPr>
        <w:tc>
          <w:tcPr>
            <w:tcW w:w="789" w:type="pct"/>
            <w:vMerge w:val="restart"/>
            <w:vAlign w:val="center"/>
          </w:tcPr>
          <w:p w14:paraId="1CC6BBAB">
            <w:pPr>
              <w:widowControl/>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浏览器</w:t>
            </w:r>
          </w:p>
        </w:tc>
        <w:tc>
          <w:tcPr>
            <w:tcW w:w="1311" w:type="pct"/>
            <w:vAlign w:val="center"/>
          </w:tcPr>
          <w:p w14:paraId="31A5DFE0">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Firefox</w:t>
            </w:r>
          </w:p>
        </w:tc>
        <w:tc>
          <w:tcPr>
            <w:tcW w:w="1815" w:type="pct"/>
            <w:vAlign w:val="center"/>
          </w:tcPr>
          <w:p w14:paraId="7390C7D0">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Version 112及以上</w:t>
            </w:r>
          </w:p>
        </w:tc>
        <w:tc>
          <w:tcPr>
            <w:tcW w:w="580" w:type="pct"/>
            <w:vAlign w:val="center"/>
          </w:tcPr>
          <w:p w14:paraId="582D76FB">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664F52D1">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54B110DF">
        <w:trPr>
          <w:jc w:val="center"/>
        </w:trPr>
        <w:tc>
          <w:tcPr>
            <w:tcW w:w="789" w:type="pct"/>
            <w:vMerge w:val="continue"/>
            <w:vAlign w:val="center"/>
          </w:tcPr>
          <w:p w14:paraId="344ACEE4">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4F86409F">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Chrome</w:t>
            </w:r>
          </w:p>
        </w:tc>
        <w:tc>
          <w:tcPr>
            <w:tcW w:w="1815" w:type="pct"/>
            <w:vAlign w:val="center"/>
          </w:tcPr>
          <w:p w14:paraId="3E79B061">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 xml:space="preserve">Version </w:t>
            </w:r>
            <w:r>
              <w:rPr>
                <w:rFonts w:ascii="Times New Roman" w:hAnsi="Times New Roman" w:eastAsia="仿宋_GB2312" w:cs="Times New Roman"/>
                <w:sz w:val="24"/>
              </w:rPr>
              <w:t>11</w:t>
            </w:r>
            <w:r>
              <w:rPr>
                <w:rFonts w:hint="eastAsia" w:ascii="Times New Roman" w:hAnsi="Times New Roman" w:eastAsia="仿宋_GB2312" w:cs="Times New Roman"/>
                <w:sz w:val="24"/>
              </w:rPr>
              <w:t>3</w:t>
            </w:r>
            <w:r>
              <w:rPr>
                <w:rFonts w:ascii="Times New Roman" w:hAnsi="Times New Roman" w:eastAsia="仿宋_GB2312" w:cs="Times New Roman"/>
                <w:sz w:val="24"/>
              </w:rPr>
              <w:t>及以上</w:t>
            </w:r>
          </w:p>
        </w:tc>
        <w:tc>
          <w:tcPr>
            <w:tcW w:w="580" w:type="pct"/>
            <w:vAlign w:val="center"/>
          </w:tcPr>
          <w:p w14:paraId="25ACB72A">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套</w:t>
            </w:r>
          </w:p>
        </w:tc>
        <w:tc>
          <w:tcPr>
            <w:tcW w:w="503" w:type="pct"/>
            <w:vAlign w:val="center"/>
          </w:tcPr>
          <w:p w14:paraId="67C1D720">
            <w:pPr>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1</w:t>
            </w:r>
          </w:p>
        </w:tc>
      </w:tr>
      <w:tr w14:paraId="1DF20DEF">
        <w:trPr>
          <w:jc w:val="center"/>
        </w:trPr>
        <w:tc>
          <w:tcPr>
            <w:tcW w:w="789" w:type="pct"/>
            <w:vMerge w:val="restart"/>
            <w:vAlign w:val="center"/>
          </w:tcPr>
          <w:p w14:paraId="1AC1E7DE">
            <w:pPr>
              <w:widowControl/>
              <w:spacing w:line="440" w:lineRule="exact"/>
              <w:jc w:val="center"/>
              <w:rPr>
                <w:rFonts w:ascii="Times New Roman" w:hAnsi="Times New Roman" w:eastAsia="仿宋_GB2312" w:cs="Times New Roman"/>
                <w:color w:val="000000"/>
                <w:sz w:val="24"/>
              </w:rPr>
            </w:pPr>
            <w:r>
              <w:rPr>
                <w:rFonts w:ascii="Times New Roman" w:hAnsi="Times New Roman" w:eastAsia="仿宋_GB2312" w:cs="Times New Roman"/>
                <w:color w:val="000000"/>
                <w:sz w:val="24"/>
              </w:rPr>
              <w:t>其他辅助软件</w:t>
            </w:r>
          </w:p>
        </w:tc>
        <w:tc>
          <w:tcPr>
            <w:tcW w:w="1311" w:type="pct"/>
          </w:tcPr>
          <w:p w14:paraId="155157AE">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WPS</w:t>
            </w:r>
          </w:p>
        </w:tc>
        <w:tc>
          <w:tcPr>
            <w:tcW w:w="1815" w:type="pct"/>
          </w:tcPr>
          <w:p w14:paraId="48343493">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Version 11.1.0</w:t>
            </w:r>
          </w:p>
        </w:tc>
        <w:tc>
          <w:tcPr>
            <w:tcW w:w="580" w:type="pct"/>
            <w:vAlign w:val="center"/>
          </w:tcPr>
          <w:p w14:paraId="39D15D26">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套</w:t>
            </w:r>
          </w:p>
        </w:tc>
        <w:tc>
          <w:tcPr>
            <w:tcW w:w="503" w:type="pct"/>
            <w:vAlign w:val="center"/>
          </w:tcPr>
          <w:p w14:paraId="695C5730">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1</w:t>
            </w:r>
          </w:p>
        </w:tc>
      </w:tr>
      <w:tr w14:paraId="258CA2EA">
        <w:trPr>
          <w:jc w:val="center"/>
        </w:trPr>
        <w:tc>
          <w:tcPr>
            <w:tcW w:w="789" w:type="pct"/>
            <w:vMerge w:val="continue"/>
            <w:vAlign w:val="center"/>
          </w:tcPr>
          <w:p w14:paraId="7C5E96CA">
            <w:pPr>
              <w:widowControl/>
              <w:spacing w:line="440" w:lineRule="exact"/>
              <w:jc w:val="center"/>
              <w:rPr>
                <w:rFonts w:ascii="Times New Roman" w:hAnsi="Times New Roman" w:eastAsia="仿宋_GB2312" w:cs="Times New Roman"/>
                <w:color w:val="000000"/>
                <w:sz w:val="24"/>
              </w:rPr>
            </w:pPr>
          </w:p>
        </w:tc>
        <w:tc>
          <w:tcPr>
            <w:tcW w:w="1311" w:type="pct"/>
          </w:tcPr>
          <w:p w14:paraId="390CF356">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GitStack</w:t>
            </w:r>
          </w:p>
        </w:tc>
        <w:tc>
          <w:tcPr>
            <w:tcW w:w="1815" w:type="pct"/>
          </w:tcPr>
          <w:p w14:paraId="3DB330B1">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Version 2.3.11</w:t>
            </w:r>
          </w:p>
        </w:tc>
        <w:tc>
          <w:tcPr>
            <w:tcW w:w="580" w:type="pct"/>
            <w:vAlign w:val="center"/>
          </w:tcPr>
          <w:p w14:paraId="116CFBF8">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套</w:t>
            </w:r>
          </w:p>
        </w:tc>
        <w:tc>
          <w:tcPr>
            <w:tcW w:w="503" w:type="pct"/>
            <w:vAlign w:val="center"/>
          </w:tcPr>
          <w:p w14:paraId="0803080C">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1</w:t>
            </w:r>
          </w:p>
        </w:tc>
      </w:tr>
      <w:tr w14:paraId="1232C3E4">
        <w:trPr>
          <w:jc w:val="center"/>
        </w:trPr>
        <w:tc>
          <w:tcPr>
            <w:tcW w:w="789" w:type="pct"/>
            <w:vMerge w:val="continue"/>
            <w:vAlign w:val="center"/>
          </w:tcPr>
          <w:p w14:paraId="6DDEF0C2">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1BD40593">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Postman</w:t>
            </w:r>
          </w:p>
        </w:tc>
        <w:tc>
          <w:tcPr>
            <w:tcW w:w="1815" w:type="pct"/>
            <w:vAlign w:val="center"/>
          </w:tcPr>
          <w:p w14:paraId="03A226F7">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Version 10.5</w:t>
            </w:r>
          </w:p>
        </w:tc>
        <w:tc>
          <w:tcPr>
            <w:tcW w:w="580" w:type="pct"/>
            <w:vAlign w:val="center"/>
          </w:tcPr>
          <w:p w14:paraId="0009F5E8">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套</w:t>
            </w:r>
          </w:p>
        </w:tc>
        <w:tc>
          <w:tcPr>
            <w:tcW w:w="503" w:type="pct"/>
            <w:vAlign w:val="center"/>
          </w:tcPr>
          <w:p w14:paraId="140C4A08">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1</w:t>
            </w:r>
          </w:p>
        </w:tc>
      </w:tr>
      <w:tr w14:paraId="3B174B50">
        <w:trPr>
          <w:jc w:val="center"/>
        </w:trPr>
        <w:tc>
          <w:tcPr>
            <w:tcW w:w="789" w:type="pct"/>
            <w:vMerge w:val="continue"/>
            <w:vAlign w:val="center"/>
          </w:tcPr>
          <w:p w14:paraId="0F4A51EA">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38EDFD7D">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Office Visio</w:t>
            </w:r>
          </w:p>
        </w:tc>
        <w:tc>
          <w:tcPr>
            <w:tcW w:w="1815" w:type="pct"/>
            <w:vAlign w:val="center"/>
          </w:tcPr>
          <w:p w14:paraId="182630DF">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Version 202</w:t>
            </w:r>
            <w:r>
              <w:rPr>
                <w:rFonts w:hint="eastAsia" w:ascii="Times New Roman" w:hAnsi="Times New Roman" w:eastAsia="仿宋_GB2312" w:cs="Times New Roman"/>
                <w:color w:val="000000" w:themeColor="text1"/>
                <w:sz w:val="24"/>
                <w14:textFill>
                  <w14:solidFill>
                    <w14:schemeClr w14:val="tx1"/>
                  </w14:solidFill>
                </w14:textFill>
              </w:rPr>
              <w:t>1</w:t>
            </w:r>
          </w:p>
        </w:tc>
        <w:tc>
          <w:tcPr>
            <w:tcW w:w="580" w:type="pct"/>
            <w:vAlign w:val="center"/>
          </w:tcPr>
          <w:p w14:paraId="059896EF">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套</w:t>
            </w:r>
          </w:p>
        </w:tc>
        <w:tc>
          <w:tcPr>
            <w:tcW w:w="503" w:type="pct"/>
            <w:vAlign w:val="center"/>
          </w:tcPr>
          <w:p w14:paraId="13221B16">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1</w:t>
            </w:r>
          </w:p>
        </w:tc>
      </w:tr>
      <w:tr w14:paraId="4479FE02">
        <w:trPr>
          <w:jc w:val="center"/>
        </w:trPr>
        <w:tc>
          <w:tcPr>
            <w:tcW w:w="789" w:type="pct"/>
            <w:vMerge w:val="continue"/>
            <w:vAlign w:val="center"/>
          </w:tcPr>
          <w:p w14:paraId="1EA78225">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605BE87E">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WinRAR</w:t>
            </w:r>
          </w:p>
        </w:tc>
        <w:tc>
          <w:tcPr>
            <w:tcW w:w="1815" w:type="pct"/>
            <w:vAlign w:val="center"/>
          </w:tcPr>
          <w:p w14:paraId="68A9CB9E">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 xml:space="preserve">Version </w:t>
            </w:r>
            <w:r>
              <w:rPr>
                <w:rFonts w:hint="eastAsia" w:ascii="Times New Roman" w:hAnsi="Times New Roman" w:eastAsia="仿宋_GB2312" w:cs="Times New Roman"/>
                <w:color w:val="000000" w:themeColor="text1"/>
                <w:sz w:val="24"/>
                <w14:textFill>
                  <w14:solidFill>
                    <w14:schemeClr w14:val="tx1"/>
                  </w14:solidFill>
                </w14:textFill>
              </w:rPr>
              <w:t>6.0.2</w:t>
            </w:r>
          </w:p>
        </w:tc>
        <w:tc>
          <w:tcPr>
            <w:tcW w:w="580" w:type="pct"/>
            <w:vAlign w:val="center"/>
          </w:tcPr>
          <w:p w14:paraId="3BF27063">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套</w:t>
            </w:r>
          </w:p>
        </w:tc>
        <w:tc>
          <w:tcPr>
            <w:tcW w:w="503" w:type="pct"/>
            <w:vAlign w:val="center"/>
          </w:tcPr>
          <w:p w14:paraId="7B043B17">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1</w:t>
            </w:r>
          </w:p>
        </w:tc>
      </w:tr>
      <w:tr w14:paraId="639F4383">
        <w:trPr>
          <w:jc w:val="center"/>
        </w:trPr>
        <w:tc>
          <w:tcPr>
            <w:tcW w:w="789" w:type="pct"/>
            <w:vMerge w:val="continue"/>
            <w:vAlign w:val="center"/>
          </w:tcPr>
          <w:p w14:paraId="222D4827">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48532B27">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phpstudy</w:t>
            </w:r>
          </w:p>
        </w:tc>
        <w:tc>
          <w:tcPr>
            <w:tcW w:w="1815" w:type="pct"/>
            <w:vAlign w:val="center"/>
          </w:tcPr>
          <w:p w14:paraId="1B6F4B24">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Version 8.0</w:t>
            </w:r>
          </w:p>
        </w:tc>
        <w:tc>
          <w:tcPr>
            <w:tcW w:w="580" w:type="pct"/>
            <w:vAlign w:val="center"/>
          </w:tcPr>
          <w:p w14:paraId="013C1FD4">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套</w:t>
            </w:r>
          </w:p>
        </w:tc>
        <w:tc>
          <w:tcPr>
            <w:tcW w:w="503" w:type="pct"/>
            <w:vAlign w:val="center"/>
          </w:tcPr>
          <w:p w14:paraId="3E39EC58">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1</w:t>
            </w:r>
          </w:p>
        </w:tc>
      </w:tr>
      <w:tr w14:paraId="1FAF1E34">
        <w:trPr>
          <w:jc w:val="center"/>
        </w:trPr>
        <w:tc>
          <w:tcPr>
            <w:tcW w:w="789" w:type="pct"/>
            <w:vMerge w:val="continue"/>
            <w:vAlign w:val="center"/>
          </w:tcPr>
          <w:p w14:paraId="4ABC1D57">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6778CC74">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JMeter</w:t>
            </w:r>
          </w:p>
        </w:tc>
        <w:tc>
          <w:tcPr>
            <w:tcW w:w="1815" w:type="pct"/>
            <w:vAlign w:val="center"/>
          </w:tcPr>
          <w:p w14:paraId="234782A5">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Version 5.5</w:t>
            </w:r>
          </w:p>
        </w:tc>
        <w:tc>
          <w:tcPr>
            <w:tcW w:w="580" w:type="pct"/>
            <w:vAlign w:val="center"/>
          </w:tcPr>
          <w:p w14:paraId="7506BA1C">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套</w:t>
            </w:r>
          </w:p>
        </w:tc>
        <w:tc>
          <w:tcPr>
            <w:tcW w:w="503" w:type="pct"/>
            <w:vAlign w:val="center"/>
          </w:tcPr>
          <w:p w14:paraId="0C0E3739">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1</w:t>
            </w:r>
          </w:p>
        </w:tc>
      </w:tr>
      <w:tr w14:paraId="6D573C1D">
        <w:trPr>
          <w:jc w:val="center"/>
        </w:trPr>
        <w:tc>
          <w:tcPr>
            <w:tcW w:w="789" w:type="pct"/>
            <w:vMerge w:val="continue"/>
            <w:vAlign w:val="center"/>
          </w:tcPr>
          <w:p w14:paraId="573997A9">
            <w:pPr>
              <w:widowControl/>
              <w:spacing w:line="440" w:lineRule="exact"/>
              <w:jc w:val="center"/>
              <w:rPr>
                <w:rFonts w:ascii="Times New Roman" w:hAnsi="Times New Roman" w:eastAsia="仿宋_GB2312" w:cs="Times New Roman"/>
                <w:color w:val="000000"/>
                <w:sz w:val="24"/>
              </w:rPr>
            </w:pPr>
          </w:p>
        </w:tc>
        <w:tc>
          <w:tcPr>
            <w:tcW w:w="1311" w:type="pct"/>
            <w:vAlign w:val="center"/>
          </w:tcPr>
          <w:p w14:paraId="51F45F3F">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Nginx</w:t>
            </w:r>
          </w:p>
        </w:tc>
        <w:tc>
          <w:tcPr>
            <w:tcW w:w="1815" w:type="pct"/>
            <w:vAlign w:val="center"/>
          </w:tcPr>
          <w:p w14:paraId="04932DB0">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Version 1.</w:t>
            </w:r>
            <w:r>
              <w:rPr>
                <w:rFonts w:hint="eastAsia" w:ascii="Times New Roman" w:hAnsi="Times New Roman" w:eastAsia="仿宋_GB2312" w:cs="Times New Roman"/>
                <w:color w:val="000000" w:themeColor="text1"/>
                <w:sz w:val="24"/>
                <w:lang w:val="en-US" w:eastAsia="zh-CN"/>
                <w14:textFill>
                  <w14:solidFill>
                    <w14:schemeClr w14:val="tx1"/>
                  </w14:solidFill>
                </w14:textFill>
              </w:rPr>
              <w:t>15</w:t>
            </w:r>
            <w:r>
              <w:rPr>
                <w:rFonts w:ascii="Times New Roman" w:hAnsi="Times New Roman" w:eastAsia="仿宋_GB2312" w:cs="Times New Roman"/>
                <w:color w:val="000000" w:themeColor="text1"/>
                <w:sz w:val="24"/>
                <w14:textFill>
                  <w14:solidFill>
                    <w14:schemeClr w14:val="tx1"/>
                  </w14:solidFill>
                </w14:textFill>
              </w:rPr>
              <w:t>及以上</w:t>
            </w:r>
          </w:p>
        </w:tc>
        <w:tc>
          <w:tcPr>
            <w:tcW w:w="580" w:type="pct"/>
            <w:vAlign w:val="center"/>
          </w:tcPr>
          <w:p w14:paraId="7D727CD1">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套</w:t>
            </w:r>
          </w:p>
        </w:tc>
        <w:tc>
          <w:tcPr>
            <w:tcW w:w="503" w:type="pct"/>
            <w:vAlign w:val="center"/>
          </w:tcPr>
          <w:p w14:paraId="6CF03BF0">
            <w:pPr>
              <w:spacing w:line="440" w:lineRule="exact"/>
              <w:jc w:val="center"/>
              <w:rPr>
                <w:rFonts w:ascii="Times New Roman" w:hAnsi="Times New Roman" w:eastAsia="仿宋_GB2312" w:cs="Times New Roman"/>
                <w:color w:val="000000" w:themeColor="text1"/>
                <w:sz w:val="24"/>
                <w14:textFill>
                  <w14:solidFill>
                    <w14:schemeClr w14:val="tx1"/>
                  </w14:solidFill>
                </w14:textFill>
              </w:rPr>
            </w:pPr>
            <w:r>
              <w:rPr>
                <w:rFonts w:ascii="Times New Roman" w:hAnsi="Times New Roman" w:eastAsia="仿宋_GB2312" w:cs="Times New Roman"/>
                <w:color w:val="000000" w:themeColor="text1"/>
                <w:sz w:val="24"/>
                <w14:textFill>
                  <w14:solidFill>
                    <w14:schemeClr w14:val="tx1"/>
                  </w14:solidFill>
                </w14:textFill>
              </w:rPr>
              <w:t>1</w:t>
            </w:r>
          </w:p>
        </w:tc>
      </w:tr>
    </w:tbl>
    <w:p w14:paraId="36F77D5C">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赛项安全</w:t>
      </w:r>
    </w:p>
    <w:p w14:paraId="6D9FD5DF">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（一）组织机构</w:t>
      </w:r>
    </w:p>
    <w:p w14:paraId="43A2A0BC">
      <w:pPr>
        <w:pStyle w:val="2"/>
        <w:spacing w:after="0" w:line="360" w:lineRule="auto"/>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1.成立由赛项执委会主任为组长的赛项安全保障小组，成员包括承办院校及合作企业等相关人员。</w:t>
      </w:r>
    </w:p>
    <w:p w14:paraId="5B7E8D9F">
      <w:pPr>
        <w:pStyle w:val="2"/>
        <w:spacing w:after="0" w:line="360" w:lineRule="auto"/>
        <w:ind w:firstLine="560" w:firstLineChars="200"/>
        <w:rPr>
          <w:rFonts w:ascii="Times New Roman" w:hAnsi="Times New Roman" w:eastAsia="仿宋_GB2312"/>
          <w:color w:val="000000"/>
          <w:sz w:val="28"/>
          <w:szCs w:val="28"/>
        </w:rPr>
      </w:pPr>
      <w:r>
        <w:rPr>
          <w:rFonts w:ascii="Times New Roman" w:hAnsi="Times New Roman" w:eastAsia="仿宋_GB2312"/>
          <w:color w:val="000000"/>
          <w:sz w:val="28"/>
          <w:szCs w:val="28"/>
        </w:rPr>
        <w:t>2.与地方相关部门建立协调机制，制定应急预案，及时处置突发事件，保证比赛安全进行。</w:t>
      </w:r>
    </w:p>
    <w:p w14:paraId="3C4655CD">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 xml:space="preserve">（二）比赛环境安全管理要求 </w:t>
      </w:r>
    </w:p>
    <w:p w14:paraId="66F08C1E">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 xml:space="preserve">1.保证各通道口畅通，并配备专门人员看守，控制人员流量和赛场观众饱和度，张贴安全指示标识。 </w:t>
      </w:r>
    </w:p>
    <w:p w14:paraId="7C6778ED">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 xml:space="preserve">2.赛场周围设立警戒线，无关人员不得入内。所有参赛人员必须凭赛项执委会印发的有效证件进入场地。 </w:t>
      </w:r>
    </w:p>
    <w:p w14:paraId="38EBEE40">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3.配备必要的医护人员和医疗药品，有应急抢救预案。</w:t>
      </w:r>
    </w:p>
    <w:p w14:paraId="287A70B9">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 xml:space="preserve">4.设置突发事件应急疏散示意图。如遇特殊情况，服从大赛统一指挥。 </w:t>
      </w:r>
    </w:p>
    <w:p w14:paraId="00398743">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 xml:space="preserve">（三）生活条件保障 </w:t>
      </w:r>
    </w:p>
    <w:p w14:paraId="70FA37F0">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 xml:space="preserve">1.原则上由执委会统一安排参赛队食宿。承办院校须尊重少数民族参赛人员的宗教信仰及文化习俗，安排好少数民族参赛选手和教师的饮食起居。 </w:t>
      </w:r>
    </w:p>
    <w:p w14:paraId="5BAA7EEA">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 xml:space="preserve">2.竞赛期间安排的住宿地应具有经营许可资质。以学校宿舍作为住宿地的，大赛期间的住宿、饮食安全等由执委会和提供宿舍的学校共同负责。 </w:t>
      </w:r>
    </w:p>
    <w:p w14:paraId="23DB66A3">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 xml:space="preserve">（四）组队责任 </w:t>
      </w:r>
    </w:p>
    <w:p w14:paraId="7F8C8235">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1.各学校组织代表队时，须安排为参赛选手购买大赛期间的人身意外伤害保险。</w:t>
      </w:r>
    </w:p>
    <w:p w14:paraId="5179F74C">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2.各学校代表队组成后，须制定相关管理制度，并对所有选手、指导教师进行安全教育，实现与赛场安全管理的对接。</w:t>
      </w:r>
    </w:p>
    <w:p w14:paraId="7C690E87">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（五）应急处理</w:t>
      </w:r>
    </w:p>
    <w:p w14:paraId="55B6419B">
      <w:pPr>
        <w:adjustRightInd w:val="0"/>
        <w:snapToGrid w:val="0"/>
        <w:spacing w:line="360" w:lineRule="auto"/>
        <w:ind w:firstLine="560" w:firstLineChars="200"/>
        <w:rPr>
          <w:rFonts w:ascii="Times New Roman" w:hAnsi="Times New Roman" w:eastAsia="微软雅黑" w:cs="Times New Roman"/>
          <w:sz w:val="24"/>
        </w:rPr>
      </w:pPr>
      <w:r>
        <w:rPr>
          <w:rFonts w:ascii="Times New Roman" w:hAnsi="Times New Roman" w:eastAsia="仿宋_GB2312" w:cs="Times New Roman"/>
          <w:color w:val="000000"/>
          <w:sz w:val="28"/>
          <w:szCs w:val="28"/>
        </w:rPr>
        <w:t>比赛期间发生意外事故时，发现者应在第一时间上报，同时采取措施，避免事态扩大。赛项执委会应立即启动预案予以解决并向赛区执委会报告。出现重大安全问题的赛项可以停赛，是否停赛由赛区组委会决定。事后，赛区执委会应向大赛执委会报告详细情况。</w:t>
      </w:r>
    </w:p>
    <w:p w14:paraId="2D68A4F1">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成绩评定</w:t>
      </w:r>
    </w:p>
    <w:p w14:paraId="25369212">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（一）评分原则</w:t>
      </w:r>
    </w:p>
    <w:p w14:paraId="0326A2BF">
      <w:pPr>
        <w:spacing w:line="360" w:lineRule="auto"/>
        <w:ind w:firstLine="562" w:firstLineChars="200"/>
        <w:outlineLvl w:val="2"/>
        <w:rPr>
          <w:rFonts w:ascii="Times New Roman" w:hAnsi="Times New Roman" w:eastAsia="仿宋_GB2312" w:cs="Times New Roman"/>
          <w:b/>
          <w:sz w:val="28"/>
          <w:szCs w:val="28"/>
        </w:rPr>
      </w:pPr>
      <w:r>
        <w:rPr>
          <w:rFonts w:ascii="Times New Roman" w:hAnsi="Times New Roman" w:eastAsia="仿宋_GB2312" w:cs="Times New Roman"/>
          <w:b/>
          <w:sz w:val="28"/>
          <w:szCs w:val="28"/>
        </w:rPr>
        <w:t>1.结果评分原则</w:t>
      </w:r>
    </w:p>
    <w:p w14:paraId="6D350CC1">
      <w:pPr>
        <w:snapToGrid w:val="0"/>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评分裁判对参赛选手提交的竞赛成果物，依据赛项评价标准进行评分。</w:t>
      </w:r>
    </w:p>
    <w:p w14:paraId="6887F256">
      <w:pPr>
        <w:spacing w:line="360" w:lineRule="auto"/>
        <w:ind w:firstLine="562" w:firstLineChars="200"/>
        <w:outlineLvl w:val="2"/>
        <w:rPr>
          <w:rFonts w:ascii="Times New Roman" w:hAnsi="Times New Roman" w:eastAsia="仿宋_GB2312" w:cs="Times New Roman"/>
          <w:b/>
          <w:sz w:val="28"/>
          <w:szCs w:val="28"/>
        </w:rPr>
      </w:pPr>
      <w:r>
        <w:rPr>
          <w:rFonts w:ascii="Times New Roman" w:hAnsi="Times New Roman" w:eastAsia="仿宋_GB2312" w:cs="Times New Roman"/>
          <w:b/>
          <w:sz w:val="28"/>
          <w:szCs w:val="28"/>
        </w:rPr>
        <w:t>2.独立评分原则</w:t>
      </w:r>
    </w:p>
    <w:p w14:paraId="18045ACC">
      <w:pPr>
        <w:snapToGrid w:val="0"/>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根据裁判分工，负责相同模块评分工作的不同裁判采取随机抽签独立评分，确保成绩评定严谨、客观、准确。</w:t>
      </w:r>
    </w:p>
    <w:p w14:paraId="74BED8E1">
      <w:pPr>
        <w:snapToGrid w:val="0"/>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（1）裁判进行随机抽签分组，杜绝主观意愿组队，各自完全独立评分，裁判员间互不干涉。</w:t>
      </w:r>
    </w:p>
    <w:p w14:paraId="3D0EE08A">
      <w:pPr>
        <w:pStyle w:val="29"/>
        <w:snapToGrid w:val="0"/>
        <w:spacing w:line="360" w:lineRule="auto"/>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（2）裁判统一安排在一间工作室评分，比赛监督人员可随机监督。</w:t>
      </w:r>
    </w:p>
    <w:p w14:paraId="6ECB63B3">
      <w:pPr>
        <w:spacing w:line="360" w:lineRule="auto"/>
        <w:ind w:firstLine="562" w:firstLineChars="200"/>
        <w:outlineLvl w:val="2"/>
        <w:rPr>
          <w:rFonts w:ascii="Times New Roman" w:hAnsi="Times New Roman" w:eastAsia="仿宋_GB2312" w:cs="Times New Roman"/>
          <w:b/>
          <w:sz w:val="28"/>
          <w:szCs w:val="28"/>
        </w:rPr>
      </w:pPr>
      <w:r>
        <w:rPr>
          <w:rFonts w:ascii="Times New Roman" w:hAnsi="Times New Roman" w:eastAsia="仿宋_GB2312" w:cs="Times New Roman"/>
          <w:b/>
          <w:sz w:val="28"/>
          <w:szCs w:val="28"/>
        </w:rPr>
        <w:t>3.错误不传递原则</w:t>
      </w:r>
    </w:p>
    <w:p w14:paraId="3B98AF13">
      <w:pPr>
        <w:snapToGrid w:val="0"/>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各环节分别计算得分，错误不传递，按规定比例计入总分。</w:t>
      </w:r>
    </w:p>
    <w:p w14:paraId="0401CD52">
      <w:pPr>
        <w:spacing w:line="360" w:lineRule="auto"/>
        <w:ind w:firstLine="562" w:firstLineChars="200"/>
        <w:outlineLvl w:val="2"/>
        <w:rPr>
          <w:rFonts w:ascii="Times New Roman" w:hAnsi="Times New Roman" w:eastAsia="仿宋_GB2312" w:cs="Times New Roman"/>
          <w:b/>
          <w:sz w:val="28"/>
          <w:szCs w:val="28"/>
        </w:rPr>
      </w:pPr>
      <w:r>
        <w:rPr>
          <w:rFonts w:hint="eastAsia" w:ascii="Times New Roman" w:hAnsi="Times New Roman" w:eastAsia="仿宋_GB2312" w:cs="Times New Roman"/>
          <w:b/>
          <w:sz w:val="28"/>
          <w:szCs w:val="28"/>
        </w:rPr>
        <w:t>4</w:t>
      </w:r>
      <w:r>
        <w:rPr>
          <w:rFonts w:ascii="Times New Roman" w:hAnsi="Times New Roman" w:eastAsia="仿宋_GB2312" w:cs="Times New Roman"/>
          <w:b/>
          <w:sz w:val="28"/>
          <w:szCs w:val="28"/>
        </w:rPr>
        <w:t>.抽查复核原则</w:t>
      </w:r>
    </w:p>
    <w:p w14:paraId="2AF3234F">
      <w:pPr>
        <w:snapToGrid w:val="0"/>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（1）为保障成绩评判的准确性，监督组对赛项总成绩排名前30%的所有参赛队伍（选手）的成绩进行复核；对其余成绩进行抽检复核，抽检覆盖率不得低于15%。</w:t>
      </w:r>
    </w:p>
    <w:p w14:paraId="4BA15E74">
      <w:pPr>
        <w:pStyle w:val="29"/>
        <w:snapToGrid w:val="0"/>
        <w:spacing w:line="360" w:lineRule="auto"/>
        <w:ind w:firstLine="560"/>
        <w:rPr>
          <w:rFonts w:ascii="Times New Roman" w:hAnsi="Times New Roman" w:eastAsia="仿宋_GB2312" w:cs="Times New Roman"/>
          <w:b/>
          <w:sz w:val="28"/>
          <w:szCs w:val="28"/>
        </w:rPr>
      </w:pPr>
      <w:r>
        <w:rPr>
          <w:rFonts w:ascii="Times New Roman" w:hAnsi="Times New Roman" w:eastAsia="仿宋_GB2312" w:cs="Times New Roman"/>
          <w:sz w:val="28"/>
          <w:szCs w:val="28"/>
        </w:rPr>
        <w:t>（2）监督组需将复检中发现的错误以书面方式及时告知裁判长，由裁判长更正成绩并签字确认。复核、抽检错误率超过5%的，则认定为非小概率事件，裁判组需对所有成绩进行复核。</w:t>
      </w:r>
    </w:p>
    <w:p w14:paraId="0D1F73E6">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（二）评分标准</w:t>
      </w:r>
    </w:p>
    <w:p w14:paraId="339BA385">
      <w:pPr>
        <w:snapToGrid w:val="0"/>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本次竞赛</w:t>
      </w:r>
      <w:bookmarkStart w:id="2" w:name="_Toc481314006"/>
      <w:r>
        <w:rPr>
          <w:rFonts w:ascii="Times New Roman" w:hAnsi="Times New Roman" w:eastAsia="仿宋_GB2312" w:cs="Times New Roman"/>
          <w:sz w:val="28"/>
          <w:szCs w:val="28"/>
        </w:rPr>
        <w:t>评分采用裁判分工协作，</w:t>
      </w:r>
      <w:bookmarkEnd w:id="2"/>
      <w:r>
        <w:rPr>
          <w:rFonts w:ascii="Times New Roman" w:hAnsi="Times New Roman" w:eastAsia="仿宋_GB2312" w:cs="Times New Roman"/>
          <w:sz w:val="28"/>
          <w:szCs w:val="28"/>
        </w:rPr>
        <w:t>按子模块设置若干个评分小组，2名裁判为一个小组，各自给出该子模块的分值，2名裁判取平均值作为该项子模块得分；若2名裁判评分偏差大于30%，需要在裁判长监督下重新评分。</w:t>
      </w:r>
    </w:p>
    <w:p w14:paraId="7213F839">
      <w:pPr>
        <w:adjustRightInd w:val="0"/>
        <w:snapToGrid w:val="0"/>
        <w:spacing w:line="360" w:lineRule="auto"/>
        <w:ind w:right="210" w:rightChars="100"/>
        <w:jc w:val="center"/>
        <w:rPr>
          <w:rFonts w:ascii="Times New Roman" w:hAnsi="Times New Roman" w:eastAsia="黑体" w:cs="Times New Roman"/>
          <w:bCs/>
          <w:sz w:val="24"/>
        </w:rPr>
      </w:pPr>
      <w:r>
        <w:rPr>
          <w:rFonts w:ascii="Times New Roman" w:hAnsi="Times New Roman" w:eastAsia="黑体" w:cs="Times New Roman"/>
          <w:bCs/>
          <w:sz w:val="24"/>
        </w:rPr>
        <w:t>表</w:t>
      </w:r>
      <w:r>
        <w:rPr>
          <w:rFonts w:hint="eastAsia" w:ascii="Times New Roman" w:hAnsi="Times New Roman" w:eastAsia="黑体" w:cs="Times New Roman"/>
          <w:bCs/>
          <w:sz w:val="24"/>
        </w:rPr>
        <w:t>8</w:t>
      </w:r>
      <w:r>
        <w:rPr>
          <w:rFonts w:ascii="Times New Roman" w:hAnsi="Times New Roman" w:eastAsia="黑体" w:cs="Times New Roman"/>
          <w:bCs/>
          <w:sz w:val="24"/>
        </w:rPr>
        <w:t xml:space="preserve"> 评分样例一览表</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8"/>
        <w:gridCol w:w="697"/>
        <w:gridCol w:w="1260"/>
        <w:gridCol w:w="4140"/>
        <w:gridCol w:w="756"/>
        <w:gridCol w:w="651"/>
      </w:tblGrid>
      <w:tr w14:paraId="2FCDDF09">
        <w:trPr>
          <w:trHeight w:val="624" w:hRule="atLeast"/>
          <w:jc w:val="center"/>
        </w:trPr>
        <w:tc>
          <w:tcPr>
            <w:tcW w:w="828" w:type="dxa"/>
            <w:vAlign w:val="center"/>
          </w:tcPr>
          <w:p w14:paraId="6FDA636A">
            <w:pPr>
              <w:ind w:left="-105" w:leftChars="-50" w:right="-105" w:rightChars="-50" w:firstLine="241"/>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模块</w:t>
            </w:r>
          </w:p>
        </w:tc>
        <w:tc>
          <w:tcPr>
            <w:tcW w:w="697" w:type="dxa"/>
            <w:vAlign w:val="center"/>
          </w:tcPr>
          <w:p w14:paraId="140844C8">
            <w:pPr>
              <w:ind w:left="-105" w:leftChars="-50" w:right="-105" w:rightChars="-50" w:firstLine="241"/>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任务</w:t>
            </w:r>
          </w:p>
        </w:tc>
        <w:tc>
          <w:tcPr>
            <w:tcW w:w="1260" w:type="dxa"/>
            <w:vAlign w:val="center"/>
          </w:tcPr>
          <w:p w14:paraId="05C2C826">
            <w:pPr>
              <w:ind w:left="-105" w:leftChars="-50" w:right="-105" w:rightChars="-50" w:firstLine="241"/>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评分项编号</w:t>
            </w:r>
          </w:p>
        </w:tc>
        <w:tc>
          <w:tcPr>
            <w:tcW w:w="4140" w:type="dxa"/>
            <w:vAlign w:val="center"/>
          </w:tcPr>
          <w:p w14:paraId="62F4C737">
            <w:pPr>
              <w:ind w:left="-105" w:leftChars="-50" w:right="-105" w:rightChars="-50" w:firstLine="241"/>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评分项描述</w:t>
            </w:r>
          </w:p>
        </w:tc>
        <w:tc>
          <w:tcPr>
            <w:tcW w:w="720" w:type="dxa"/>
            <w:vAlign w:val="center"/>
          </w:tcPr>
          <w:p w14:paraId="3479B5E9">
            <w:pPr>
              <w:ind w:left="-105" w:leftChars="-50" w:right="-105" w:rightChars="-50" w:firstLine="241"/>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分值</w:t>
            </w:r>
          </w:p>
        </w:tc>
        <w:tc>
          <w:tcPr>
            <w:tcW w:w="651" w:type="dxa"/>
            <w:vAlign w:val="center"/>
          </w:tcPr>
          <w:p w14:paraId="3256C1CE">
            <w:pPr>
              <w:ind w:left="-105" w:leftChars="-50" w:right="-105" w:rightChars="-50" w:firstLine="241"/>
              <w:jc w:val="center"/>
              <w:rPr>
                <w:rFonts w:ascii="Times New Roman" w:hAnsi="Times New Roman" w:eastAsia="仿宋_GB2312" w:cs="Times New Roman"/>
                <w:b/>
                <w:bCs/>
                <w:kern w:val="0"/>
                <w:sz w:val="24"/>
              </w:rPr>
            </w:pPr>
            <w:r>
              <w:rPr>
                <w:rFonts w:ascii="Times New Roman" w:hAnsi="Times New Roman" w:eastAsia="仿宋_GB2312" w:cs="Times New Roman"/>
                <w:b/>
                <w:bCs/>
                <w:kern w:val="0"/>
                <w:sz w:val="24"/>
              </w:rPr>
              <w:t>评分</w:t>
            </w:r>
          </w:p>
        </w:tc>
      </w:tr>
      <w:tr w14:paraId="6A321AB4">
        <w:trPr>
          <w:trHeight w:val="624" w:hRule="atLeast"/>
          <w:jc w:val="center"/>
        </w:trPr>
        <w:tc>
          <w:tcPr>
            <w:tcW w:w="828" w:type="dxa"/>
            <w:vMerge w:val="restart"/>
            <w:vAlign w:val="center"/>
          </w:tcPr>
          <w:p w14:paraId="109AA20D">
            <w:pPr>
              <w:spacing w:line="34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模块一：系统需求分析</w:t>
            </w:r>
          </w:p>
        </w:tc>
        <w:tc>
          <w:tcPr>
            <w:tcW w:w="697" w:type="dxa"/>
            <w:vMerge w:val="restart"/>
            <w:vAlign w:val="center"/>
          </w:tcPr>
          <w:p w14:paraId="77563DF4">
            <w:pPr>
              <w:spacing w:line="34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任务1：固定碳排放</w:t>
            </w:r>
          </w:p>
        </w:tc>
        <w:tc>
          <w:tcPr>
            <w:tcW w:w="1260" w:type="dxa"/>
            <w:vAlign w:val="center"/>
          </w:tcPr>
          <w:p w14:paraId="6CD904A5">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1-1-1</w:t>
            </w:r>
          </w:p>
        </w:tc>
        <w:tc>
          <w:tcPr>
            <w:tcW w:w="4140" w:type="dxa"/>
            <w:vAlign w:val="center"/>
          </w:tcPr>
          <w:p w14:paraId="001627AB">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原型绘制：</w:t>
            </w:r>
          </w:p>
          <w:p w14:paraId="33BF1484">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进入双碳管理系统主界面，点击左侧智造双碳—双碳配置内的固定碳排放标签，进入固定碳排放页面，实现固定碳排放管理数据列表显示，数据列表显示内容应包括：编号、能耗项、项目类型、时间类型、能耗数、预警阙值、【修改】和【删除】按钮。</w:t>
            </w:r>
          </w:p>
        </w:tc>
        <w:tc>
          <w:tcPr>
            <w:tcW w:w="720" w:type="dxa"/>
            <w:vAlign w:val="center"/>
          </w:tcPr>
          <w:p w14:paraId="6B769E8B">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0.4</w:t>
            </w:r>
          </w:p>
        </w:tc>
        <w:tc>
          <w:tcPr>
            <w:tcW w:w="651" w:type="dxa"/>
            <w:vAlign w:val="center"/>
          </w:tcPr>
          <w:p w14:paraId="0CBD7667">
            <w:pPr>
              <w:spacing w:line="360" w:lineRule="exact"/>
              <w:ind w:firstLine="240"/>
              <w:jc w:val="center"/>
              <w:rPr>
                <w:rFonts w:ascii="Times New Roman" w:hAnsi="Times New Roman" w:eastAsia="仿宋_GB2312" w:cs="Times New Roman"/>
                <w:kern w:val="0"/>
                <w:sz w:val="24"/>
              </w:rPr>
            </w:pPr>
          </w:p>
        </w:tc>
      </w:tr>
      <w:tr w14:paraId="070E974A">
        <w:trPr>
          <w:trHeight w:val="624" w:hRule="atLeast"/>
          <w:jc w:val="center"/>
        </w:trPr>
        <w:tc>
          <w:tcPr>
            <w:tcW w:w="828" w:type="dxa"/>
            <w:vMerge w:val="continue"/>
            <w:vAlign w:val="center"/>
          </w:tcPr>
          <w:p w14:paraId="17BBD0EC">
            <w:pPr>
              <w:spacing w:line="340" w:lineRule="exact"/>
              <w:ind w:firstLine="240"/>
              <w:jc w:val="center"/>
              <w:rPr>
                <w:rFonts w:ascii="Times New Roman" w:hAnsi="Times New Roman" w:eastAsia="仿宋_GB2312" w:cs="Times New Roman"/>
                <w:kern w:val="0"/>
                <w:sz w:val="24"/>
              </w:rPr>
            </w:pPr>
          </w:p>
        </w:tc>
        <w:tc>
          <w:tcPr>
            <w:tcW w:w="697" w:type="dxa"/>
            <w:vMerge w:val="continue"/>
            <w:vAlign w:val="center"/>
          </w:tcPr>
          <w:p w14:paraId="404DDA7D">
            <w:pPr>
              <w:spacing w:line="340" w:lineRule="exact"/>
              <w:ind w:firstLine="240"/>
              <w:jc w:val="center"/>
              <w:rPr>
                <w:rFonts w:ascii="Times New Roman" w:hAnsi="Times New Roman" w:eastAsia="仿宋_GB2312" w:cs="Times New Roman"/>
                <w:kern w:val="0"/>
                <w:sz w:val="24"/>
              </w:rPr>
            </w:pPr>
          </w:p>
        </w:tc>
        <w:tc>
          <w:tcPr>
            <w:tcW w:w="1260" w:type="dxa"/>
            <w:vAlign w:val="center"/>
          </w:tcPr>
          <w:p w14:paraId="371C9C61">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1-1-2</w:t>
            </w:r>
          </w:p>
        </w:tc>
        <w:tc>
          <w:tcPr>
            <w:tcW w:w="4140" w:type="dxa"/>
            <w:vAlign w:val="center"/>
          </w:tcPr>
          <w:p w14:paraId="02B866C7">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原型绘制：</w:t>
            </w:r>
          </w:p>
          <w:p w14:paraId="725B82A3">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点击【修改】按钮后弹出【修改固定碳排放】对话框，对话框中可修改内容包括：能耗项（*必填项）、项目类型、时间类型、能耗数、预警阙值、备注，修改完成后点击【确定】按钮可保存修改内容并刷新数据列表，若点击【取消】按钮可关闭对话框。点击【删除】按钮可删除项目信息数据并提示“删除成功”字样。</w:t>
            </w:r>
          </w:p>
        </w:tc>
        <w:tc>
          <w:tcPr>
            <w:tcW w:w="720" w:type="dxa"/>
            <w:vAlign w:val="center"/>
          </w:tcPr>
          <w:p w14:paraId="01952DE4">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0.5</w:t>
            </w:r>
          </w:p>
        </w:tc>
        <w:tc>
          <w:tcPr>
            <w:tcW w:w="651" w:type="dxa"/>
            <w:vAlign w:val="center"/>
          </w:tcPr>
          <w:p w14:paraId="0444882A">
            <w:pPr>
              <w:spacing w:line="360" w:lineRule="exact"/>
              <w:ind w:firstLine="240"/>
              <w:jc w:val="center"/>
              <w:rPr>
                <w:rFonts w:ascii="Times New Roman" w:hAnsi="Times New Roman" w:eastAsia="仿宋_GB2312" w:cs="Times New Roman"/>
                <w:kern w:val="0"/>
                <w:sz w:val="24"/>
              </w:rPr>
            </w:pPr>
          </w:p>
        </w:tc>
      </w:tr>
      <w:tr w14:paraId="4419F24E">
        <w:trPr>
          <w:trHeight w:val="624" w:hRule="atLeast"/>
          <w:jc w:val="center"/>
        </w:trPr>
        <w:tc>
          <w:tcPr>
            <w:tcW w:w="828" w:type="dxa"/>
            <w:vMerge w:val="continue"/>
            <w:vAlign w:val="center"/>
          </w:tcPr>
          <w:p w14:paraId="7BD69291">
            <w:pPr>
              <w:spacing w:line="340" w:lineRule="exact"/>
              <w:ind w:firstLine="240"/>
              <w:jc w:val="center"/>
              <w:rPr>
                <w:rFonts w:ascii="Times New Roman" w:hAnsi="Times New Roman" w:eastAsia="仿宋_GB2312" w:cs="Times New Roman"/>
                <w:kern w:val="0"/>
                <w:sz w:val="24"/>
              </w:rPr>
            </w:pPr>
          </w:p>
        </w:tc>
        <w:tc>
          <w:tcPr>
            <w:tcW w:w="697" w:type="dxa"/>
            <w:vMerge w:val="continue"/>
            <w:vAlign w:val="center"/>
          </w:tcPr>
          <w:p w14:paraId="4A185E52">
            <w:pPr>
              <w:spacing w:line="340" w:lineRule="exact"/>
              <w:ind w:firstLine="240"/>
              <w:jc w:val="center"/>
              <w:rPr>
                <w:rFonts w:ascii="Times New Roman" w:hAnsi="Times New Roman" w:eastAsia="仿宋_GB2312" w:cs="Times New Roman"/>
                <w:kern w:val="0"/>
                <w:sz w:val="24"/>
              </w:rPr>
            </w:pPr>
          </w:p>
        </w:tc>
        <w:tc>
          <w:tcPr>
            <w:tcW w:w="1260" w:type="dxa"/>
            <w:vAlign w:val="center"/>
          </w:tcPr>
          <w:p w14:paraId="19756D89">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1-1-3</w:t>
            </w:r>
          </w:p>
        </w:tc>
        <w:tc>
          <w:tcPr>
            <w:tcW w:w="4140" w:type="dxa"/>
            <w:vAlign w:val="center"/>
          </w:tcPr>
          <w:p w14:paraId="1B2516B4">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原型绘制：</w:t>
            </w:r>
          </w:p>
          <w:p w14:paraId="0C318ADA">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数据列表上方搜索框中输入能耗项、项目类型、时间类型后点击【搜索】按钮，可实现按搜索条件模糊查询的功能并刷新列表数据，若点击【重置】按钮可清空输入的查询条件。</w:t>
            </w:r>
          </w:p>
        </w:tc>
        <w:tc>
          <w:tcPr>
            <w:tcW w:w="720" w:type="dxa"/>
            <w:vAlign w:val="center"/>
          </w:tcPr>
          <w:p w14:paraId="418CAF93">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0.4</w:t>
            </w:r>
          </w:p>
        </w:tc>
        <w:tc>
          <w:tcPr>
            <w:tcW w:w="651" w:type="dxa"/>
            <w:vAlign w:val="center"/>
          </w:tcPr>
          <w:p w14:paraId="526D2BB6">
            <w:pPr>
              <w:spacing w:line="360" w:lineRule="exact"/>
              <w:ind w:firstLine="240"/>
              <w:jc w:val="center"/>
              <w:rPr>
                <w:rFonts w:ascii="Times New Roman" w:hAnsi="Times New Roman" w:eastAsia="仿宋_GB2312" w:cs="Times New Roman"/>
                <w:kern w:val="0"/>
                <w:sz w:val="24"/>
              </w:rPr>
            </w:pPr>
          </w:p>
        </w:tc>
      </w:tr>
      <w:tr w14:paraId="2CBE9DED">
        <w:trPr>
          <w:trHeight w:val="624" w:hRule="atLeast"/>
          <w:jc w:val="center"/>
        </w:trPr>
        <w:tc>
          <w:tcPr>
            <w:tcW w:w="828" w:type="dxa"/>
            <w:vMerge w:val="continue"/>
            <w:vAlign w:val="center"/>
          </w:tcPr>
          <w:p w14:paraId="7604472F">
            <w:pPr>
              <w:spacing w:line="340" w:lineRule="exact"/>
              <w:ind w:firstLine="240"/>
              <w:jc w:val="center"/>
              <w:rPr>
                <w:rFonts w:ascii="Times New Roman" w:hAnsi="Times New Roman" w:eastAsia="仿宋_GB2312" w:cs="Times New Roman"/>
                <w:kern w:val="0"/>
                <w:sz w:val="24"/>
              </w:rPr>
            </w:pPr>
          </w:p>
        </w:tc>
        <w:tc>
          <w:tcPr>
            <w:tcW w:w="697" w:type="dxa"/>
            <w:vMerge w:val="continue"/>
            <w:vAlign w:val="center"/>
          </w:tcPr>
          <w:p w14:paraId="581611B7">
            <w:pPr>
              <w:spacing w:line="340" w:lineRule="exact"/>
              <w:ind w:firstLine="240"/>
              <w:jc w:val="center"/>
              <w:rPr>
                <w:rFonts w:ascii="Times New Roman" w:hAnsi="Times New Roman" w:eastAsia="仿宋_GB2312" w:cs="Times New Roman"/>
                <w:kern w:val="0"/>
                <w:sz w:val="24"/>
              </w:rPr>
            </w:pPr>
          </w:p>
        </w:tc>
        <w:tc>
          <w:tcPr>
            <w:tcW w:w="1260" w:type="dxa"/>
            <w:vAlign w:val="center"/>
          </w:tcPr>
          <w:p w14:paraId="722177DB">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1-1-4</w:t>
            </w:r>
          </w:p>
        </w:tc>
        <w:tc>
          <w:tcPr>
            <w:tcW w:w="4140" w:type="dxa"/>
            <w:vAlign w:val="center"/>
          </w:tcPr>
          <w:p w14:paraId="4AA7BF17">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原型绘制：</w:t>
            </w:r>
          </w:p>
          <w:p w14:paraId="46287C37">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数据列表上方显示【新建】按钮，点击【新建】按钮后，在弹出的【添加固定碳排放】对话框中输入能耗项（*必填项）、项目类型、时间类型、能耗数、预警阙值、备注后点击【确定】按钮可新建固定碳排放数据并提示“新建成功”字样，若点击【取消】按钮可关闭对话框。</w:t>
            </w:r>
          </w:p>
        </w:tc>
        <w:tc>
          <w:tcPr>
            <w:tcW w:w="720" w:type="dxa"/>
            <w:vAlign w:val="center"/>
          </w:tcPr>
          <w:p w14:paraId="4D8490A5">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0.5</w:t>
            </w:r>
          </w:p>
        </w:tc>
        <w:tc>
          <w:tcPr>
            <w:tcW w:w="651" w:type="dxa"/>
            <w:vAlign w:val="center"/>
          </w:tcPr>
          <w:p w14:paraId="5CF748FC">
            <w:pPr>
              <w:spacing w:line="360" w:lineRule="exact"/>
              <w:ind w:firstLine="240"/>
              <w:jc w:val="center"/>
              <w:rPr>
                <w:rFonts w:ascii="Times New Roman" w:hAnsi="Times New Roman" w:eastAsia="仿宋_GB2312" w:cs="Times New Roman"/>
                <w:kern w:val="0"/>
                <w:sz w:val="24"/>
              </w:rPr>
            </w:pPr>
          </w:p>
        </w:tc>
      </w:tr>
      <w:tr w14:paraId="0995A486">
        <w:trPr>
          <w:trHeight w:val="624" w:hRule="atLeast"/>
          <w:jc w:val="center"/>
        </w:trPr>
        <w:tc>
          <w:tcPr>
            <w:tcW w:w="828" w:type="dxa"/>
            <w:vMerge w:val="continue"/>
            <w:vAlign w:val="center"/>
          </w:tcPr>
          <w:p w14:paraId="6F554329">
            <w:pPr>
              <w:spacing w:line="340" w:lineRule="exact"/>
              <w:ind w:firstLine="240"/>
              <w:jc w:val="center"/>
              <w:rPr>
                <w:rFonts w:ascii="Times New Roman" w:hAnsi="Times New Roman" w:eastAsia="仿宋_GB2312" w:cs="Times New Roman"/>
                <w:kern w:val="0"/>
                <w:sz w:val="24"/>
              </w:rPr>
            </w:pPr>
          </w:p>
        </w:tc>
        <w:tc>
          <w:tcPr>
            <w:tcW w:w="697" w:type="dxa"/>
            <w:vMerge w:val="continue"/>
            <w:vAlign w:val="center"/>
          </w:tcPr>
          <w:p w14:paraId="1C7E99D4">
            <w:pPr>
              <w:spacing w:line="340" w:lineRule="exact"/>
              <w:ind w:firstLine="240"/>
              <w:jc w:val="center"/>
              <w:rPr>
                <w:rFonts w:ascii="Times New Roman" w:hAnsi="Times New Roman" w:eastAsia="仿宋_GB2312" w:cs="Times New Roman"/>
                <w:kern w:val="0"/>
                <w:sz w:val="24"/>
              </w:rPr>
            </w:pPr>
          </w:p>
        </w:tc>
        <w:tc>
          <w:tcPr>
            <w:tcW w:w="1260" w:type="dxa"/>
            <w:vAlign w:val="center"/>
          </w:tcPr>
          <w:p w14:paraId="605CBE18">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1-1-5</w:t>
            </w:r>
          </w:p>
        </w:tc>
        <w:tc>
          <w:tcPr>
            <w:tcW w:w="4140" w:type="dxa"/>
            <w:vAlign w:val="center"/>
          </w:tcPr>
          <w:p w14:paraId="04FA4FA0">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需求说明：概要简述。</w:t>
            </w:r>
          </w:p>
        </w:tc>
        <w:tc>
          <w:tcPr>
            <w:tcW w:w="720" w:type="dxa"/>
            <w:vAlign w:val="center"/>
          </w:tcPr>
          <w:p w14:paraId="4E378410">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0.2</w:t>
            </w:r>
          </w:p>
        </w:tc>
        <w:tc>
          <w:tcPr>
            <w:tcW w:w="651" w:type="dxa"/>
            <w:vAlign w:val="center"/>
          </w:tcPr>
          <w:p w14:paraId="279898D9">
            <w:pPr>
              <w:spacing w:line="360" w:lineRule="exact"/>
              <w:ind w:firstLine="240"/>
              <w:jc w:val="center"/>
              <w:rPr>
                <w:rFonts w:ascii="Times New Roman" w:hAnsi="Times New Roman" w:eastAsia="仿宋_GB2312" w:cs="Times New Roman"/>
                <w:kern w:val="0"/>
                <w:sz w:val="24"/>
              </w:rPr>
            </w:pPr>
          </w:p>
        </w:tc>
      </w:tr>
      <w:tr w14:paraId="7F9A55E1">
        <w:trPr>
          <w:trHeight w:val="624" w:hRule="atLeast"/>
          <w:jc w:val="center"/>
        </w:trPr>
        <w:tc>
          <w:tcPr>
            <w:tcW w:w="828" w:type="dxa"/>
            <w:vMerge w:val="continue"/>
            <w:vAlign w:val="center"/>
          </w:tcPr>
          <w:p w14:paraId="3F4FB84E">
            <w:pPr>
              <w:spacing w:line="340" w:lineRule="exact"/>
              <w:ind w:firstLine="240"/>
              <w:jc w:val="center"/>
              <w:rPr>
                <w:rFonts w:ascii="Times New Roman" w:hAnsi="Times New Roman" w:eastAsia="仿宋_GB2312" w:cs="Times New Roman"/>
                <w:kern w:val="0"/>
                <w:sz w:val="24"/>
              </w:rPr>
            </w:pPr>
          </w:p>
        </w:tc>
        <w:tc>
          <w:tcPr>
            <w:tcW w:w="697" w:type="dxa"/>
            <w:vMerge w:val="continue"/>
            <w:vAlign w:val="center"/>
          </w:tcPr>
          <w:p w14:paraId="18631F0B">
            <w:pPr>
              <w:spacing w:line="340" w:lineRule="exact"/>
              <w:ind w:firstLine="240"/>
              <w:jc w:val="center"/>
              <w:rPr>
                <w:rFonts w:ascii="Times New Roman" w:hAnsi="Times New Roman" w:eastAsia="仿宋_GB2312" w:cs="Times New Roman"/>
                <w:kern w:val="0"/>
                <w:sz w:val="24"/>
              </w:rPr>
            </w:pPr>
          </w:p>
        </w:tc>
        <w:tc>
          <w:tcPr>
            <w:tcW w:w="1260" w:type="dxa"/>
            <w:vAlign w:val="center"/>
          </w:tcPr>
          <w:p w14:paraId="18E25D22">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1-1-6</w:t>
            </w:r>
          </w:p>
        </w:tc>
        <w:tc>
          <w:tcPr>
            <w:tcW w:w="4140" w:type="dxa"/>
            <w:vAlign w:val="center"/>
          </w:tcPr>
          <w:p w14:paraId="1C9109C8">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需求说明：流程图/活动图。</w:t>
            </w:r>
          </w:p>
        </w:tc>
        <w:tc>
          <w:tcPr>
            <w:tcW w:w="720" w:type="dxa"/>
            <w:vAlign w:val="center"/>
          </w:tcPr>
          <w:p w14:paraId="0B7EDA10">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0.2</w:t>
            </w:r>
          </w:p>
        </w:tc>
        <w:tc>
          <w:tcPr>
            <w:tcW w:w="651" w:type="dxa"/>
            <w:vAlign w:val="center"/>
          </w:tcPr>
          <w:p w14:paraId="6E76553C">
            <w:pPr>
              <w:spacing w:line="360" w:lineRule="exact"/>
              <w:ind w:firstLine="240"/>
              <w:jc w:val="center"/>
              <w:rPr>
                <w:rFonts w:ascii="Times New Roman" w:hAnsi="Times New Roman" w:eastAsia="仿宋_GB2312" w:cs="Times New Roman"/>
                <w:kern w:val="0"/>
                <w:sz w:val="24"/>
              </w:rPr>
            </w:pPr>
          </w:p>
        </w:tc>
      </w:tr>
      <w:tr w14:paraId="41C470BF">
        <w:trPr>
          <w:trHeight w:val="624" w:hRule="atLeast"/>
          <w:jc w:val="center"/>
        </w:trPr>
        <w:tc>
          <w:tcPr>
            <w:tcW w:w="828" w:type="dxa"/>
            <w:vMerge w:val="continue"/>
            <w:vAlign w:val="center"/>
          </w:tcPr>
          <w:p w14:paraId="35662064">
            <w:pPr>
              <w:spacing w:line="340" w:lineRule="exact"/>
              <w:ind w:firstLine="240"/>
              <w:jc w:val="center"/>
              <w:rPr>
                <w:rFonts w:ascii="Times New Roman" w:hAnsi="Times New Roman" w:eastAsia="仿宋_GB2312" w:cs="Times New Roman"/>
                <w:kern w:val="0"/>
                <w:sz w:val="24"/>
              </w:rPr>
            </w:pPr>
          </w:p>
        </w:tc>
        <w:tc>
          <w:tcPr>
            <w:tcW w:w="697" w:type="dxa"/>
            <w:vMerge w:val="continue"/>
            <w:vAlign w:val="center"/>
          </w:tcPr>
          <w:p w14:paraId="18C14D38">
            <w:pPr>
              <w:spacing w:line="340" w:lineRule="exact"/>
              <w:ind w:firstLine="240"/>
              <w:jc w:val="center"/>
              <w:rPr>
                <w:rFonts w:ascii="Times New Roman" w:hAnsi="Times New Roman" w:eastAsia="仿宋_GB2312" w:cs="Times New Roman"/>
                <w:kern w:val="0"/>
                <w:sz w:val="24"/>
              </w:rPr>
            </w:pPr>
          </w:p>
        </w:tc>
        <w:tc>
          <w:tcPr>
            <w:tcW w:w="1260" w:type="dxa"/>
            <w:vAlign w:val="center"/>
          </w:tcPr>
          <w:p w14:paraId="042A9880">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1-1-7</w:t>
            </w:r>
          </w:p>
        </w:tc>
        <w:tc>
          <w:tcPr>
            <w:tcW w:w="4140" w:type="dxa"/>
            <w:vAlign w:val="center"/>
          </w:tcPr>
          <w:p w14:paraId="6D099B45">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需求说明：用例图。</w:t>
            </w:r>
          </w:p>
        </w:tc>
        <w:tc>
          <w:tcPr>
            <w:tcW w:w="720" w:type="dxa"/>
            <w:vAlign w:val="center"/>
          </w:tcPr>
          <w:p w14:paraId="300AC384">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0.2</w:t>
            </w:r>
          </w:p>
        </w:tc>
        <w:tc>
          <w:tcPr>
            <w:tcW w:w="651" w:type="dxa"/>
            <w:vAlign w:val="center"/>
          </w:tcPr>
          <w:p w14:paraId="2AB45EAD">
            <w:pPr>
              <w:spacing w:line="360" w:lineRule="exact"/>
              <w:ind w:firstLine="240"/>
              <w:jc w:val="center"/>
              <w:rPr>
                <w:rFonts w:ascii="Times New Roman" w:hAnsi="Times New Roman" w:eastAsia="仿宋_GB2312" w:cs="Times New Roman"/>
                <w:kern w:val="0"/>
                <w:sz w:val="24"/>
              </w:rPr>
            </w:pPr>
          </w:p>
        </w:tc>
      </w:tr>
      <w:tr w14:paraId="4105EA92">
        <w:trPr>
          <w:trHeight w:val="624" w:hRule="atLeast"/>
          <w:jc w:val="center"/>
        </w:trPr>
        <w:tc>
          <w:tcPr>
            <w:tcW w:w="828" w:type="dxa"/>
            <w:vMerge w:val="continue"/>
            <w:vAlign w:val="center"/>
          </w:tcPr>
          <w:p w14:paraId="0AE819D8">
            <w:pPr>
              <w:spacing w:line="340" w:lineRule="exact"/>
              <w:ind w:firstLine="240"/>
              <w:jc w:val="center"/>
              <w:rPr>
                <w:rFonts w:ascii="Times New Roman" w:hAnsi="Times New Roman" w:eastAsia="仿宋_GB2312" w:cs="Times New Roman"/>
                <w:kern w:val="0"/>
                <w:sz w:val="24"/>
              </w:rPr>
            </w:pPr>
          </w:p>
        </w:tc>
        <w:tc>
          <w:tcPr>
            <w:tcW w:w="697" w:type="dxa"/>
            <w:vMerge w:val="continue"/>
            <w:vAlign w:val="center"/>
          </w:tcPr>
          <w:p w14:paraId="1691BA60">
            <w:pPr>
              <w:spacing w:line="340" w:lineRule="exact"/>
              <w:ind w:firstLine="240"/>
              <w:jc w:val="center"/>
              <w:rPr>
                <w:rFonts w:ascii="Times New Roman" w:hAnsi="Times New Roman" w:eastAsia="仿宋_GB2312" w:cs="Times New Roman"/>
                <w:kern w:val="0"/>
                <w:sz w:val="24"/>
              </w:rPr>
            </w:pPr>
          </w:p>
        </w:tc>
        <w:tc>
          <w:tcPr>
            <w:tcW w:w="1260" w:type="dxa"/>
            <w:vAlign w:val="center"/>
          </w:tcPr>
          <w:p w14:paraId="0CF82FE8">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1-1-8</w:t>
            </w:r>
          </w:p>
        </w:tc>
        <w:tc>
          <w:tcPr>
            <w:tcW w:w="4140" w:type="dxa"/>
            <w:vAlign w:val="center"/>
          </w:tcPr>
          <w:p w14:paraId="11D5C448">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需求说明：类图。</w:t>
            </w:r>
          </w:p>
        </w:tc>
        <w:tc>
          <w:tcPr>
            <w:tcW w:w="720" w:type="dxa"/>
            <w:vAlign w:val="center"/>
          </w:tcPr>
          <w:p w14:paraId="0FC532EA">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0.2</w:t>
            </w:r>
          </w:p>
        </w:tc>
        <w:tc>
          <w:tcPr>
            <w:tcW w:w="651" w:type="dxa"/>
            <w:vAlign w:val="center"/>
          </w:tcPr>
          <w:p w14:paraId="3068072F">
            <w:pPr>
              <w:spacing w:line="360" w:lineRule="exact"/>
              <w:ind w:firstLine="240"/>
              <w:jc w:val="center"/>
              <w:rPr>
                <w:rFonts w:ascii="Times New Roman" w:hAnsi="Times New Roman" w:eastAsia="仿宋_GB2312" w:cs="Times New Roman"/>
                <w:kern w:val="0"/>
                <w:sz w:val="24"/>
              </w:rPr>
            </w:pPr>
          </w:p>
        </w:tc>
      </w:tr>
      <w:tr w14:paraId="6BC6B493">
        <w:trPr>
          <w:trHeight w:val="624" w:hRule="atLeast"/>
          <w:jc w:val="center"/>
        </w:trPr>
        <w:tc>
          <w:tcPr>
            <w:tcW w:w="828" w:type="dxa"/>
            <w:vMerge w:val="continue"/>
            <w:vAlign w:val="center"/>
          </w:tcPr>
          <w:p w14:paraId="21EFF698">
            <w:pPr>
              <w:spacing w:line="340" w:lineRule="exact"/>
              <w:ind w:firstLine="240"/>
              <w:jc w:val="center"/>
              <w:rPr>
                <w:rFonts w:ascii="Times New Roman" w:hAnsi="Times New Roman" w:eastAsia="仿宋_GB2312" w:cs="Times New Roman"/>
                <w:kern w:val="0"/>
                <w:sz w:val="24"/>
              </w:rPr>
            </w:pPr>
          </w:p>
        </w:tc>
        <w:tc>
          <w:tcPr>
            <w:tcW w:w="697" w:type="dxa"/>
            <w:vMerge w:val="continue"/>
            <w:vAlign w:val="center"/>
          </w:tcPr>
          <w:p w14:paraId="3DE3A40B">
            <w:pPr>
              <w:spacing w:line="340" w:lineRule="exact"/>
              <w:ind w:firstLine="240"/>
              <w:jc w:val="center"/>
              <w:rPr>
                <w:rFonts w:ascii="Times New Roman" w:hAnsi="Times New Roman" w:eastAsia="仿宋_GB2312" w:cs="Times New Roman"/>
                <w:kern w:val="0"/>
                <w:sz w:val="24"/>
              </w:rPr>
            </w:pPr>
          </w:p>
        </w:tc>
        <w:tc>
          <w:tcPr>
            <w:tcW w:w="1260" w:type="dxa"/>
            <w:vAlign w:val="center"/>
          </w:tcPr>
          <w:p w14:paraId="11E2FE17">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1-1-9</w:t>
            </w:r>
          </w:p>
        </w:tc>
        <w:tc>
          <w:tcPr>
            <w:tcW w:w="4140" w:type="dxa"/>
            <w:vAlign w:val="center"/>
          </w:tcPr>
          <w:p w14:paraId="1A41F820">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需求说明：时序图。</w:t>
            </w:r>
          </w:p>
        </w:tc>
        <w:tc>
          <w:tcPr>
            <w:tcW w:w="720" w:type="dxa"/>
            <w:vAlign w:val="center"/>
          </w:tcPr>
          <w:p w14:paraId="5A9BF8C1">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0.2</w:t>
            </w:r>
          </w:p>
        </w:tc>
        <w:tc>
          <w:tcPr>
            <w:tcW w:w="651" w:type="dxa"/>
            <w:vAlign w:val="center"/>
          </w:tcPr>
          <w:p w14:paraId="22C2B092">
            <w:pPr>
              <w:spacing w:line="360" w:lineRule="exact"/>
              <w:ind w:firstLine="240"/>
              <w:jc w:val="center"/>
              <w:rPr>
                <w:rFonts w:ascii="Times New Roman" w:hAnsi="Times New Roman" w:eastAsia="仿宋_GB2312" w:cs="Times New Roman"/>
                <w:kern w:val="0"/>
                <w:sz w:val="24"/>
              </w:rPr>
            </w:pPr>
          </w:p>
        </w:tc>
      </w:tr>
      <w:tr w14:paraId="6A77CE7A">
        <w:trPr>
          <w:trHeight w:val="624" w:hRule="atLeast"/>
          <w:jc w:val="center"/>
        </w:trPr>
        <w:tc>
          <w:tcPr>
            <w:tcW w:w="828" w:type="dxa"/>
            <w:vMerge w:val="continue"/>
            <w:vAlign w:val="center"/>
          </w:tcPr>
          <w:p w14:paraId="3E330504">
            <w:pPr>
              <w:spacing w:line="340" w:lineRule="exact"/>
              <w:ind w:firstLine="240"/>
              <w:jc w:val="center"/>
              <w:rPr>
                <w:rFonts w:ascii="Times New Roman" w:hAnsi="Times New Roman" w:eastAsia="仿宋_GB2312" w:cs="Times New Roman"/>
                <w:kern w:val="0"/>
                <w:sz w:val="24"/>
              </w:rPr>
            </w:pPr>
          </w:p>
        </w:tc>
        <w:tc>
          <w:tcPr>
            <w:tcW w:w="697" w:type="dxa"/>
            <w:vMerge w:val="continue"/>
            <w:vAlign w:val="center"/>
          </w:tcPr>
          <w:p w14:paraId="36D7D2CF">
            <w:pPr>
              <w:spacing w:line="340" w:lineRule="exact"/>
              <w:ind w:firstLine="240"/>
              <w:jc w:val="center"/>
              <w:rPr>
                <w:rFonts w:ascii="Times New Roman" w:hAnsi="Times New Roman" w:eastAsia="仿宋_GB2312" w:cs="Times New Roman"/>
                <w:kern w:val="0"/>
                <w:sz w:val="24"/>
              </w:rPr>
            </w:pPr>
          </w:p>
        </w:tc>
        <w:tc>
          <w:tcPr>
            <w:tcW w:w="1260" w:type="dxa"/>
            <w:vAlign w:val="center"/>
          </w:tcPr>
          <w:p w14:paraId="116A588D">
            <w:pPr>
              <w:spacing w:line="360" w:lineRule="exact"/>
              <w:ind w:firstLine="241"/>
              <w:jc w:val="center"/>
              <w:rPr>
                <w:rFonts w:ascii="Times New Roman" w:hAnsi="Times New Roman" w:eastAsia="仿宋_GB2312" w:cs="Times New Roman"/>
                <w:kern w:val="0"/>
                <w:sz w:val="24"/>
              </w:rPr>
            </w:pPr>
            <w:r>
              <w:rPr>
                <w:rFonts w:ascii="Times New Roman" w:hAnsi="Times New Roman" w:eastAsia="仿宋_GB2312" w:cs="Times New Roman"/>
                <w:b/>
                <w:bCs/>
                <w:kern w:val="0"/>
                <w:sz w:val="24"/>
              </w:rPr>
              <w:t>1-1-10</w:t>
            </w:r>
          </w:p>
        </w:tc>
        <w:tc>
          <w:tcPr>
            <w:tcW w:w="4140" w:type="dxa"/>
            <w:vAlign w:val="center"/>
          </w:tcPr>
          <w:p w14:paraId="2900A4E9">
            <w:pPr>
              <w:spacing w:line="360" w:lineRule="exact"/>
              <w:ind w:firstLine="240"/>
              <w:rPr>
                <w:rFonts w:ascii="Times New Roman" w:hAnsi="Times New Roman" w:eastAsia="仿宋_GB2312" w:cs="Times New Roman"/>
                <w:kern w:val="0"/>
                <w:sz w:val="24"/>
              </w:rPr>
            </w:pPr>
            <w:r>
              <w:rPr>
                <w:rFonts w:ascii="Times New Roman" w:hAnsi="Times New Roman" w:eastAsia="仿宋_GB2312" w:cs="Times New Roman"/>
                <w:kern w:val="0"/>
                <w:sz w:val="24"/>
              </w:rPr>
              <w:t>需求说明：E-R图。</w:t>
            </w:r>
          </w:p>
        </w:tc>
        <w:tc>
          <w:tcPr>
            <w:tcW w:w="720" w:type="dxa"/>
            <w:vAlign w:val="center"/>
          </w:tcPr>
          <w:p w14:paraId="026031D8">
            <w:pPr>
              <w:spacing w:line="360" w:lineRule="exact"/>
              <w:ind w:firstLine="24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0.2</w:t>
            </w:r>
          </w:p>
        </w:tc>
        <w:tc>
          <w:tcPr>
            <w:tcW w:w="651" w:type="dxa"/>
            <w:vAlign w:val="center"/>
          </w:tcPr>
          <w:p w14:paraId="49D9F6FA">
            <w:pPr>
              <w:spacing w:line="360" w:lineRule="exact"/>
              <w:ind w:firstLine="240"/>
              <w:jc w:val="center"/>
              <w:rPr>
                <w:rFonts w:ascii="Times New Roman" w:hAnsi="Times New Roman" w:eastAsia="仿宋_GB2312" w:cs="Times New Roman"/>
                <w:kern w:val="0"/>
                <w:sz w:val="24"/>
              </w:rPr>
            </w:pPr>
          </w:p>
        </w:tc>
      </w:tr>
    </w:tbl>
    <w:p w14:paraId="1C9E4166">
      <w:pPr>
        <w:rPr>
          <w:rFonts w:ascii="Times New Roman" w:hAnsi="Times New Roman" w:eastAsia="仿宋_GB2312" w:cs="Times New Roman"/>
        </w:rPr>
      </w:pPr>
    </w:p>
    <w:p w14:paraId="61C7D4BF">
      <w:pPr>
        <w:pStyle w:val="2"/>
        <w:spacing w:after="0" w:line="360" w:lineRule="auto"/>
        <w:ind w:firstLine="281"/>
        <w:rPr>
          <w:rFonts w:ascii="Times New Roman" w:hAnsi="Times New Roman" w:eastAsia="楷体"/>
          <w:b/>
          <w:bCs/>
          <w:sz w:val="28"/>
          <w:szCs w:val="28"/>
        </w:rPr>
      </w:pPr>
    </w:p>
    <w:p w14:paraId="74831BFD">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（三）评分方式</w:t>
      </w:r>
    </w:p>
    <w:p w14:paraId="5F254787">
      <w:pPr>
        <w:pStyle w:val="29"/>
        <w:spacing w:line="360" w:lineRule="auto"/>
        <w:ind w:firstLine="560"/>
        <w:rPr>
          <w:rFonts w:ascii="Times New Roman" w:hAnsi="Times New Roman" w:eastAsia="仿宋_GB2312" w:cs="Times New Roman"/>
          <w:sz w:val="28"/>
          <w:szCs w:val="28"/>
        </w:rPr>
      </w:pPr>
      <w:r>
        <w:rPr>
          <w:rFonts w:ascii="Times New Roman" w:hAnsi="Times New Roman" w:eastAsia="仿宋_GB2312" w:cs="Times New Roman"/>
          <w:sz w:val="28"/>
          <w:szCs w:val="28"/>
        </w:rPr>
        <w:t>1.竞赛满分为100分。</w:t>
      </w:r>
    </w:p>
    <w:p w14:paraId="08D8DF02">
      <w:pPr>
        <w:pStyle w:val="2"/>
        <w:tabs>
          <w:tab w:val="left" w:pos="312"/>
        </w:tabs>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2.选手比赛的评分成绩=模块一得分+模块二得分+模块三得分</w:t>
      </w:r>
      <w:r>
        <w:rPr>
          <w:rFonts w:hint="eastAsia" w:ascii="Times New Roman" w:hAnsi="Times New Roman" w:eastAsia="仿宋_GB2312"/>
          <w:sz w:val="28"/>
          <w:szCs w:val="28"/>
        </w:rPr>
        <w:t>。</w:t>
      </w:r>
    </w:p>
    <w:p w14:paraId="51A87C04">
      <w:pPr>
        <w:pStyle w:val="2"/>
        <w:tabs>
          <w:tab w:val="left" w:pos="312"/>
        </w:tabs>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3.本竞赛参与赛项成绩管理的组织机构包括裁判组、监督仲裁组。</w:t>
      </w:r>
    </w:p>
    <w:p w14:paraId="5E3DF12C">
      <w:pPr>
        <w:pStyle w:val="2"/>
        <w:tabs>
          <w:tab w:val="left" w:pos="312"/>
        </w:tabs>
        <w:spacing w:after="0" w:line="360" w:lineRule="auto"/>
        <w:ind w:firstLine="560" w:firstLineChars="200"/>
        <w:rPr>
          <w:rFonts w:ascii="Times New Roman" w:hAnsi="Times New Roman" w:eastAsia="仿宋_GB2312"/>
          <w:sz w:val="28"/>
          <w:szCs w:val="28"/>
        </w:rPr>
      </w:pPr>
      <w:r>
        <w:rPr>
          <w:rFonts w:ascii="Times New Roman" w:hAnsi="Times New Roman" w:eastAsia="仿宋_GB2312"/>
          <w:sz w:val="28"/>
          <w:szCs w:val="28"/>
        </w:rPr>
        <w:t>4.竞赛对参赛队伍提交的成果物采取分步得分、累计总分的计分方式。各子模块分别计算得分，错误不传递，按规定比例计入</w:t>
      </w:r>
      <w:r>
        <w:rPr>
          <w:rFonts w:hint="eastAsia" w:ascii="Times New Roman" w:hAnsi="Times New Roman" w:eastAsia="仿宋_GB2312"/>
          <w:sz w:val="28"/>
          <w:szCs w:val="28"/>
        </w:rPr>
        <w:t>团队</w:t>
      </w:r>
      <w:r>
        <w:rPr>
          <w:rFonts w:ascii="Times New Roman" w:hAnsi="Times New Roman" w:eastAsia="仿宋_GB2312"/>
          <w:sz w:val="28"/>
          <w:szCs w:val="28"/>
        </w:rPr>
        <w:t>总分。</w:t>
      </w:r>
    </w:p>
    <w:p w14:paraId="7F8A79B4">
      <w:pPr>
        <w:pStyle w:val="2"/>
        <w:tabs>
          <w:tab w:val="left" w:pos="312"/>
        </w:tabs>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5</w:t>
      </w:r>
      <w:r>
        <w:rPr>
          <w:rFonts w:ascii="Times New Roman" w:hAnsi="Times New Roman" w:eastAsia="仿宋_GB2312"/>
          <w:sz w:val="28"/>
          <w:szCs w:val="28"/>
        </w:rPr>
        <w:t>.监督组在复检中发现错误，需以书面形式及时告知裁判长，由裁判长更正成绩并签字确认。如复核、抽检错误率超过5%，裁判组需对所有成绩进行复核。</w:t>
      </w:r>
    </w:p>
    <w:p w14:paraId="03A9EA09">
      <w:pPr>
        <w:pStyle w:val="2"/>
        <w:tabs>
          <w:tab w:val="left" w:pos="312"/>
        </w:tabs>
        <w:spacing w:after="0" w:line="360" w:lineRule="auto"/>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6</w:t>
      </w:r>
      <w:r>
        <w:rPr>
          <w:rFonts w:ascii="Times New Roman" w:hAnsi="Times New Roman" w:eastAsia="仿宋_GB2312"/>
          <w:sz w:val="28"/>
          <w:szCs w:val="28"/>
        </w:rPr>
        <w:t>.在竞赛过程中，参赛选手如有不服从裁判裁决、扰乱赛场秩序、舞弊等行为的，由裁判长按照规定扣减相应分数，情节严重的将取消比赛资格，比赛成绩计0分。</w:t>
      </w:r>
    </w:p>
    <w:p w14:paraId="21E54FDB">
      <w:pPr>
        <w:pStyle w:val="2"/>
        <w:tabs>
          <w:tab w:val="left" w:pos="312"/>
        </w:tabs>
        <w:spacing w:after="0" w:line="360" w:lineRule="auto"/>
        <w:ind w:firstLine="560" w:firstLineChars="200"/>
        <w:rPr>
          <w:rFonts w:ascii="Times New Roman" w:hAnsi="Times New Roman" w:eastAsia="黑体"/>
          <w:sz w:val="32"/>
          <w:szCs w:val="32"/>
        </w:rPr>
      </w:pPr>
      <w:r>
        <w:rPr>
          <w:rFonts w:hint="eastAsia" w:ascii="Times New Roman" w:hAnsi="Times New Roman" w:eastAsia="仿宋_GB2312"/>
          <w:sz w:val="28"/>
          <w:szCs w:val="28"/>
        </w:rPr>
        <w:t>7</w:t>
      </w:r>
      <w:r>
        <w:rPr>
          <w:rFonts w:ascii="Times New Roman" w:hAnsi="Times New Roman" w:eastAsia="仿宋_GB2312"/>
          <w:sz w:val="28"/>
          <w:szCs w:val="28"/>
        </w:rPr>
        <w:t>.</w:t>
      </w:r>
      <w:r>
        <w:rPr>
          <w:rFonts w:hint="eastAsia" w:ascii="Times New Roman" w:hAnsi="Times New Roman" w:eastAsia="仿宋_GB2312"/>
          <w:sz w:val="28"/>
          <w:szCs w:val="28"/>
        </w:rPr>
        <w:t>赛项成绩解密审核无误后，经裁判长签字后，向全体参赛队进行公布，再将竞赛成绩上传到竞赛平台。比赛成绩以省教育厅最终公布结果为准。</w:t>
      </w:r>
    </w:p>
    <w:p w14:paraId="738D7C74">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奖项设置</w:t>
      </w:r>
    </w:p>
    <w:p w14:paraId="4C544A55">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 xml:space="preserve">本赛项奖项设团体奖。设奖比例是以赛项实际参赛队总数为基数，一、二、三等奖获奖比例分别为 10%、20%、30%（小数点后四舍五入）。 </w:t>
      </w:r>
    </w:p>
    <w:p w14:paraId="6330F724">
      <w:pPr>
        <w:adjustRightInd w:val="0"/>
        <w:snapToGrid w:val="0"/>
        <w:spacing w:line="360" w:lineRule="auto"/>
        <w:ind w:firstLine="560" w:firstLineChars="200"/>
        <w:rPr>
          <w:rFonts w:ascii="Times New Roman" w:hAnsi="Times New Roman" w:eastAsia="仿宋_GB2312" w:cs="Times New Roman"/>
          <w:color w:val="000000"/>
          <w:sz w:val="28"/>
          <w:szCs w:val="28"/>
        </w:rPr>
      </w:pPr>
      <w:r>
        <w:rPr>
          <w:rFonts w:ascii="Times New Roman" w:hAnsi="Times New Roman" w:eastAsia="仿宋_GB2312" w:cs="Times New Roman"/>
          <w:color w:val="000000"/>
          <w:sz w:val="28"/>
          <w:szCs w:val="28"/>
        </w:rPr>
        <w:t xml:space="preserve">如出现参赛队总分相同情况，按照模块分值权重顺序的得分高低排序，即总成绩相同的情况下比较模块二的成绩，模块二成绩高的排名优先；如果模块二成绩也相同，则按模块一、模块三的成绩进行排名，以此类推完成相同成绩的排序。如果所有模块分值相同，则查看文档撰写规范分值进行排序。 </w:t>
      </w:r>
    </w:p>
    <w:p w14:paraId="45D9B5F2">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赛项预案</w:t>
      </w:r>
    </w:p>
    <w:p w14:paraId="2E390853">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1.竞赛软硬件环境和电脑在比赛前进行压力测试，验证功能正常。</w:t>
      </w:r>
    </w:p>
    <w:p w14:paraId="5B096CAC">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2.赛场提供占总参赛队伍10%的备用工位，占总参赛队伍10%的备用服务器。</w:t>
      </w:r>
    </w:p>
    <w:p w14:paraId="5BA74804">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w:t>
      </w:r>
      <w:r>
        <w:rPr>
          <w:rFonts w:ascii="Times New Roman" w:hAnsi="Times New Roman" w:eastAsia="仿宋_GB2312" w:cs="Times New Roman"/>
          <w:sz w:val="28"/>
          <w:szCs w:val="28"/>
        </w:rPr>
        <w:t xml:space="preserve">竞赛过程中出现设备掉电、故障等意外时，现场裁判需及时确认情况，安排赛场技术支持人员进行处理，现场裁判登记详细情况，填写补时登记表，报裁判长批准后，可安排延长补足相应选手的比赛时间。 </w:t>
      </w:r>
    </w:p>
    <w:p w14:paraId="29DA46E8">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4.</w:t>
      </w:r>
      <w:r>
        <w:rPr>
          <w:rFonts w:ascii="Times New Roman" w:hAnsi="Times New Roman" w:eastAsia="仿宋_GB2312" w:cs="Times New Roman"/>
          <w:sz w:val="28"/>
          <w:szCs w:val="28"/>
        </w:rPr>
        <w:t>本赛项竞赛过程中各个竞赛工位为独立供电且各个参赛队均采用独立网络进行竞赛，如在竞赛时某工位参赛队出现意外境况不会影响其它工位正常比赛，不会由此对成绩产生影响。</w:t>
      </w:r>
    </w:p>
    <w:p w14:paraId="4DCA0B7A">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5</w:t>
      </w:r>
      <w:r>
        <w:rPr>
          <w:rFonts w:ascii="Times New Roman" w:hAnsi="Times New Roman" w:eastAsia="仿宋_GB2312" w:cs="Times New Roman"/>
          <w:sz w:val="28"/>
          <w:szCs w:val="28"/>
        </w:rPr>
        <w:t>.比赛期间发生大规模意外事故和安全问题（如发病、中毒等），发现者应第一时间报告赛项执委会，赛项执委会应采取</w:t>
      </w:r>
      <w:r>
        <w:rPr>
          <w:rFonts w:hint="eastAsia" w:ascii="Times New Roman" w:hAnsi="Times New Roman" w:eastAsia="仿宋_GB2312" w:cs="Times New Roman"/>
          <w:sz w:val="28"/>
          <w:szCs w:val="28"/>
        </w:rPr>
        <w:t>终</w:t>
      </w:r>
      <w:r>
        <w:rPr>
          <w:rFonts w:ascii="Times New Roman" w:hAnsi="Times New Roman" w:eastAsia="仿宋_GB2312" w:cs="Times New Roman"/>
          <w:sz w:val="28"/>
          <w:szCs w:val="28"/>
        </w:rPr>
        <w:t>止比赛、快速疏散人群等措施避免事态扩大，并第一时间报告赛区执委会。赛项出现重大安全问题可以停赛，是否停赛由赛区执委会决定。事后，赛区执委会应向大赛执委会报告详细情况。</w:t>
      </w:r>
    </w:p>
    <w:p w14:paraId="71AF0684">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6</w:t>
      </w:r>
      <w:r>
        <w:rPr>
          <w:rFonts w:ascii="Times New Roman" w:hAnsi="Times New Roman" w:eastAsia="仿宋_GB2312" w:cs="Times New Roman"/>
          <w:sz w:val="28"/>
          <w:szCs w:val="28"/>
        </w:rPr>
        <w:t>.因参赛队伍原因形成事故隐患或造成事故的，视情节警告或取消其获奖资格；赛事工作人员违规的，按照相应的制度追究责任。</w:t>
      </w:r>
    </w:p>
    <w:p w14:paraId="1CB4975C">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竞赛须知</w:t>
      </w:r>
    </w:p>
    <w:p w14:paraId="2658EC98">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（一）参赛队须知</w:t>
      </w:r>
    </w:p>
    <w:p w14:paraId="5AD517B2">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1</w:t>
      </w:r>
      <w:r>
        <w:rPr>
          <w:rFonts w:ascii="Times New Roman" w:hAnsi="Times New Roman" w:eastAsia="仿宋_GB2312" w:cs="Times New Roman"/>
          <w:sz w:val="28"/>
          <w:szCs w:val="28"/>
        </w:rPr>
        <w:t>.在赛事期间，参赛队成员不得私自接触裁判，凡发现有弄虚作假者，取消其参赛资格，成绩无效。</w:t>
      </w:r>
    </w:p>
    <w:p w14:paraId="2A27DF12">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2</w:t>
      </w:r>
      <w:r>
        <w:rPr>
          <w:rFonts w:ascii="Times New Roman" w:hAnsi="Times New Roman" w:eastAsia="仿宋_GB2312" w:cs="Times New Roman"/>
          <w:sz w:val="28"/>
          <w:szCs w:val="28"/>
        </w:rPr>
        <w:t>.所有参赛人员须按照赛项规程要求按照完成赛项评价工作。</w:t>
      </w:r>
    </w:p>
    <w:p w14:paraId="6312B65D">
      <w:pPr>
        <w:spacing w:line="360" w:lineRule="auto"/>
        <w:ind w:firstLine="560" w:firstLineChars="200"/>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3</w:t>
      </w:r>
      <w:r>
        <w:rPr>
          <w:rFonts w:ascii="Times New Roman" w:hAnsi="Times New Roman" w:eastAsia="仿宋_GB2312" w:cs="Times New Roman"/>
          <w:sz w:val="28"/>
          <w:szCs w:val="28"/>
        </w:rPr>
        <w:t>.参赛队认为存在不符合竞赛规定的设备、工具、软件，有失公正的评判、奖励，以及工作人员的违规行为等情况时，须在该赛项竞赛结束后2小时内，向赛项仲裁组提交书面申诉材料。各参赛队应服从和执行申诉的最终仲裁结果。</w:t>
      </w:r>
    </w:p>
    <w:p w14:paraId="037E989E">
      <w:pPr>
        <w:spacing w:line="360" w:lineRule="auto"/>
        <w:ind w:firstLine="560" w:firstLineChars="200"/>
        <w:rPr>
          <w:rFonts w:ascii="Times New Roman" w:hAnsi="Times New Roman" w:cs="Times New Roman"/>
        </w:rPr>
      </w:pPr>
      <w:r>
        <w:rPr>
          <w:rFonts w:hint="eastAsia" w:ascii="Times New Roman" w:hAnsi="Times New Roman" w:eastAsia="仿宋_GB2312" w:cs="Times New Roman"/>
          <w:sz w:val="28"/>
          <w:szCs w:val="28"/>
        </w:rPr>
        <w:t>4</w:t>
      </w:r>
      <w:r>
        <w:rPr>
          <w:rFonts w:ascii="Times New Roman" w:hAnsi="Times New Roman" w:eastAsia="仿宋_GB2312" w:cs="Times New Roman"/>
          <w:sz w:val="28"/>
          <w:szCs w:val="28"/>
        </w:rPr>
        <w:t>.各学校组织代表队时，须安排为参赛选手购买大赛期间的人身意外伤害保险。</w:t>
      </w:r>
    </w:p>
    <w:p w14:paraId="5D28F59F">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（二）指导教师须知</w:t>
      </w:r>
    </w:p>
    <w:p w14:paraId="38E7D8CC">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1.各参赛代表队要发扬良好道德风尚，听从指挥，服从裁判，不弄虚作假。如发现弄虚作假者，取消参赛资格，名次无效。</w:t>
      </w:r>
    </w:p>
    <w:p w14:paraId="477CE263">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2.各代表队领队要坚决执行竞赛的各项规定，加强对参赛人员的管理，做好赛前准备工作，督促选手带好证件等竞赛相关材料。</w:t>
      </w:r>
    </w:p>
    <w:p w14:paraId="089E5BE8">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3.竞赛过程中，除参加当场次竞赛的选手、执行裁判员、现场工作人员和经批准的人员外，领队、指导教师及其他人员一律不得进入竞赛现场。</w:t>
      </w:r>
    </w:p>
    <w:p w14:paraId="75AB49DC">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4.参赛代表队若对竞赛过程有异议，在规定的时间内由领队向赛项仲裁工作组提出书面报告。</w:t>
      </w:r>
    </w:p>
    <w:p w14:paraId="44873E61">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5.对申诉的仲裁结果，领队要带头服从和执行，并做好选手工作。参赛选手不得因申诉或对处理意见不服而停止竞赛，否则以弃权处理。</w:t>
      </w:r>
    </w:p>
    <w:p w14:paraId="1D22EF5B">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6.指导老师应及时查看大赛专用网页有关赛项的通知和内容，认真研究和掌握本赛项竞赛的规程、技术规范和赛场要求，指导选手做好赛前的一切技术准备和竞赛准备。</w:t>
      </w:r>
    </w:p>
    <w:p w14:paraId="462BFEA6">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（三）参赛选手须知</w:t>
      </w:r>
    </w:p>
    <w:p w14:paraId="75EA0B20">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1.参赛选手应严格遵守赛场规章、操作规程和工艺准则，保证人身及设备安全，接受裁判员的监督和警示，文明竞赛。</w:t>
      </w:r>
    </w:p>
    <w:p w14:paraId="36B0EB0A">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2.参赛选手应按照规定时间抵达赛场，凭身份证、学生证，以及统一发放的参赛证，完成入场检录、抽签确定竞赛工位号，不得迟到早退。</w:t>
      </w:r>
    </w:p>
    <w:p w14:paraId="499C7C95">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3.参赛选手进入赛场前，须将身份证、学生证、参赛证交由检录人员统一保管，不得带入场内。</w:t>
      </w:r>
    </w:p>
    <w:p w14:paraId="0F364D12">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4.参赛选手凭竞赛工位号进入赛场，不允许携带任何电子设备及其他资料、用品。</w:t>
      </w:r>
    </w:p>
    <w:p w14:paraId="00F2FEC0">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5.参赛选手应在规定的时间段进入赛场，认真核对竞赛工位号，在指定位置就座。</w:t>
      </w:r>
    </w:p>
    <w:p w14:paraId="1CFDBC21">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6.参赛选手入场后，迅速确认竞赛设备状况，填写相关确认文件，并由参赛队长确认签字（竞赛工位号）。</w:t>
      </w:r>
    </w:p>
    <w:p w14:paraId="4CC828AC">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7.参赛选手在收到开赛信号前不得启动操作。在竞赛过程中，确因计算机软件或硬件故障，致使操作无法继续的，经裁判长确认，予以启用备用计算机。</w:t>
      </w:r>
    </w:p>
    <w:p w14:paraId="78618CFF">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8.参赛选手应在竞赛规定时间内完成任务书内容，及时按要求保存工作记录，以防止因操作系统异常及其他设备异常造成的数据丢失。对于因各种原因造成的数据丢失，由参赛选手自行负责。</w:t>
      </w:r>
    </w:p>
    <w:p w14:paraId="11B568EA">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9.参赛队所提交的答卷按要求进行标识，不得出现地名、校名、姓名、参赛证编号等信息，否则取消竞赛成绩。</w:t>
      </w:r>
    </w:p>
    <w:p w14:paraId="296655A1">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10.竞赛过程中，因严重操作失误或安全事故不能进行比赛的（例如因操作原因发生短路导致赛场断电的、造成设备不能正常工作的），现场裁判员有权</w:t>
      </w:r>
      <w:r>
        <w:rPr>
          <w:rFonts w:hint="eastAsia" w:ascii="Times New Roman" w:hAnsi="Times New Roman" w:eastAsia="仿宋_GB2312" w:cs="Times New Roman"/>
          <w:sz w:val="28"/>
          <w:szCs w:val="28"/>
        </w:rPr>
        <w:t>终</w:t>
      </w:r>
      <w:r>
        <w:rPr>
          <w:rFonts w:ascii="Times New Roman" w:hAnsi="Times New Roman" w:eastAsia="仿宋_GB2312" w:cs="Times New Roman"/>
          <w:sz w:val="28"/>
          <w:szCs w:val="28"/>
        </w:rPr>
        <w:t>止该队比赛。</w:t>
      </w:r>
    </w:p>
    <w:p w14:paraId="7B37BA04">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11.选手在每场竞赛中连续工作，食品、饮水等由赛场统一提供。每场期间，选手休息、饮食或如厕时间均计算在比赛时间内。</w:t>
      </w:r>
    </w:p>
    <w:p w14:paraId="4DF762CF">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12.在比赛中如遇非人为因素造成的设备故障，经裁判确认后，可向裁判长申请补足排除故障的时间。</w:t>
      </w:r>
    </w:p>
    <w:p w14:paraId="4B424350">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13.参赛选手不得因各种原因提前结束比赛。如确因不可抗因素需要离开赛场的，须向现场裁判员举手示意，经裁判员许可并完成记录后，方可离开。</w:t>
      </w:r>
    </w:p>
    <w:p w14:paraId="302DD649">
      <w:pPr>
        <w:pStyle w:val="2"/>
        <w:spacing w:line="360" w:lineRule="auto"/>
        <w:ind w:firstLine="560" w:firstLineChars="200"/>
        <w:rPr>
          <w:rFonts w:ascii="Times New Roman" w:hAnsi="Times New Roman"/>
        </w:rPr>
      </w:pPr>
      <w:r>
        <w:rPr>
          <w:rFonts w:ascii="Times New Roman" w:hAnsi="Times New Roman" w:eastAsia="仿宋_GB2312"/>
          <w:sz w:val="28"/>
          <w:szCs w:val="28"/>
        </w:rPr>
        <w:t>14.各竞赛队按照大赛要求</w:t>
      </w:r>
      <w:r>
        <w:rPr>
          <w:rFonts w:hint="eastAsia" w:ascii="Times New Roman" w:hAnsi="Times New Roman" w:eastAsia="仿宋_GB2312"/>
          <w:sz w:val="28"/>
          <w:szCs w:val="28"/>
        </w:rPr>
        <w:t>和</w:t>
      </w:r>
      <w:r>
        <w:rPr>
          <w:rFonts w:ascii="Times New Roman" w:hAnsi="Times New Roman" w:eastAsia="仿宋_GB2312"/>
          <w:sz w:val="28"/>
          <w:szCs w:val="28"/>
        </w:rPr>
        <w:t>赛题要求提交竞赛成果，禁止在竞赛成果上做任何与竞赛无关的记号。竞赛操作结束后，参赛队要确认成功提交竞赛要求的文件，裁判员在比赛结果的规定位置做标记，并与参赛队一起签字确认。</w:t>
      </w:r>
    </w:p>
    <w:p w14:paraId="00FA54E6">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15.竞赛时间结束，选手应全体起立，结束操作。经工作人员检查后可离开赛场，离开赛场时不得带走任何资料与设备。</w:t>
      </w:r>
    </w:p>
    <w:p w14:paraId="629C41B4">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16.在竞赛期间，未经执委会批准，参赛选手不得接受其他单位和个人进行的与竞赛内容相关的采访。参赛选手不得将竞赛的相关信息私自公布。</w:t>
      </w:r>
    </w:p>
    <w:p w14:paraId="5DF2B0D3">
      <w:pPr>
        <w:pStyle w:val="2"/>
        <w:spacing w:after="0" w:line="360" w:lineRule="auto"/>
        <w:ind w:firstLine="281"/>
        <w:outlineLvl w:val="1"/>
        <w:rPr>
          <w:rFonts w:ascii="Times New Roman" w:hAnsi="Times New Roman" w:eastAsia="楷体"/>
          <w:b/>
          <w:bCs/>
          <w:sz w:val="28"/>
          <w:szCs w:val="28"/>
        </w:rPr>
      </w:pPr>
      <w:r>
        <w:rPr>
          <w:rFonts w:ascii="Times New Roman" w:hAnsi="Times New Roman" w:eastAsia="楷体"/>
          <w:b/>
          <w:bCs/>
          <w:sz w:val="28"/>
          <w:szCs w:val="28"/>
        </w:rPr>
        <w:t>（四）工作人员须知</w:t>
      </w:r>
    </w:p>
    <w:p w14:paraId="4C193170">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1.赛场工作人员由赛项执委会统一聘用并进行工作分工，进入竞赛现场须佩戴组委会统一提供的吊牌。</w:t>
      </w:r>
    </w:p>
    <w:p w14:paraId="0C44B956">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2.赛场工作人员需服从赛项执委会的管理，严格执行赛项执委会制订的各项比赛规则，执行赛项执委会的工作安排，积极维护好赛场秩序，坚守岗位，为赛场提供有序的服务。</w:t>
      </w:r>
    </w:p>
    <w:p w14:paraId="1E5495F2">
      <w:pPr>
        <w:spacing w:line="360" w:lineRule="auto"/>
        <w:ind w:firstLine="560" w:firstLineChars="200"/>
        <w:rPr>
          <w:rFonts w:hint="eastAsia" w:ascii="Times New Roman" w:hAnsi="Times New Roman" w:eastAsia="仿宋_GB2312" w:cs="Times New Roman"/>
          <w:sz w:val="28"/>
          <w:szCs w:val="28"/>
          <w:lang w:val="en-US" w:eastAsia="zh-CN"/>
        </w:rPr>
      </w:pPr>
      <w:r>
        <w:rPr>
          <w:rFonts w:ascii="Times New Roman" w:hAnsi="Times New Roman" w:eastAsia="仿宋_GB2312" w:cs="Times New Roman"/>
          <w:sz w:val="28"/>
          <w:szCs w:val="28"/>
        </w:rPr>
        <w:t>3.赛场工作人员进入现场，不得携带任何通讯工具或与竞赛无关的物品。</w:t>
      </w:r>
      <w:r>
        <w:rPr>
          <w:rFonts w:hint="eastAsia" w:ascii="Times New Roman" w:hAnsi="Times New Roman" w:eastAsia="仿宋_GB2312" w:cs="Times New Roman"/>
          <w:sz w:val="28"/>
          <w:szCs w:val="28"/>
          <w:lang w:val="en-US" w:eastAsia="zh-CN"/>
        </w:rPr>
        <w:t>x</w:t>
      </w:r>
    </w:p>
    <w:p w14:paraId="31329000">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4.参赛队进入赛场，现场裁判及赛场工作人员应按规定审查参赛选手带入赛场的物品，如发现不允许带入赛场的物品，交由参赛队随行人员保管，赛场不提供保管服务。</w:t>
      </w:r>
    </w:p>
    <w:p w14:paraId="6FA210A9">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5.赛场工作人员在竞赛过程中不回答选手提出的任何有关比赛技术问题，如遇争议问题，应及时报告裁判长。</w:t>
      </w:r>
    </w:p>
    <w:p w14:paraId="0A143FF4">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申诉与仲裁</w:t>
      </w:r>
    </w:p>
    <w:p w14:paraId="15F130C6">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1.各参赛队对不符合大赛和赛项规程规定的仪器、设备、工装、材料、物件、计算机软硬件、竞赛使用工具、用品，竞赛执裁、赛场管理、竞赛成绩，以及工作人员的不规范行为等，可向赛项仲裁组提出申诉。</w:t>
      </w:r>
    </w:p>
    <w:p w14:paraId="06845DC5">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2.申诉主体为参赛队领队。</w:t>
      </w:r>
    </w:p>
    <w:p w14:paraId="7113F54B">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3.申诉启动时，参赛队以该队参赛选手亲笔签字同意的书面报告的形式递交赛项仲裁组。报告应对申诉事件的现象、发生时间、涉及人员、申诉依据等进行充分、实事求是的叙述。非书面申诉不予受理。</w:t>
      </w:r>
    </w:p>
    <w:p w14:paraId="198D3AF0">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4.提出申诉应在赛项比赛结束后不超过2小时内提出。超过时效不予受理。</w:t>
      </w:r>
    </w:p>
    <w:p w14:paraId="0D38739D">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5.赛项仲裁工作组在接到申诉报告后的2小时内组织复议，并及时将复议结果以书面形式告知申诉方。申诉方对复议结果仍有异议，可由省（市）领队向赛区仲裁委员会提出申诉。赛区仲裁委员会的仲裁结果为最终结果。</w:t>
      </w:r>
    </w:p>
    <w:p w14:paraId="012CD6A0">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6.申诉方不得以任何理由拒绝接收仲裁结果；不得以任何理由采取过激行为扰乱赛场秩序；仲裁结果由申诉人签收，不能代收；如在约定时间和地点申诉人离开，视为自行放弃申诉。</w:t>
      </w:r>
    </w:p>
    <w:p w14:paraId="309DDAAE">
      <w:pPr>
        <w:spacing w:line="360" w:lineRule="auto"/>
        <w:ind w:firstLine="560" w:firstLineChars="200"/>
        <w:rPr>
          <w:rFonts w:ascii="Times New Roman" w:hAnsi="Times New Roman" w:eastAsia="黑体" w:cs="Times New Roman"/>
          <w:sz w:val="32"/>
          <w:szCs w:val="32"/>
        </w:rPr>
      </w:pPr>
      <w:r>
        <w:rPr>
          <w:rFonts w:ascii="Times New Roman" w:hAnsi="Times New Roman" w:eastAsia="仿宋_GB2312" w:cs="Times New Roman"/>
          <w:sz w:val="28"/>
          <w:szCs w:val="28"/>
        </w:rPr>
        <w:t>7.申诉方可随时提出放弃申诉。</w:t>
      </w:r>
    </w:p>
    <w:p w14:paraId="5C25FDAC">
      <w:pPr>
        <w:widowControl/>
        <w:numPr>
          <w:ilvl w:val="0"/>
          <w:numId w:val="2"/>
        </w:numPr>
        <w:jc w:val="left"/>
        <w:outlineLvl w:val="1"/>
        <w:rPr>
          <w:rFonts w:ascii="Times New Roman" w:hAnsi="Times New Roman" w:eastAsia="黑体" w:cs="Times New Roman"/>
          <w:sz w:val="32"/>
        </w:rPr>
      </w:pPr>
      <w:r>
        <w:rPr>
          <w:rFonts w:ascii="Times New Roman" w:hAnsi="Times New Roman" w:eastAsia="黑体" w:cs="Times New Roman"/>
          <w:sz w:val="32"/>
        </w:rPr>
        <w:t>竞赛观摩</w:t>
      </w:r>
    </w:p>
    <w:p w14:paraId="04E17FC1">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本赛项将设计观摩区，使用大屏幕实时转播现场实况。竞赛环境依据竞赛需求和职业特点设计，在竞赛不被干扰的前提下安全开放部分赛场。现场观摩应遵守如下纪律：</w:t>
      </w:r>
    </w:p>
    <w:p w14:paraId="5BD3E663">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1.观摩人员需由赛项执委会批准，佩戴观摩证件在工作人员带领下沿指定路线、在指定区域内到现场观赛；</w:t>
      </w:r>
    </w:p>
    <w:p w14:paraId="73BD83AC">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 xml:space="preserve">2.文明观赛，不得大声喧哗，服从赛场工作人员的指挥，杜绝各种违反赛场秩序的不文明行为； </w:t>
      </w:r>
    </w:p>
    <w:p w14:paraId="3240B2A0">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3.观摩人员不得同参赛选手、裁判交流，不得传递信息，不得采录竞赛现场数据资料，不得影响比赛的正常进行；</w:t>
      </w:r>
    </w:p>
    <w:p w14:paraId="2F45D2E6">
      <w:pPr>
        <w:spacing w:line="360" w:lineRule="auto"/>
        <w:ind w:firstLine="560" w:firstLineChars="200"/>
        <w:rPr>
          <w:rFonts w:ascii="Times New Roman" w:hAnsi="Times New Roman" w:eastAsia="仿宋_GB2312" w:cs="Times New Roman"/>
          <w:sz w:val="28"/>
          <w:szCs w:val="28"/>
        </w:rPr>
      </w:pPr>
      <w:r>
        <w:rPr>
          <w:rFonts w:ascii="Times New Roman" w:hAnsi="Times New Roman" w:eastAsia="仿宋_GB2312" w:cs="Times New Roman"/>
          <w:sz w:val="28"/>
          <w:szCs w:val="28"/>
        </w:rPr>
        <w:t>4.对于各种违反赛场秩序的不文明行为，工作人员有权予以提醒、制止。</w:t>
      </w:r>
    </w:p>
    <w:p w14:paraId="2A7A1C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7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ongti SC">
    <w:panose1 w:val="02010800040101010101"/>
    <w:charset w:val="86"/>
    <w:family w:val="auto"/>
    <w:pitch w:val="default"/>
    <w:sig w:usb0="00000001" w:usb1="080F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modern"/>
    <w:pitch w:val="default"/>
    <w:sig w:usb0="00000000" w:usb1="00000000" w:usb2="00000010" w:usb3="00000000" w:csb0="00040000" w:csb1="00000000"/>
  </w:font>
  <w:font w:name="ˎ̥">
    <w:altName w:val="苹方-简"/>
    <w:panose1 w:val="00000000000000000000"/>
    <w:charset w:val="00"/>
    <w:family w:val="roman"/>
    <w:pitch w:val="default"/>
    <w:sig w:usb0="00000000" w:usb1="00000000" w:usb2="00000000" w:usb3="00000000" w:csb0="00000000" w:csb1="00000000"/>
  </w:font>
  <w:font w:name="楷体">
    <w:altName w:val="汉仪楷体KW"/>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苹方-简">
    <w:altName w:val="Times New Roman"/>
    <w:panose1 w:val="020B0600000000000000"/>
    <w:charset w:val="00"/>
    <w:family w:val="auto"/>
    <w:pitch w:val="default"/>
    <w:sig w:usb0="A00002FF" w:usb1="7ACFFDFB" w:usb2="00000017" w:usb3="00000000" w:csb0="00040001" w:csb1="00000000"/>
  </w:font>
  <w:font w:name="宋体-简">
    <w:panose1 w:val="02010800040101010101"/>
    <w:charset w:val="86"/>
    <w:family w:val="auto"/>
    <w:pitch w:val="default"/>
    <w:sig w:usb0="00000001" w:usb1="080F0000" w:usb2="00000000" w:usb3="00000000" w:csb0="00040000" w:csb1="00000000"/>
  </w:font>
  <w:font w:name="汉仪旗黑">
    <w:panose1 w:val="00020600040101010101"/>
    <w:charset w:val="86"/>
    <w:family w:val="auto"/>
    <w:pitch w:val="default"/>
    <w:sig w:usb0="A00002BF" w:usb1="1ACF7CFA" w:usb2="00000016" w:usb3="00000000" w:csb0="0004009F" w:csb1="DFD7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FC722"/>
    <w:multiLevelType w:val="singleLevel"/>
    <w:tmpl w:val="8D7FC722"/>
    <w:lvl w:ilvl="0" w:tentative="0">
      <w:start w:val="1"/>
      <w:numFmt w:val="chineseCounting"/>
      <w:suff w:val="nothing"/>
      <w:lvlText w:val="%1、"/>
      <w:lvlJc w:val="left"/>
      <w:rPr>
        <w:rFonts w:hint="eastAsia"/>
      </w:rPr>
    </w:lvl>
  </w:abstractNum>
  <w:abstractNum w:abstractNumId="1">
    <w:nsid w:val="3277B45A"/>
    <w:multiLevelType w:val="singleLevel"/>
    <w:tmpl w:val="3277B45A"/>
    <w:lvl w:ilvl="0" w:tentative="0">
      <w:start w:val="1"/>
      <w:numFmt w:val="bullet"/>
      <w:suff w:val="space"/>
      <w:lvlText w:val=""/>
      <w:lvlJc w:val="left"/>
      <w:pPr>
        <w:ind w:left="420" w:hanging="420"/>
      </w:pPr>
      <w:rPr>
        <w:rFonts w:hint="default" w:ascii="Wingdings" w:hAnsi="Wingdings"/>
      </w:rPr>
    </w:lvl>
  </w:abstractNum>
  <w:abstractNum w:abstractNumId="2">
    <w:nsid w:val="6C4C7D71"/>
    <w:multiLevelType w:val="multilevel"/>
    <w:tmpl w:val="6C4C7D71"/>
    <w:lvl w:ilvl="0" w:tentative="0">
      <w:start w:val="1"/>
      <w:numFmt w:val="decimal"/>
      <w:lvlText w:val="%1"/>
      <w:lvlJc w:val="left"/>
      <w:pPr>
        <w:ind w:left="432" w:hanging="432"/>
      </w:pPr>
    </w:lvl>
    <w:lvl w:ilvl="1" w:tentative="0">
      <w:start w:val="1"/>
      <w:numFmt w:val="decimal"/>
      <w:pStyle w:val="5"/>
      <w:lvlText w:val="%1.%2"/>
      <w:lvlJc w:val="left"/>
      <w:pPr>
        <w:ind w:left="576" w:hanging="576"/>
      </w:pPr>
    </w:lvl>
    <w:lvl w:ilvl="2" w:tentative="0">
      <w:start w:val="1"/>
      <w:numFmt w:val="decimal"/>
      <w:pStyle w:val="6"/>
      <w:lvlText w:val="%1.%2.%3"/>
      <w:lvlJc w:val="left"/>
      <w:pPr>
        <w:ind w:left="720" w:hanging="720"/>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9B9"/>
    <w:rsid w:val="00014498"/>
    <w:rsid w:val="001B09B9"/>
    <w:rsid w:val="001E6678"/>
    <w:rsid w:val="005C127D"/>
    <w:rsid w:val="00790DCD"/>
    <w:rsid w:val="007A2E5B"/>
    <w:rsid w:val="00853DE3"/>
    <w:rsid w:val="00875573"/>
    <w:rsid w:val="00AB6B14"/>
    <w:rsid w:val="00CD2CE4"/>
    <w:rsid w:val="00DA7138"/>
    <w:rsid w:val="07D3298F"/>
    <w:rsid w:val="08403D48"/>
    <w:rsid w:val="24CB7220"/>
    <w:rsid w:val="46C8662E"/>
    <w:rsid w:val="5B977B3E"/>
    <w:rsid w:val="6CE047C3"/>
    <w:rsid w:val="77B640DB"/>
    <w:rsid w:val="BF571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2" w:semiHidden="0" w:name="index 5"/>
    <w:lsdException w:qFormat="1" w:unhideWhenUsed="0" w:uiPriority="0" w:semiHidden="0"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qFormat="1" w:unhideWhenUsed="0"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5">
    <w:name w:val="heading 2"/>
    <w:basedOn w:val="1"/>
    <w:next w:val="1"/>
    <w:link w:val="21"/>
    <w:unhideWhenUsed/>
    <w:qFormat/>
    <w:uiPriority w:val="9"/>
    <w:pPr>
      <w:keepNext/>
      <w:keepLines/>
      <w:numPr>
        <w:ilvl w:val="1"/>
        <w:numId w:val="1"/>
      </w:numPr>
      <w:spacing w:before="260" w:after="260" w:line="416" w:lineRule="auto"/>
      <w:outlineLvl w:val="1"/>
    </w:pPr>
    <w:rPr>
      <w:rFonts w:ascii="Cambria" w:hAnsi="Cambria" w:eastAsia="宋体" w:cs="Times New Roman"/>
      <w:b/>
      <w:bCs/>
      <w:sz w:val="32"/>
      <w:szCs w:val="32"/>
    </w:rPr>
  </w:style>
  <w:style w:type="paragraph" w:styleId="6">
    <w:name w:val="heading 3"/>
    <w:basedOn w:val="1"/>
    <w:next w:val="1"/>
    <w:link w:val="22"/>
    <w:unhideWhenUsed/>
    <w:qFormat/>
    <w:uiPriority w:val="9"/>
    <w:pPr>
      <w:keepNext/>
      <w:keepLines/>
      <w:numPr>
        <w:ilvl w:val="2"/>
        <w:numId w:val="1"/>
      </w:numPr>
      <w:spacing w:before="260" w:after="260" w:line="416" w:lineRule="auto"/>
      <w:outlineLvl w:val="2"/>
    </w:pPr>
    <w:rPr>
      <w:rFonts w:ascii="Calibri" w:hAnsi="Calibri" w:eastAsia="宋体" w:cs="Times New Roman"/>
      <w:b/>
      <w:bCs/>
      <w:sz w:val="32"/>
      <w:szCs w:val="32"/>
    </w:rPr>
  </w:style>
  <w:style w:type="paragraph" w:styleId="7">
    <w:name w:val="heading 4"/>
    <w:basedOn w:val="1"/>
    <w:next w:val="1"/>
    <w:link w:val="23"/>
    <w:autoRedefine/>
    <w:unhideWhenUsed/>
    <w:qFormat/>
    <w:uiPriority w:val="0"/>
    <w:pPr>
      <w:spacing w:before="100" w:beforeAutospacing="1" w:after="100" w:afterAutospacing="1"/>
      <w:jc w:val="left"/>
      <w:outlineLvl w:val="3"/>
    </w:pPr>
    <w:rPr>
      <w:rFonts w:hint="eastAsia" w:ascii="宋体" w:hAnsi="宋体" w:eastAsia="宋体" w:cs="Times New Roman"/>
      <w:b/>
      <w:bCs/>
      <w:kern w:val="0"/>
      <w:sz w:val="24"/>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link w:val="25"/>
    <w:unhideWhenUsed/>
    <w:qFormat/>
    <w:uiPriority w:val="0"/>
    <w:pPr>
      <w:ind w:firstLine="420" w:firstLineChars="100"/>
    </w:pPr>
    <w:rPr>
      <w:rFonts w:ascii="Calibri" w:hAnsi="Calibri" w:eastAsia="宋体" w:cs="Times New Roman"/>
    </w:rPr>
  </w:style>
  <w:style w:type="paragraph" w:styleId="3">
    <w:name w:val="Body Text"/>
    <w:basedOn w:val="1"/>
    <w:link w:val="24"/>
    <w:unhideWhenUsed/>
    <w:qFormat/>
    <w:uiPriority w:val="99"/>
    <w:pPr>
      <w:spacing w:after="120"/>
    </w:pPr>
  </w:style>
  <w:style w:type="paragraph" w:styleId="4">
    <w:name w:val="index 6"/>
    <w:basedOn w:val="1"/>
    <w:next w:val="1"/>
    <w:qFormat/>
    <w:uiPriority w:val="0"/>
    <w:pPr>
      <w:ind w:firstLine="840"/>
    </w:pPr>
    <w:rPr>
      <w:rFonts w:ascii="Calibri" w:hAnsi="Calibri" w:eastAsia="宋体" w:cs="Arial"/>
    </w:rPr>
  </w:style>
  <w:style w:type="paragraph" w:styleId="8">
    <w:name w:val="Normal Indent"/>
    <w:autoRedefine/>
    <w:qFormat/>
    <w:uiPriority w:val="99"/>
    <w:pPr>
      <w:widowControl w:val="0"/>
      <w:ind w:firstLine="420" w:firstLineChars="200"/>
      <w:jc w:val="both"/>
    </w:pPr>
    <w:rPr>
      <w:rFonts w:ascii="Times New Roman" w:hAnsi="Times New Roman" w:eastAsia="宋体" w:cs="Times New Roman"/>
      <w:kern w:val="0"/>
      <w:sz w:val="20"/>
      <w:szCs w:val="20"/>
      <w:lang w:val="en-US" w:eastAsia="zh-CN" w:bidi="ar-SA"/>
    </w:rPr>
  </w:style>
  <w:style w:type="paragraph" w:styleId="9">
    <w:name w:val="index 5"/>
    <w:basedOn w:val="1"/>
    <w:next w:val="1"/>
    <w:qFormat/>
    <w:uiPriority w:val="2"/>
    <w:pPr>
      <w:ind w:left="1680"/>
    </w:pPr>
    <w:rPr>
      <w:rFonts w:ascii="Calibri" w:hAnsi="Calibri" w:eastAsia="宋体" w:cs="Times New Roman"/>
    </w:rPr>
  </w:style>
  <w:style w:type="paragraph" w:styleId="10">
    <w:name w:val="annotation text"/>
    <w:basedOn w:val="1"/>
    <w:link w:val="26"/>
    <w:autoRedefine/>
    <w:qFormat/>
    <w:uiPriority w:val="0"/>
    <w:pPr>
      <w:jc w:val="left"/>
    </w:pPr>
  </w:style>
  <w:style w:type="paragraph" w:styleId="11">
    <w:name w:val="footer"/>
    <w:basedOn w:val="1"/>
    <w:link w:val="20"/>
    <w:unhideWhenUsed/>
    <w:qFormat/>
    <w:uiPriority w:val="99"/>
    <w:pPr>
      <w:tabs>
        <w:tab w:val="center" w:pos="4153"/>
        <w:tab w:val="right" w:pos="8306"/>
      </w:tabs>
      <w:snapToGrid w:val="0"/>
      <w:jc w:val="left"/>
    </w:pPr>
    <w:rPr>
      <w:sz w:val="18"/>
      <w:szCs w:val="18"/>
    </w:rPr>
  </w:style>
  <w:style w:type="paragraph" w:styleId="12">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autoRedefine/>
    <w:qFormat/>
    <w:uiPriority w:val="0"/>
    <w:pPr>
      <w:spacing w:beforeAutospacing="1" w:afterAutospacing="1"/>
      <w:jc w:val="left"/>
    </w:pPr>
    <w:rPr>
      <w:rFonts w:cs="Times New Roman"/>
      <w:kern w:val="0"/>
      <w:sz w:val="24"/>
    </w:rPr>
  </w:style>
  <w:style w:type="table" w:styleId="15">
    <w:name w:val="Table Grid"/>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7">
    <w:name w:val="Strong"/>
    <w:autoRedefine/>
    <w:qFormat/>
    <w:uiPriority w:val="0"/>
    <w:rPr>
      <w:b/>
      <w:bCs/>
    </w:rPr>
  </w:style>
  <w:style w:type="character" w:styleId="18">
    <w:name w:val="Hyperlink"/>
    <w:basedOn w:val="16"/>
    <w:qFormat/>
    <w:uiPriority w:val="0"/>
    <w:rPr>
      <w:color w:val="0000FF"/>
      <w:u w:val="single"/>
    </w:rPr>
  </w:style>
  <w:style w:type="character" w:customStyle="1" w:styleId="19">
    <w:name w:val="页眉 Char"/>
    <w:basedOn w:val="16"/>
    <w:link w:val="12"/>
    <w:qFormat/>
    <w:uiPriority w:val="99"/>
    <w:rPr>
      <w:sz w:val="18"/>
      <w:szCs w:val="18"/>
    </w:rPr>
  </w:style>
  <w:style w:type="character" w:customStyle="1" w:styleId="20">
    <w:name w:val="页脚 Char"/>
    <w:basedOn w:val="16"/>
    <w:link w:val="11"/>
    <w:qFormat/>
    <w:uiPriority w:val="99"/>
    <w:rPr>
      <w:sz w:val="18"/>
      <w:szCs w:val="18"/>
    </w:rPr>
  </w:style>
  <w:style w:type="character" w:customStyle="1" w:styleId="21">
    <w:name w:val="标题 2 Char"/>
    <w:basedOn w:val="16"/>
    <w:link w:val="5"/>
    <w:qFormat/>
    <w:uiPriority w:val="9"/>
    <w:rPr>
      <w:rFonts w:ascii="Cambria" w:hAnsi="Cambria" w:eastAsia="宋体" w:cs="Times New Roman"/>
      <w:b/>
      <w:bCs/>
      <w:sz w:val="32"/>
      <w:szCs w:val="32"/>
    </w:rPr>
  </w:style>
  <w:style w:type="character" w:customStyle="1" w:styleId="22">
    <w:name w:val="标题 3 Char"/>
    <w:basedOn w:val="16"/>
    <w:link w:val="6"/>
    <w:qFormat/>
    <w:uiPriority w:val="9"/>
    <w:rPr>
      <w:rFonts w:ascii="Calibri" w:hAnsi="Calibri" w:eastAsia="宋体" w:cs="Times New Roman"/>
      <w:b/>
      <w:bCs/>
      <w:sz w:val="32"/>
      <w:szCs w:val="32"/>
    </w:rPr>
  </w:style>
  <w:style w:type="character" w:customStyle="1" w:styleId="23">
    <w:name w:val="标题 4 Char"/>
    <w:basedOn w:val="16"/>
    <w:link w:val="7"/>
    <w:qFormat/>
    <w:uiPriority w:val="0"/>
    <w:rPr>
      <w:rFonts w:ascii="宋体" w:hAnsi="宋体" w:eastAsia="宋体" w:cs="Times New Roman"/>
      <w:b/>
      <w:bCs/>
      <w:kern w:val="0"/>
      <w:sz w:val="24"/>
      <w:szCs w:val="24"/>
    </w:rPr>
  </w:style>
  <w:style w:type="character" w:customStyle="1" w:styleId="24">
    <w:name w:val="正文文本 Char"/>
    <w:basedOn w:val="16"/>
    <w:link w:val="3"/>
    <w:semiHidden/>
    <w:qFormat/>
    <w:uiPriority w:val="99"/>
    <w:rPr>
      <w:szCs w:val="24"/>
    </w:rPr>
  </w:style>
  <w:style w:type="character" w:customStyle="1" w:styleId="25">
    <w:name w:val="正文首行缩进 Char"/>
    <w:basedOn w:val="24"/>
    <w:link w:val="2"/>
    <w:qFormat/>
    <w:uiPriority w:val="0"/>
    <w:rPr>
      <w:rFonts w:ascii="Calibri" w:hAnsi="Calibri" w:eastAsia="宋体" w:cs="Times New Roman"/>
      <w:szCs w:val="24"/>
    </w:rPr>
  </w:style>
  <w:style w:type="character" w:customStyle="1" w:styleId="26">
    <w:name w:val="批注文字 Char"/>
    <w:basedOn w:val="16"/>
    <w:link w:val="10"/>
    <w:qFormat/>
    <w:uiPriority w:val="0"/>
    <w:rPr>
      <w:szCs w:val="24"/>
    </w:rPr>
  </w:style>
  <w:style w:type="paragraph" w:customStyle="1" w:styleId="27">
    <w:name w:val="AnnotationText"/>
    <w:basedOn w:val="1"/>
    <w:autoRedefine/>
    <w:qFormat/>
    <w:uiPriority w:val="0"/>
    <w:pPr>
      <w:jc w:val="left"/>
    </w:pPr>
  </w:style>
  <w:style w:type="character" w:customStyle="1" w:styleId="28">
    <w:name w:val="NormalCharacter"/>
    <w:autoRedefine/>
    <w:qFormat/>
    <w:uiPriority w:val="0"/>
  </w:style>
  <w:style w:type="paragraph" w:styleId="29">
    <w:name w:val="List Paragraph"/>
    <w:basedOn w:val="1"/>
    <w:autoRedefine/>
    <w:qFormat/>
    <w:uiPriority w:val="34"/>
    <w:pPr>
      <w:ind w:firstLine="420" w:firstLineChars="200"/>
    </w:pPr>
  </w:style>
  <w:style w:type="paragraph" w:customStyle="1" w:styleId="30">
    <w:name w:val="列出段落1"/>
    <w:basedOn w:val="1"/>
    <w:autoRedefine/>
    <w:qFormat/>
    <w:uiPriority w:val="34"/>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24</Pages>
  <Words>6448</Words>
  <Characters>7786</Characters>
  <Lines>107</Lines>
  <Paragraphs>30</Paragraphs>
  <TotalTime>13</TotalTime>
  <ScaleCrop>false</ScaleCrop>
  <LinksUpToDate>false</LinksUpToDate>
  <CharactersWithSpaces>7927</CharactersWithSpaces>
  <Application>WPS Office_6.13.2.8918_F1E327BC-269C-435d-A152-05C5408002CA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2024-03-08T23:08:00Z</dcterms:created>
  <dc:creator>Administrator</dc:creator>
  <cp:lastModifiedBy>paper tiger</cp:lastModifiedBy>
  <dcterms:modified xsi:type="dcterms:W3CDTF">2024-12-02T15:11:17Z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2052-6.13.2.8918</vt:lpwstr>
  </property>
  <property fmtid="{D5CDD505-2E9C-101B-9397-08002B2CF9AE}" pid="3" name="ICV">
    <vt:lpwstr>33932C072BA1A319955D4D67F3DCF57E_43</vt:lpwstr>
  </property>
</Properties>
</file>