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2A039">
      <w:pPr>
        <w:spacing w:line="267" w:lineRule="auto"/>
        <w:rPr>
          <w:rFonts w:ascii="Arial"/>
          <w:sz w:val="21"/>
        </w:rPr>
      </w:pPr>
    </w:p>
    <w:p w14:paraId="2B0E2AF0">
      <w:pPr>
        <w:spacing w:line="267" w:lineRule="auto"/>
        <w:rPr>
          <w:rFonts w:ascii="Arial"/>
          <w:sz w:val="21"/>
        </w:rPr>
      </w:pPr>
    </w:p>
    <w:p w14:paraId="00199C95">
      <w:pPr>
        <w:spacing w:line="267" w:lineRule="auto"/>
        <w:rPr>
          <w:rFonts w:ascii="Arial"/>
          <w:sz w:val="21"/>
        </w:rPr>
      </w:pPr>
    </w:p>
    <w:p w14:paraId="3FD3375D">
      <w:pPr>
        <w:spacing w:line="268" w:lineRule="auto"/>
        <w:rPr>
          <w:rFonts w:ascii="Arial"/>
          <w:sz w:val="21"/>
        </w:rPr>
      </w:pPr>
    </w:p>
    <w:p w14:paraId="6F9F254F">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11"/>
          <w:sz w:val="70"/>
          <w:szCs w:val="70"/>
        </w:rPr>
      </w:pPr>
      <w:bookmarkStart w:id="0" w:name="_Toc32044"/>
      <w:r>
        <w:rPr>
          <w:rFonts w:hint="eastAsia" w:ascii="宋体" w:hAnsi="宋体" w:eastAsia="宋体" w:cs="宋体"/>
          <w:b/>
          <w:bCs/>
          <w:spacing w:val="11"/>
          <w:sz w:val="70"/>
          <w:szCs w:val="70"/>
          <w:lang w:val="en-US" w:eastAsia="zh-CN"/>
        </w:rPr>
        <w:t>世界</w:t>
      </w:r>
      <w:r>
        <w:rPr>
          <w:rFonts w:ascii="宋体" w:hAnsi="宋体" w:eastAsia="宋体" w:cs="宋体"/>
          <w:b/>
          <w:bCs/>
          <w:spacing w:val="11"/>
          <w:sz w:val="70"/>
          <w:szCs w:val="70"/>
        </w:rPr>
        <w:t>职业院校技能大赛</w:t>
      </w:r>
      <w:bookmarkEnd w:id="0"/>
    </w:p>
    <w:p w14:paraId="6582F1FB">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both"/>
        <w:textAlignment w:val="baseline"/>
        <w:outlineLvl w:val="0"/>
        <w:rPr>
          <w:rFonts w:hint="eastAsia" w:ascii="宋体" w:hAnsi="宋体" w:eastAsia="宋体" w:cs="宋体"/>
          <w:b/>
          <w:bCs/>
          <w:spacing w:val="11"/>
          <w:sz w:val="70"/>
          <w:szCs w:val="70"/>
          <w:lang w:eastAsia="zh-CN"/>
        </w:rPr>
      </w:pPr>
      <w:bookmarkStart w:id="1" w:name="_Toc3874"/>
      <w:r>
        <w:rPr>
          <w:rFonts w:hint="eastAsia" w:ascii="宋体" w:hAnsi="宋体" w:eastAsia="宋体" w:cs="宋体"/>
          <w:b/>
          <w:bCs/>
          <w:spacing w:val="11"/>
          <w:sz w:val="70"/>
          <w:szCs w:val="70"/>
          <w:lang w:eastAsia="zh-CN"/>
        </w:rPr>
        <w:t>医疗器械制造与运维赛道</w:t>
      </w:r>
      <w:bookmarkEnd w:id="1"/>
    </w:p>
    <w:p w14:paraId="1CBB7CDE">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spacing w:val="5"/>
          <w:sz w:val="70"/>
          <w:szCs w:val="70"/>
        </w:rPr>
      </w:pPr>
      <w:bookmarkStart w:id="2" w:name="_Toc1923"/>
      <w:r>
        <w:rPr>
          <w:rFonts w:hint="eastAsia" w:ascii="宋体" w:hAnsi="宋体" w:eastAsia="宋体" w:cs="宋体"/>
          <w:b/>
          <w:bCs/>
          <w:spacing w:val="11"/>
          <w:sz w:val="70"/>
          <w:szCs w:val="70"/>
          <w:lang w:val="en-US" w:eastAsia="zh-CN"/>
        </w:rPr>
        <w:t>河北省选拔赛</w:t>
      </w:r>
      <w:bookmarkEnd w:id="2"/>
    </w:p>
    <w:p w14:paraId="43BA2491">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p>
    <w:p w14:paraId="03712E36">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p>
    <w:p w14:paraId="3F03A941">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bookmarkStart w:id="3" w:name="_Toc5765"/>
      <w:r>
        <w:rPr>
          <w:rFonts w:ascii="宋体" w:hAnsi="宋体" w:eastAsia="宋体" w:cs="宋体"/>
          <w:b/>
          <w:bCs/>
          <w:spacing w:val="6"/>
          <w:sz w:val="70"/>
          <w:szCs w:val="70"/>
        </w:rPr>
        <w:t>赛项规程</w:t>
      </w:r>
      <w:bookmarkEnd w:id="3"/>
    </w:p>
    <w:p w14:paraId="3B814CD3">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p>
    <w:p w14:paraId="0E96DA6D">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p>
    <w:p w14:paraId="5A7DE385">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ascii="宋体" w:hAnsi="宋体" w:eastAsia="宋体" w:cs="宋体"/>
          <w:b/>
          <w:bCs/>
          <w:spacing w:val="6"/>
          <w:sz w:val="70"/>
          <w:szCs w:val="70"/>
        </w:rPr>
      </w:pPr>
    </w:p>
    <w:p w14:paraId="27A06F63">
      <w:pPr>
        <w:spacing w:line="258" w:lineRule="auto"/>
        <w:rPr>
          <w:rFonts w:ascii="Arial"/>
          <w:sz w:val="21"/>
        </w:rPr>
      </w:pPr>
    </w:p>
    <w:p w14:paraId="7D281DC0">
      <w:pPr>
        <w:spacing w:line="258" w:lineRule="auto"/>
        <w:rPr>
          <w:rFonts w:ascii="Arial"/>
          <w:sz w:val="21"/>
        </w:rPr>
      </w:pPr>
    </w:p>
    <w:p w14:paraId="3A7349F9">
      <w:pPr>
        <w:spacing w:line="483" w:lineRule="auto"/>
        <w:jc w:val="center"/>
        <w:rPr>
          <w:rFonts w:hint="default" w:ascii="Times New Roman" w:hAnsi="Times New Roman" w:eastAsia="宋体" w:cs="Times New Roman"/>
          <w:sz w:val="30"/>
          <w:szCs w:val="30"/>
          <w:lang w:val="en-US" w:eastAsia="zh-CN"/>
        </w:rPr>
        <w:sectPr>
          <w:pgSz w:w="11910" w:h="16840"/>
          <w:pgMar w:top="1429" w:right="1769" w:bottom="1355" w:left="1786" w:header="0" w:footer="1219" w:gutter="0"/>
          <w:pgNumType w:fmt="decimal"/>
          <w:cols w:space="0" w:num="1"/>
          <w:rtlGutter w:val="0"/>
          <w:docGrid w:linePitch="0" w:charSpace="0"/>
        </w:sectPr>
      </w:pPr>
      <w:r>
        <w:rPr>
          <w:rFonts w:hint="eastAsia" w:ascii="Times New Roman" w:hAnsi="Times New Roman" w:eastAsia="宋体" w:cs="Times New Roman"/>
          <w:sz w:val="30"/>
          <w:szCs w:val="30"/>
          <w:lang w:val="en-US" w:eastAsia="zh-CN"/>
        </w:rPr>
        <w:t>2025年6月</w:t>
      </w:r>
    </w:p>
    <w:p w14:paraId="1EFF446F">
      <w:pPr>
        <w:pStyle w:val="2"/>
        <w:keepNext w:val="0"/>
        <w:keepLines w:val="0"/>
        <w:pageBreakBefore w:val="0"/>
        <w:widowControl w:val="0"/>
        <w:kinsoku w:val="0"/>
        <w:wordWrap/>
        <w:overflowPunct/>
        <w:topLinePunct w:val="0"/>
        <w:autoSpaceDE w:val="0"/>
        <w:autoSpaceDN w:val="0"/>
        <w:bidi w:val="0"/>
        <w:adjustRightInd w:val="0"/>
        <w:snapToGrid w:val="0"/>
        <w:spacing w:before="145" w:line="520" w:lineRule="exact"/>
        <w:ind w:left="0" w:firstLine="607" w:firstLineChars="200"/>
        <w:textAlignment w:val="baseline"/>
        <w:outlineLvl w:val="1"/>
        <w:rPr>
          <w:sz w:val="32"/>
          <w:szCs w:val="32"/>
        </w:rPr>
      </w:pPr>
      <w:bookmarkStart w:id="4" w:name="_Toc14403"/>
      <w:r>
        <w:rPr>
          <w:rFonts w:hint="eastAsia"/>
          <w:b/>
          <w:bCs/>
          <w:spacing w:val="-9"/>
          <w:sz w:val="32"/>
          <w:szCs w:val="32"/>
          <w:lang w:val="en-US" w:eastAsia="zh-CN"/>
        </w:rPr>
        <w:t>一</w:t>
      </w:r>
      <w:r>
        <w:rPr>
          <w:b/>
          <w:bCs/>
          <w:spacing w:val="-9"/>
          <w:sz w:val="32"/>
          <w:szCs w:val="32"/>
        </w:rPr>
        <w:t>、竞赛目标</w:t>
      </w:r>
      <w:bookmarkEnd w:id="4"/>
    </w:p>
    <w:p w14:paraId="10C682B7">
      <w:pPr>
        <w:keepNext w:val="0"/>
        <w:keepLines w:val="0"/>
        <w:pageBreakBefore w:val="0"/>
        <w:widowControl w:val="0"/>
        <w:kinsoku w:val="0"/>
        <w:wordWrap/>
        <w:overflowPunct/>
        <w:topLinePunct w:val="0"/>
        <w:autoSpaceDE w:val="0"/>
        <w:autoSpaceDN w:val="0"/>
        <w:bidi w:val="0"/>
        <w:adjustRightInd/>
        <w:snapToGrid w:val="0"/>
        <w:spacing w:before="0" w:beforeLines="50" w:line="520" w:lineRule="exact"/>
        <w:ind w:left="0" w:right="0" w:firstLine="540" w:firstLineChars="200"/>
        <w:jc w:val="both"/>
        <w:textAlignment w:val="baseline"/>
        <w:rPr>
          <w:rFonts w:hint="eastAsia" w:ascii="仿宋" w:hAnsi="仿宋" w:eastAsia="仿宋" w:cs="仿宋"/>
          <w:sz w:val="27"/>
          <w:szCs w:val="27"/>
          <w:lang w:eastAsia="zh-CN"/>
        </w:rPr>
      </w:pPr>
      <w:r>
        <w:rPr>
          <w:rFonts w:hint="eastAsia" w:ascii="仿宋" w:hAnsi="仿宋" w:eastAsia="仿宋" w:cs="仿宋"/>
          <w:sz w:val="27"/>
          <w:szCs w:val="27"/>
        </w:rPr>
        <w:t>本赛项旨在落实国家制造业高端化、智能化、绿色化的发展战略</w:t>
      </w:r>
      <w:r>
        <w:rPr>
          <w:rFonts w:hint="eastAsia" w:ascii="仿宋" w:hAnsi="仿宋" w:eastAsia="仿宋" w:cs="仿宋"/>
          <w:sz w:val="27"/>
          <w:szCs w:val="27"/>
          <w:lang w:eastAsia="zh-CN"/>
        </w:rPr>
        <w:t>，</w:t>
      </w:r>
      <w:r>
        <w:rPr>
          <w:rFonts w:hint="eastAsia" w:ascii="仿宋" w:hAnsi="仿宋" w:eastAsia="仿宋" w:cs="仿宋"/>
          <w:sz w:val="27"/>
          <w:szCs w:val="27"/>
        </w:rPr>
        <w:t>精准对接高端医疗装备制造与生命健康产业对高素质技术技能人才的迫切需求，引领相关专业建设和教学改革，全面提升高等职业教育教学质量，为坚定不移建设制造强国与健康中国协同推进提供人才支撑</w:t>
      </w:r>
      <w:r>
        <w:rPr>
          <w:rFonts w:hint="eastAsia" w:ascii="仿宋" w:hAnsi="仿宋" w:eastAsia="仿宋" w:cs="仿宋"/>
          <w:sz w:val="27"/>
          <w:szCs w:val="27"/>
          <w:lang w:eastAsia="zh-CN"/>
        </w:rPr>
        <w:t>。</w:t>
      </w:r>
    </w:p>
    <w:p w14:paraId="04B1E39A">
      <w:pPr>
        <w:keepNext w:val="0"/>
        <w:keepLines w:val="0"/>
        <w:pageBreakBefore w:val="0"/>
        <w:widowControl w:val="0"/>
        <w:kinsoku w:val="0"/>
        <w:wordWrap/>
        <w:overflowPunct/>
        <w:topLinePunct w:val="0"/>
        <w:autoSpaceDE w:val="0"/>
        <w:autoSpaceDN w:val="0"/>
        <w:bidi w:val="0"/>
        <w:adjustRightInd/>
        <w:snapToGrid w:val="0"/>
        <w:spacing w:line="520" w:lineRule="exact"/>
        <w:ind w:left="0" w:right="0" w:firstLine="540" w:firstLineChars="200"/>
        <w:jc w:val="both"/>
        <w:textAlignment w:val="baseline"/>
        <w:rPr>
          <w:rFonts w:hint="eastAsia" w:ascii="仿宋" w:hAnsi="仿宋" w:eastAsia="仿宋" w:cs="仿宋"/>
          <w:sz w:val="27"/>
          <w:szCs w:val="27"/>
        </w:rPr>
      </w:pPr>
      <w:r>
        <w:rPr>
          <w:rFonts w:hint="eastAsia" w:ascii="仿宋" w:hAnsi="仿宋" w:eastAsia="仿宋" w:cs="仿宋"/>
          <w:sz w:val="27"/>
          <w:szCs w:val="27"/>
        </w:rPr>
        <w:t>医疗器械作为生命科学、材料科学、信息技术与先进制造高度交叉融合的战略性新兴产业核心领域，是保障人民生命健康的关键基石</w:t>
      </w:r>
      <w:r>
        <w:rPr>
          <w:rFonts w:hint="eastAsia" w:ascii="仿宋" w:hAnsi="仿宋" w:eastAsia="仿宋" w:cs="仿宋"/>
          <w:sz w:val="27"/>
          <w:szCs w:val="27"/>
          <w:lang w:eastAsia="zh-CN"/>
        </w:rPr>
        <w:t>，</w:t>
      </w:r>
      <w:r>
        <w:rPr>
          <w:rFonts w:hint="eastAsia" w:ascii="仿宋" w:hAnsi="仿宋" w:eastAsia="仿宋" w:cs="仿宋"/>
          <w:sz w:val="27"/>
          <w:szCs w:val="27"/>
        </w:rPr>
        <w:t>其创新发展受到国家和社会的高度重视。随着科技进步和健康需求升级，医疗器械的应用场景持续深化，在疾病预防、精准诊断、微创治疗、远程监护、康复护理等领域展现出巨大潜力，对医疗器械精密制造、质量控制、临床运维、安全管理、智能化升级等岗位的高技能人才需求呈现长期旺盛趋势。</w:t>
      </w:r>
    </w:p>
    <w:p w14:paraId="1D0D1BD7">
      <w:pPr>
        <w:keepNext w:val="0"/>
        <w:keepLines w:val="0"/>
        <w:pageBreakBefore w:val="0"/>
        <w:widowControl w:val="0"/>
        <w:kinsoku w:val="0"/>
        <w:wordWrap/>
        <w:overflowPunct/>
        <w:topLinePunct w:val="0"/>
        <w:autoSpaceDE w:val="0"/>
        <w:autoSpaceDN w:val="0"/>
        <w:bidi w:val="0"/>
        <w:adjustRightInd/>
        <w:snapToGrid w:val="0"/>
        <w:spacing w:line="520" w:lineRule="exact"/>
        <w:ind w:left="0" w:right="0" w:firstLine="540" w:firstLineChars="200"/>
        <w:jc w:val="both"/>
        <w:textAlignment w:val="baseline"/>
        <w:rPr>
          <w:rFonts w:hint="eastAsia" w:ascii="仿宋" w:hAnsi="仿宋" w:eastAsia="仿宋" w:cs="仿宋"/>
          <w:sz w:val="27"/>
          <w:szCs w:val="27"/>
        </w:rPr>
      </w:pPr>
      <w:r>
        <w:rPr>
          <w:rFonts w:hint="eastAsia" w:ascii="仿宋" w:hAnsi="仿宋" w:eastAsia="仿宋" w:cs="仿宋"/>
          <w:sz w:val="27"/>
          <w:szCs w:val="27"/>
        </w:rPr>
        <w:t>本赛项的举办将有力推进高等职业院校装备制造类、生物医药类</w:t>
      </w:r>
      <w:r>
        <w:rPr>
          <w:rFonts w:hint="eastAsia" w:ascii="仿宋" w:hAnsi="仿宋" w:eastAsia="仿宋" w:cs="仿宋"/>
          <w:sz w:val="27"/>
          <w:szCs w:val="27"/>
          <w:lang w:eastAsia="zh-CN"/>
        </w:rPr>
        <w:t>、</w:t>
      </w:r>
      <w:r>
        <w:rPr>
          <w:rFonts w:hint="eastAsia" w:ascii="仿宋" w:hAnsi="仿宋" w:eastAsia="仿宋" w:cs="仿宋"/>
          <w:sz w:val="27"/>
          <w:szCs w:val="27"/>
        </w:rPr>
        <w:t>电子信息类专业中医疗器械相关技术的建设与教学改革。赛项将聚焦医疗器械全生命周期（设计转化、精密制造、质量控制、临床应用、运维管理、报废处置）的核心技能，推动医疗器械GMP规范、精密加工与装配、人因工程应用、医疗数据安全、人工智能辅助诊断与运维、医疗设备预防性维护与故障排除等高素质技术技能人才的培养。同时</w:t>
      </w:r>
      <w:r>
        <w:rPr>
          <w:rFonts w:hint="eastAsia" w:ascii="仿宋" w:hAnsi="仿宋" w:eastAsia="仿宋" w:cs="仿宋"/>
          <w:sz w:val="27"/>
          <w:szCs w:val="27"/>
          <w:lang w:eastAsia="zh-CN"/>
        </w:rPr>
        <w:t>，</w:t>
      </w:r>
      <w:r>
        <w:rPr>
          <w:rFonts w:hint="eastAsia" w:ascii="仿宋" w:hAnsi="仿宋" w:eastAsia="仿宋" w:cs="仿宋"/>
          <w:sz w:val="27"/>
          <w:szCs w:val="27"/>
        </w:rPr>
        <w:t>促进相关专业的课程体系重构、教学资源开发、新型教材建设及实践教学平台升级，为产业储备“双师型”师资力量，为全面提升医疗器械领域相关专业的人才培养质量和内涵建设搭建产教融合平台，最终形成“以赛促学、以赛促教、以赛促改、以赛促融”的良性发展新格局。</w:t>
      </w:r>
    </w:p>
    <w:p w14:paraId="4BFCBCAB">
      <w:pPr>
        <w:pStyle w:val="2"/>
        <w:keepNext w:val="0"/>
        <w:keepLines w:val="0"/>
        <w:pageBreakBefore w:val="0"/>
        <w:widowControl w:val="0"/>
        <w:kinsoku w:val="0"/>
        <w:wordWrap/>
        <w:overflowPunct/>
        <w:topLinePunct w:val="0"/>
        <w:autoSpaceDE w:val="0"/>
        <w:autoSpaceDN w:val="0"/>
        <w:bidi w:val="0"/>
        <w:adjustRightInd w:val="0"/>
        <w:snapToGrid w:val="0"/>
        <w:spacing w:before="145" w:line="520" w:lineRule="exact"/>
        <w:ind w:left="0" w:firstLine="607" w:firstLineChars="200"/>
        <w:textAlignment w:val="baseline"/>
        <w:outlineLvl w:val="1"/>
        <w:rPr>
          <w:rFonts w:hint="eastAsia"/>
          <w:b/>
          <w:bCs/>
          <w:spacing w:val="-9"/>
          <w:sz w:val="32"/>
          <w:szCs w:val="32"/>
          <w:lang w:val="en-US" w:eastAsia="zh-CN"/>
        </w:rPr>
      </w:pPr>
      <w:bookmarkStart w:id="5" w:name="_Toc300"/>
      <w:r>
        <w:rPr>
          <w:rFonts w:hint="eastAsia"/>
          <w:b/>
          <w:bCs/>
          <w:spacing w:val="-9"/>
          <w:sz w:val="32"/>
          <w:szCs w:val="32"/>
          <w:lang w:val="en-US" w:eastAsia="zh-CN"/>
        </w:rPr>
        <w:t>二、竞赛内容</w:t>
      </w:r>
      <w:bookmarkEnd w:id="5"/>
    </w:p>
    <w:p w14:paraId="18FED1B4">
      <w:pPr>
        <w:keepNext w:val="0"/>
        <w:keepLines w:val="0"/>
        <w:pageBreakBefore w:val="0"/>
        <w:widowControl w:val="0"/>
        <w:kinsoku w:val="0"/>
        <w:wordWrap/>
        <w:overflowPunct/>
        <w:topLinePunct w:val="0"/>
        <w:autoSpaceDE w:val="0"/>
        <w:autoSpaceDN w:val="0"/>
        <w:bidi w:val="0"/>
        <w:adjustRightInd/>
        <w:snapToGrid w:val="0"/>
        <w:spacing w:before="0" w:beforeLines="5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rPr>
        <w:t>本参赛队伍依据医疗器械制造与运维赛道相关要求，结合教育教学实际，围绕生产、管理、服务一线真问题、真场景，自主确定参赛项目名称</w:t>
      </w:r>
      <w:r>
        <w:rPr>
          <w:rFonts w:hint="eastAsia" w:ascii="仿宋" w:hAnsi="仿宋" w:eastAsia="仿宋" w:cs="仿宋"/>
          <w:sz w:val="27"/>
          <w:szCs w:val="27"/>
          <w:lang w:eastAsia="zh-CN"/>
        </w:rPr>
        <w:t>，</w:t>
      </w:r>
      <w:r>
        <w:rPr>
          <w:rFonts w:hint="eastAsia" w:ascii="仿宋" w:hAnsi="仿宋" w:eastAsia="仿宋" w:cs="仿宋"/>
          <w:sz w:val="27"/>
          <w:szCs w:val="27"/>
        </w:rPr>
        <w:t>自主设计参赛项目内容，自主选择参赛设备，展示真技能</w:t>
      </w:r>
      <w:r>
        <w:rPr>
          <w:rFonts w:hint="eastAsia" w:ascii="仿宋" w:hAnsi="仿宋" w:eastAsia="仿宋" w:cs="仿宋"/>
          <w:sz w:val="27"/>
          <w:szCs w:val="27"/>
          <w:lang w:eastAsia="zh-CN"/>
        </w:rPr>
        <w:t>。</w:t>
      </w:r>
      <w:r>
        <w:rPr>
          <w:rFonts w:hint="eastAsia" w:ascii="仿宋" w:hAnsi="仿宋" w:eastAsia="仿宋" w:cs="仿宋"/>
          <w:sz w:val="27"/>
          <w:szCs w:val="27"/>
          <w:lang w:val="en-US" w:eastAsia="zh-CN"/>
        </w:rPr>
        <w:t>面向的主要岗位（群）或技术领域包括：</w:t>
      </w:r>
    </w:p>
    <w:p w14:paraId="682E158A">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1.智能医疗装备技术与维护类</w:t>
      </w:r>
    </w:p>
    <w:p w14:paraId="149929FE">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default" w:ascii="仿宋" w:hAnsi="仿宋" w:eastAsia="仿宋" w:cs="仿宋"/>
          <w:sz w:val="27"/>
          <w:szCs w:val="27"/>
          <w:lang w:val="en-US" w:eastAsia="zh-CN"/>
        </w:rPr>
        <w:t>智能医疗装备安装调试，智能医疗装备应用维修，智能医疗装备质量检测，生产工艺管理，装配调试，生产质量管理，</w:t>
      </w:r>
      <w:r>
        <w:rPr>
          <w:rFonts w:hint="eastAsia" w:ascii="仿宋" w:hAnsi="仿宋" w:eastAsia="仿宋" w:cs="仿宋"/>
          <w:sz w:val="27"/>
          <w:szCs w:val="27"/>
          <w:lang w:val="en-US" w:eastAsia="zh-CN"/>
        </w:rPr>
        <w:t>维修维护等；</w:t>
      </w:r>
    </w:p>
    <w:p w14:paraId="6D6F2619">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2.医疗器械销售与管理类</w:t>
      </w:r>
    </w:p>
    <w:p w14:paraId="6AABBE80">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default" w:ascii="仿宋" w:hAnsi="仿宋" w:eastAsia="仿宋" w:cs="仿宋"/>
          <w:sz w:val="27"/>
          <w:szCs w:val="27"/>
          <w:lang w:val="en-US" w:eastAsia="zh-CN"/>
        </w:rPr>
        <w:t>医疗器械销售与管理，医疗器械市场营销，医疗器械电子商务，医疗器械供应链管理，医疗器械经营质量管理，医疗器械售后服务等</w:t>
      </w:r>
      <w:r>
        <w:rPr>
          <w:rFonts w:hint="eastAsia" w:ascii="仿宋" w:hAnsi="仿宋" w:eastAsia="仿宋" w:cs="仿宋"/>
          <w:sz w:val="27"/>
          <w:szCs w:val="27"/>
          <w:lang w:val="en-US" w:eastAsia="zh-CN"/>
        </w:rPr>
        <w:t>；</w:t>
      </w:r>
    </w:p>
    <w:p w14:paraId="632E4044">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3.康复辅助器具类</w:t>
      </w:r>
    </w:p>
    <w:p w14:paraId="2DB1AADF">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康复辅助器具设计改造，康复辅助器具装配调试等</w:t>
      </w:r>
      <w:r>
        <w:rPr>
          <w:rFonts w:hint="eastAsia" w:ascii="仿宋" w:hAnsi="仿宋" w:eastAsia="仿宋" w:cs="仿宋"/>
          <w:sz w:val="27"/>
          <w:szCs w:val="27"/>
          <w:lang w:val="en-US" w:eastAsia="zh-CN"/>
        </w:rPr>
        <w:t>。</w:t>
      </w:r>
    </w:p>
    <w:p w14:paraId="2C9D6703">
      <w:pPr>
        <w:keepNext w:val="0"/>
        <w:keepLines w:val="0"/>
        <w:pageBreakBefore w:val="0"/>
        <w:widowControl w:val="0"/>
        <w:kinsoku w:val="0"/>
        <w:wordWrap/>
        <w:overflowPunct/>
        <w:topLinePunct w:val="0"/>
        <w:autoSpaceDE w:val="0"/>
        <w:autoSpaceDN w:val="0"/>
        <w:bidi w:val="0"/>
        <w:adjustRightInd/>
        <w:snapToGrid w:val="0"/>
        <w:spacing w:line="520" w:lineRule="exact"/>
        <w:ind w:left="0" w:right="0" w:firstLine="540" w:firstLineChars="200"/>
        <w:jc w:val="both"/>
        <w:textAlignment w:val="baseline"/>
        <w:rPr>
          <w:rFonts w:hint="eastAsia" w:ascii="仿宋" w:hAnsi="仿宋" w:eastAsia="仿宋" w:cs="仿宋"/>
          <w:sz w:val="27"/>
          <w:szCs w:val="27"/>
        </w:rPr>
      </w:pPr>
      <w:r>
        <w:rPr>
          <w:rFonts w:hint="eastAsia" w:ascii="仿宋" w:hAnsi="仿宋" w:eastAsia="仿宋" w:cs="仿宋"/>
          <w:sz w:val="27"/>
          <w:szCs w:val="27"/>
        </w:rPr>
        <w:t>参赛项目须符合职业岗位要求，操作规范、安全。不得含有任何违反《中华人民共和国宪法》及其他法律法规的内容。所涉及的发明创造、专利技术、资源等必须为参赛选手所拥有的清晰、合法的自主知识产权。参赛项目如有涉密内容，参赛前须进行脱密处理。如有抄袭盗用他人成果、弄虚作假等行为，一经发现即取消参赛资格、奖励奖项等相关权利，并自行承担法律责任和相应后果。</w:t>
      </w:r>
    </w:p>
    <w:p w14:paraId="65FC22F1">
      <w:pPr>
        <w:pStyle w:val="2"/>
        <w:keepNext w:val="0"/>
        <w:keepLines w:val="0"/>
        <w:pageBreakBefore w:val="0"/>
        <w:widowControl w:val="0"/>
        <w:kinsoku w:val="0"/>
        <w:wordWrap/>
        <w:overflowPunct/>
        <w:topLinePunct w:val="0"/>
        <w:autoSpaceDE w:val="0"/>
        <w:autoSpaceDN w:val="0"/>
        <w:bidi w:val="0"/>
        <w:adjustRightInd w:val="0"/>
        <w:snapToGrid w:val="0"/>
        <w:spacing w:before="145" w:line="520" w:lineRule="exact"/>
        <w:ind w:left="0" w:firstLine="607" w:firstLineChars="200"/>
        <w:textAlignment w:val="baseline"/>
        <w:outlineLvl w:val="1"/>
        <w:rPr>
          <w:rFonts w:hint="eastAsia"/>
          <w:b/>
          <w:bCs/>
          <w:spacing w:val="-9"/>
          <w:sz w:val="32"/>
          <w:szCs w:val="32"/>
          <w:lang w:val="en-US" w:eastAsia="zh-CN"/>
        </w:rPr>
      </w:pPr>
      <w:bookmarkStart w:id="6" w:name="_Toc3252"/>
      <w:r>
        <w:rPr>
          <w:rFonts w:hint="eastAsia"/>
          <w:b/>
          <w:bCs/>
          <w:spacing w:val="-9"/>
          <w:sz w:val="32"/>
          <w:szCs w:val="32"/>
          <w:lang w:val="en-US" w:eastAsia="zh-CN"/>
        </w:rPr>
        <w:t>三、竞赛方式</w:t>
      </w:r>
      <w:bookmarkEnd w:id="6"/>
    </w:p>
    <w:p w14:paraId="29191FE8">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ascii="楷体" w:hAnsi="楷体" w:eastAsia="楷体" w:cs="楷体"/>
          <w:b/>
          <w:bCs/>
          <w:spacing w:val="18"/>
          <w:sz w:val="27"/>
          <w:szCs w:val="27"/>
        </w:rPr>
      </w:pPr>
      <w:r>
        <w:rPr>
          <w:rFonts w:ascii="楷体" w:hAnsi="楷体" w:eastAsia="楷体" w:cs="楷体"/>
          <w:b/>
          <w:bCs/>
          <w:spacing w:val="18"/>
          <w:sz w:val="27"/>
          <w:szCs w:val="27"/>
        </w:rPr>
        <w:t>(一)竞赛形式</w:t>
      </w:r>
    </w:p>
    <w:p w14:paraId="764B9F43">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团体线下赛，不计选手个人成绩，统计竞赛队的总成绩进行排序。</w:t>
      </w:r>
    </w:p>
    <w:p w14:paraId="46D1DE3C">
      <w:pPr>
        <w:keepNext w:val="0"/>
        <w:keepLines w:val="0"/>
        <w:pageBreakBefore w:val="0"/>
        <w:widowControl w:val="0"/>
        <w:kinsoku w:val="0"/>
        <w:wordWrap/>
        <w:overflowPunct/>
        <w:topLinePunct w:val="0"/>
        <w:autoSpaceDE w:val="0"/>
        <w:autoSpaceDN w:val="0"/>
        <w:bidi w:val="0"/>
        <w:adjustRightInd w:val="0"/>
        <w:snapToGrid w:val="0"/>
        <w:spacing w:line="520" w:lineRule="exact"/>
        <w:ind w:left="0" w:firstLine="614" w:firstLineChars="200"/>
        <w:textAlignment w:val="baseline"/>
        <w:outlineLvl w:val="3"/>
        <w:rPr>
          <w:rFonts w:ascii="楷体" w:hAnsi="楷体" w:eastAsia="楷体" w:cs="楷体"/>
          <w:sz w:val="27"/>
          <w:szCs w:val="27"/>
        </w:rPr>
      </w:pPr>
      <w:r>
        <w:rPr>
          <w:rFonts w:ascii="楷体" w:hAnsi="楷体" w:eastAsia="楷体" w:cs="楷体"/>
          <w:b/>
          <w:bCs/>
          <w:spacing w:val="18"/>
          <w:sz w:val="27"/>
          <w:szCs w:val="27"/>
        </w:rPr>
        <w:t>(二)竞赛队伍组成</w:t>
      </w:r>
    </w:p>
    <w:p w14:paraId="37AC1F76">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highlight w:val="none"/>
          <w:lang w:val="en-US" w:eastAsia="zh-CN"/>
        </w:rPr>
      </w:pPr>
      <w:r>
        <w:rPr>
          <w:rFonts w:hint="eastAsia" w:ascii="仿宋" w:hAnsi="仿宋" w:eastAsia="仿宋" w:cs="仿宋"/>
          <w:sz w:val="27"/>
          <w:szCs w:val="27"/>
          <w:highlight w:val="none"/>
          <w:lang w:val="en-US" w:eastAsia="zh-CN"/>
        </w:rPr>
        <w:t>1.参赛选手为高职（专科）学校、本科层次职业学校（含普通本科学校职教本科专业）、普通本科学校专科全日制在校学生及3年内（以报名时间为准）毕业生。2025年应届毕业生等同于在校学生。参赛选手所学专业须为报名参赛赛道对应的专业类包含的专业。</w:t>
      </w:r>
    </w:p>
    <w:p w14:paraId="77AE06F0">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2.</w:t>
      </w:r>
      <w:r>
        <w:rPr>
          <w:rFonts w:hint="eastAsia" w:ascii="仿宋" w:hAnsi="仿宋" w:eastAsia="仿宋" w:cs="仿宋"/>
          <w:sz w:val="27"/>
          <w:szCs w:val="27"/>
          <w:highlight w:val="none"/>
          <w:lang w:val="en-US" w:eastAsia="zh-CN"/>
        </w:rPr>
        <w:t>每校不超过两队参加</w:t>
      </w:r>
      <w:r>
        <w:rPr>
          <w:rFonts w:hint="eastAsia" w:ascii="仿宋" w:hAnsi="仿宋" w:eastAsia="仿宋" w:cs="仿宋"/>
          <w:sz w:val="27"/>
          <w:szCs w:val="27"/>
          <w:lang w:val="en-US" w:eastAsia="zh-CN"/>
        </w:rPr>
        <w:t>。每支参赛队伍不超过4人，不得跨校组队，每支参赛队伍指导教师不超过2名，</w:t>
      </w:r>
      <w:r>
        <w:rPr>
          <w:rFonts w:hint="eastAsia" w:ascii="仿宋" w:hAnsi="仿宋" w:eastAsia="仿宋" w:cs="仿宋"/>
          <w:sz w:val="27"/>
          <w:szCs w:val="27"/>
          <w:highlight w:val="none"/>
          <w:lang w:val="en-US" w:eastAsia="zh-CN"/>
        </w:rPr>
        <w:t>指导教师须为本校专任教师</w:t>
      </w:r>
      <w:r>
        <w:rPr>
          <w:rFonts w:hint="eastAsia" w:ascii="仿宋" w:hAnsi="仿宋" w:eastAsia="仿宋" w:cs="仿宋"/>
          <w:sz w:val="27"/>
          <w:szCs w:val="27"/>
          <w:lang w:val="en-US" w:eastAsia="zh-CN"/>
        </w:rPr>
        <w:t>。</w:t>
      </w:r>
    </w:p>
    <w:p w14:paraId="577A552D">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3.往届世界（全国）职业院校技能大赛中获金奖（一等奖）的选手，不得参加相应赛道的比赛。</w:t>
      </w:r>
    </w:p>
    <w:p w14:paraId="1D00887A">
      <w:pPr>
        <w:pStyle w:val="2"/>
        <w:keepNext w:val="0"/>
        <w:keepLines w:val="0"/>
        <w:pageBreakBefore w:val="0"/>
        <w:widowControl w:val="0"/>
        <w:kinsoku w:val="0"/>
        <w:wordWrap/>
        <w:overflowPunct/>
        <w:topLinePunct w:val="0"/>
        <w:autoSpaceDE w:val="0"/>
        <w:autoSpaceDN w:val="0"/>
        <w:bidi w:val="0"/>
        <w:adjustRightInd w:val="0"/>
        <w:snapToGrid w:val="0"/>
        <w:spacing w:before="145" w:line="520" w:lineRule="exact"/>
        <w:ind w:left="0" w:firstLine="607" w:firstLineChars="200"/>
        <w:textAlignment w:val="baseline"/>
        <w:outlineLvl w:val="1"/>
        <w:rPr>
          <w:rFonts w:hint="eastAsia"/>
          <w:b/>
          <w:bCs/>
          <w:spacing w:val="-9"/>
          <w:sz w:val="32"/>
          <w:szCs w:val="32"/>
          <w:lang w:val="en-US" w:eastAsia="zh-CN"/>
        </w:rPr>
      </w:pPr>
      <w:bookmarkStart w:id="7" w:name="_Toc9539"/>
      <w:r>
        <w:rPr>
          <w:rFonts w:hint="eastAsia"/>
          <w:b/>
          <w:bCs/>
          <w:spacing w:val="-9"/>
          <w:sz w:val="32"/>
          <w:szCs w:val="32"/>
          <w:lang w:val="en-US" w:eastAsia="zh-CN"/>
        </w:rPr>
        <w:t>四、竞赛规则</w:t>
      </w:r>
      <w:bookmarkEnd w:id="7"/>
    </w:p>
    <w:p w14:paraId="657C9F3E">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ascii="楷体" w:hAnsi="楷体" w:eastAsia="楷体" w:cs="楷体"/>
          <w:b/>
          <w:bCs/>
          <w:spacing w:val="18"/>
          <w:sz w:val="27"/>
          <w:szCs w:val="27"/>
        </w:rPr>
      </w:pPr>
      <w:r>
        <w:rPr>
          <w:rFonts w:ascii="楷体" w:hAnsi="楷体" w:eastAsia="楷体" w:cs="楷体"/>
          <w:b/>
          <w:bCs/>
          <w:spacing w:val="18"/>
          <w:sz w:val="27"/>
          <w:szCs w:val="27"/>
        </w:rPr>
        <w:t>（一）选手报名</w:t>
      </w:r>
    </w:p>
    <w:p w14:paraId="70E07680">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1.参赛名额：每队限报4名选手和2名指导教师。</w:t>
      </w:r>
    </w:p>
    <w:p w14:paraId="4F154330">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2.人员变更：参赛选手和指导教师报名确认后不得随意更换，如备赛过程中参赛选手和指导教师因故无法参赛，须由相关院校于本赛项开赛前2个工作日内出具书面说明，经大赛执委会办公室核实后予以更换；选手因特殊原因不能参加比赛时，则视为自动放弃竞赛。</w:t>
      </w:r>
    </w:p>
    <w:p w14:paraId="4DB47A00">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ascii="楷体" w:hAnsi="楷体" w:eastAsia="楷体" w:cs="楷体"/>
          <w:b/>
          <w:bCs/>
          <w:spacing w:val="18"/>
          <w:sz w:val="27"/>
          <w:szCs w:val="27"/>
        </w:rPr>
      </w:pPr>
      <w:r>
        <w:rPr>
          <w:rFonts w:ascii="楷体" w:hAnsi="楷体" w:eastAsia="楷体" w:cs="楷体"/>
          <w:b/>
          <w:bCs/>
          <w:spacing w:val="18"/>
          <w:sz w:val="27"/>
          <w:szCs w:val="27"/>
        </w:rPr>
        <w:t>（</w:t>
      </w:r>
      <w:r>
        <w:rPr>
          <w:rFonts w:hint="eastAsia" w:ascii="楷体" w:hAnsi="楷体" w:eastAsia="楷体" w:cs="楷体"/>
          <w:b/>
          <w:bCs/>
          <w:spacing w:val="18"/>
          <w:sz w:val="27"/>
          <w:szCs w:val="27"/>
          <w:lang w:val="en-US" w:eastAsia="zh-CN"/>
        </w:rPr>
        <w:t>二</w:t>
      </w:r>
      <w:r>
        <w:rPr>
          <w:rFonts w:ascii="楷体" w:hAnsi="楷体" w:eastAsia="楷体" w:cs="楷体"/>
          <w:b/>
          <w:bCs/>
          <w:spacing w:val="18"/>
          <w:sz w:val="27"/>
          <w:szCs w:val="27"/>
        </w:rPr>
        <w:t>）入场规则</w:t>
      </w:r>
    </w:p>
    <w:p w14:paraId="41CD61D7">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1.比赛日前一天下午召开领队会议，讲解竞赛注意事项，同时进行场次抽签。</w:t>
      </w:r>
    </w:p>
    <w:p w14:paraId="4F9B0A7C">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2.选手凭参赛证、身份证在规定时间到达赛场检录。</w:t>
      </w:r>
    </w:p>
    <w:p w14:paraId="1CA02BEA">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3.选手抽取赛位号并在指定区域等待，然后按规定时间由工作人员组织编队进入赛场和赛位。</w:t>
      </w:r>
    </w:p>
    <w:p w14:paraId="54741495">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4.比赛开始30分钟后不得入场，迟到选手必须在赛场记录表中说明到场时间、迟到原因并签署赛位号确认。</w:t>
      </w:r>
    </w:p>
    <w:p w14:paraId="7BFB0C67">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hint="eastAsia" w:ascii="仿宋" w:hAnsi="仿宋" w:eastAsia="仿宋" w:cs="仿宋"/>
          <w:sz w:val="27"/>
          <w:szCs w:val="27"/>
          <w:lang w:val="en-US" w:eastAsia="zh-CN"/>
        </w:rPr>
      </w:pPr>
      <w:r>
        <w:rPr>
          <w:rFonts w:ascii="楷体" w:hAnsi="楷体" w:eastAsia="楷体" w:cs="楷体"/>
          <w:b/>
          <w:bCs/>
          <w:spacing w:val="18"/>
          <w:sz w:val="27"/>
          <w:szCs w:val="27"/>
        </w:rPr>
        <w:t>（</w:t>
      </w:r>
      <w:r>
        <w:rPr>
          <w:rFonts w:hint="eastAsia" w:ascii="楷体" w:hAnsi="楷体" w:eastAsia="楷体" w:cs="楷体"/>
          <w:b/>
          <w:bCs/>
          <w:spacing w:val="18"/>
          <w:sz w:val="27"/>
          <w:szCs w:val="27"/>
          <w:lang w:val="en-US" w:eastAsia="zh-CN"/>
        </w:rPr>
        <w:t>三</w:t>
      </w:r>
      <w:r>
        <w:rPr>
          <w:rFonts w:ascii="楷体" w:hAnsi="楷体" w:eastAsia="楷体" w:cs="楷体"/>
          <w:b/>
          <w:bCs/>
          <w:spacing w:val="18"/>
          <w:sz w:val="27"/>
          <w:szCs w:val="27"/>
        </w:rPr>
        <w:t>）赛场规则</w:t>
      </w:r>
    </w:p>
    <w:p w14:paraId="332E72BD">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1.选手进入赛场后，必须听从指挥，不得以任何方式公开参赛队及个人信息。</w:t>
      </w:r>
    </w:p>
    <w:p w14:paraId="6742572A">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2.选手须严格遵守安全操作规程，并接受现场裁判和技术人员的监督和警示。</w:t>
      </w:r>
    </w:p>
    <w:p w14:paraId="7BBE3450">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3.宣布比赛开始，参赛选手才能启动比赛操作。</w:t>
      </w:r>
    </w:p>
    <w:p w14:paraId="572A183D">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4.比赛过程中选手不得随意离开赛位，不得与其他参赛选手和人员交流。因故终止比赛或提前完成比赛任务需要离场，应报告现场裁判，签署赛位号确认。</w:t>
      </w:r>
    </w:p>
    <w:p w14:paraId="5A9DD849">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5.竞赛过程中如设备故障，选手立即向现场裁判反映。待故障处理后可继续比赛，裁判长视具体情况做出补时决定。</w:t>
      </w:r>
    </w:p>
    <w:p w14:paraId="401C6381">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ascii="仿宋" w:hAnsi="仿宋" w:eastAsia="仿宋" w:cs="仿宋"/>
          <w:sz w:val="28"/>
          <w:szCs w:val="28"/>
        </w:rPr>
      </w:pPr>
      <w:r>
        <w:rPr>
          <w:rFonts w:hint="eastAsia" w:ascii="仿宋" w:hAnsi="仿宋" w:eastAsia="仿宋" w:cs="仿宋"/>
          <w:sz w:val="27"/>
          <w:szCs w:val="27"/>
          <w:lang w:val="en-US" w:eastAsia="zh-CN"/>
        </w:rPr>
        <w:t>6.比赛过程中，违反赛场纪律不听劝告者，一经发现，由现场裁判提出警告，严重违反者报赛项执委会同意后，取消其该场比赛资格。</w:t>
      </w:r>
    </w:p>
    <w:p w14:paraId="2333ACB6">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pPr>
      <w:r>
        <w:rPr>
          <w:rFonts w:ascii="楷体" w:hAnsi="楷体" w:eastAsia="楷体" w:cs="楷体"/>
          <w:b/>
          <w:bCs/>
          <w:spacing w:val="18"/>
          <w:sz w:val="27"/>
          <w:szCs w:val="27"/>
        </w:rPr>
        <w:t>（</w:t>
      </w:r>
      <w:r>
        <w:rPr>
          <w:rFonts w:hint="eastAsia" w:ascii="楷体" w:hAnsi="楷体" w:eastAsia="楷体" w:cs="楷体"/>
          <w:b/>
          <w:bCs/>
          <w:spacing w:val="18"/>
          <w:sz w:val="27"/>
          <w:szCs w:val="27"/>
          <w:lang w:val="en-US" w:eastAsia="zh-CN"/>
        </w:rPr>
        <w:t>四</w:t>
      </w:r>
      <w:r>
        <w:rPr>
          <w:rFonts w:ascii="楷体" w:hAnsi="楷体" w:eastAsia="楷体" w:cs="楷体"/>
          <w:b/>
          <w:bCs/>
          <w:spacing w:val="18"/>
          <w:sz w:val="27"/>
          <w:szCs w:val="27"/>
        </w:rPr>
        <w:t>）离场规则</w:t>
      </w:r>
    </w:p>
    <w:p w14:paraId="42E45520">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1.在比赛结束前10分钟提示剩余时间。</w:t>
      </w:r>
    </w:p>
    <w:p w14:paraId="245E41CB">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2.比赛时间到，选手立即停止工作，并将比赛试题、数据记录表、工作报告等放在工作台上后离开。</w:t>
      </w:r>
    </w:p>
    <w:p w14:paraId="3DEF23A1">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ascii="楷体" w:hAnsi="楷体" w:eastAsia="楷体" w:cs="楷体"/>
          <w:b/>
          <w:bCs/>
          <w:spacing w:val="18"/>
          <w:sz w:val="27"/>
          <w:szCs w:val="27"/>
        </w:rPr>
      </w:pPr>
      <w:r>
        <w:rPr>
          <w:rFonts w:ascii="楷体" w:hAnsi="楷体" w:eastAsia="楷体" w:cs="楷体"/>
          <w:b/>
          <w:bCs/>
          <w:spacing w:val="18"/>
          <w:sz w:val="27"/>
          <w:szCs w:val="27"/>
        </w:rPr>
        <w:t>（</w:t>
      </w:r>
      <w:r>
        <w:rPr>
          <w:rFonts w:hint="eastAsia" w:ascii="楷体" w:hAnsi="楷体" w:eastAsia="楷体" w:cs="楷体"/>
          <w:b/>
          <w:bCs/>
          <w:spacing w:val="18"/>
          <w:sz w:val="27"/>
          <w:szCs w:val="27"/>
          <w:lang w:val="en-US" w:eastAsia="zh-CN"/>
        </w:rPr>
        <w:t>五</w:t>
      </w:r>
      <w:r>
        <w:rPr>
          <w:rFonts w:ascii="楷体" w:hAnsi="楷体" w:eastAsia="楷体" w:cs="楷体"/>
          <w:b/>
          <w:bCs/>
          <w:spacing w:val="18"/>
          <w:sz w:val="27"/>
          <w:szCs w:val="27"/>
        </w:rPr>
        <w:t>）成绩评定与结果公布</w:t>
      </w:r>
    </w:p>
    <w:p w14:paraId="36B4C9B7">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1.成绩管理机构由裁判组、监督仲裁组组成。</w:t>
      </w:r>
    </w:p>
    <w:p w14:paraId="1392DF06">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2.裁判组负责赛项成绩的评定工作。</w:t>
      </w:r>
    </w:p>
    <w:p w14:paraId="187A47E4">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3.总裁判长复核评分结果，加密裁判逐级解密，最后由赛项执委会公示、公布竞赛成绩。</w:t>
      </w:r>
    </w:p>
    <w:p w14:paraId="062A3CB1">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4.监督仲裁组实施监督、成绩抽检复核、接受申诉，组织复议，反馈复议结果。</w:t>
      </w:r>
    </w:p>
    <w:p w14:paraId="4D0FF103">
      <w:pPr>
        <w:pStyle w:val="2"/>
        <w:keepNext w:val="0"/>
        <w:keepLines w:val="0"/>
        <w:pageBreakBefore w:val="0"/>
        <w:widowControl w:val="0"/>
        <w:kinsoku w:val="0"/>
        <w:wordWrap/>
        <w:overflowPunct/>
        <w:topLinePunct w:val="0"/>
        <w:autoSpaceDE w:val="0"/>
        <w:autoSpaceDN w:val="0"/>
        <w:bidi w:val="0"/>
        <w:adjustRightInd w:val="0"/>
        <w:snapToGrid w:val="0"/>
        <w:spacing w:before="145" w:line="520" w:lineRule="exact"/>
        <w:ind w:left="0" w:firstLine="607" w:firstLineChars="200"/>
        <w:textAlignment w:val="baseline"/>
        <w:outlineLvl w:val="1"/>
        <w:rPr>
          <w:rFonts w:hint="eastAsia"/>
          <w:b/>
          <w:bCs/>
          <w:spacing w:val="-9"/>
          <w:sz w:val="32"/>
          <w:szCs w:val="32"/>
          <w:lang w:val="en-US" w:eastAsia="zh-CN"/>
        </w:rPr>
      </w:pPr>
      <w:bookmarkStart w:id="8" w:name="_Toc8270"/>
      <w:r>
        <w:rPr>
          <w:rFonts w:hint="eastAsia"/>
          <w:b/>
          <w:bCs/>
          <w:spacing w:val="-9"/>
          <w:sz w:val="32"/>
          <w:szCs w:val="32"/>
          <w:lang w:val="en-US" w:eastAsia="zh-CN"/>
        </w:rPr>
        <w:t>五、赛项安全</w:t>
      </w:r>
      <w:bookmarkEnd w:id="8"/>
    </w:p>
    <w:p w14:paraId="3E336A97">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ascii="楷体" w:hAnsi="楷体" w:eastAsia="楷体" w:cs="楷体"/>
          <w:b/>
          <w:bCs/>
          <w:spacing w:val="18"/>
          <w:sz w:val="27"/>
          <w:szCs w:val="27"/>
        </w:rPr>
      </w:pPr>
      <w:r>
        <w:rPr>
          <w:rFonts w:ascii="楷体" w:hAnsi="楷体" w:eastAsia="楷体" w:cs="楷体"/>
          <w:b/>
          <w:bCs/>
          <w:spacing w:val="18"/>
          <w:sz w:val="27"/>
          <w:szCs w:val="27"/>
        </w:rPr>
        <w:t>（一）安全操作</w:t>
      </w:r>
    </w:p>
    <w:p w14:paraId="5C42E5B0">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1.参赛选手必须正确穿戴个人防护用品。若未正确穿戴，且经裁判提示后仍拒不执行者，将直接取消其该场次的竞赛资格。</w:t>
      </w:r>
    </w:p>
    <w:p w14:paraId="057B79E1">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2.参赛选手要注意安全用电，不要用湿手、湿物接触电源，比赛结束后应关闭电源。</w:t>
      </w:r>
    </w:p>
    <w:p w14:paraId="3D358460">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3.参赛选手不得将赛项承办学校提供的仪器、工具、材料等物品带出赛场。</w:t>
      </w:r>
    </w:p>
    <w:p w14:paraId="0FFEE6C8">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4.比赛期间，若突遇停电等突发状况，应及时通知裁判，冷静处置。</w:t>
      </w:r>
    </w:p>
    <w:p w14:paraId="2DAD994C">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5.严禁在赛场内饮食。</w:t>
      </w:r>
    </w:p>
    <w:p w14:paraId="6052DACD">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ascii="楷体" w:hAnsi="楷体" w:eastAsia="楷体" w:cs="楷体"/>
          <w:b/>
          <w:bCs/>
          <w:spacing w:val="18"/>
          <w:sz w:val="27"/>
          <w:szCs w:val="27"/>
        </w:rPr>
      </w:pPr>
      <w:r>
        <w:rPr>
          <w:rFonts w:ascii="楷体" w:hAnsi="楷体" w:eastAsia="楷体" w:cs="楷体"/>
          <w:b/>
          <w:bCs/>
          <w:spacing w:val="18"/>
          <w:sz w:val="27"/>
          <w:szCs w:val="27"/>
        </w:rPr>
        <w:t>（二）赛场安全</w:t>
      </w:r>
    </w:p>
    <w:p w14:paraId="4BD3F4CB">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1.领队、裁判、指导教师及参赛选手等人员佩戴身份标识分别进入指定区域，并主动向安保管理人员出示；听从指挥，在规定区域内活动，不得擅自离开；不准在指定区域和禁烟区吸烟。</w:t>
      </w:r>
    </w:p>
    <w:p w14:paraId="02098021">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2.领队、裁判、指导教师及参赛选手等人员不准携带管制器械及易燃易爆等危险物品进入指定区域。</w:t>
      </w:r>
    </w:p>
    <w:p w14:paraId="598F6126">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3.参赛人员要妥善保管个人财物。</w:t>
      </w:r>
    </w:p>
    <w:p w14:paraId="40499C33">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4.比赛期间如发生火情等特殊情况，要保持镇静，在第一时间向现场工作人员报告，并按照现场工作人员的统一指挥，参与扑救或有序撤离。</w:t>
      </w:r>
    </w:p>
    <w:p w14:paraId="0A1BC6E5">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5.比赛期间一旦发生人员意外伤害或紧急突发病情，要服从现场救护人员指挥，医护人员要立即进入紧急施救状态，采取积极有效的医疗救治措施，对症处理快速解决；遇有病情严重情况时，要尽快指派专人护送病人到医院进行救治。</w:t>
      </w:r>
    </w:p>
    <w:p w14:paraId="67018BD9">
      <w:pPr>
        <w:pStyle w:val="2"/>
        <w:keepNext w:val="0"/>
        <w:keepLines w:val="0"/>
        <w:pageBreakBefore w:val="0"/>
        <w:widowControl w:val="0"/>
        <w:kinsoku w:val="0"/>
        <w:wordWrap/>
        <w:overflowPunct/>
        <w:topLinePunct w:val="0"/>
        <w:autoSpaceDE w:val="0"/>
        <w:autoSpaceDN w:val="0"/>
        <w:bidi w:val="0"/>
        <w:adjustRightInd w:val="0"/>
        <w:snapToGrid w:val="0"/>
        <w:spacing w:before="145" w:line="520" w:lineRule="exact"/>
        <w:ind w:left="0" w:firstLine="607" w:firstLineChars="200"/>
        <w:textAlignment w:val="baseline"/>
        <w:outlineLvl w:val="1"/>
        <w:rPr>
          <w:rFonts w:hint="eastAsia"/>
          <w:b/>
          <w:bCs/>
          <w:spacing w:val="-9"/>
          <w:sz w:val="32"/>
          <w:szCs w:val="32"/>
          <w:lang w:val="en-US" w:eastAsia="zh-CN"/>
        </w:rPr>
      </w:pPr>
      <w:bookmarkStart w:id="9" w:name="_Toc15988"/>
      <w:r>
        <w:rPr>
          <w:rFonts w:hint="eastAsia"/>
          <w:b/>
          <w:bCs/>
          <w:spacing w:val="-9"/>
          <w:sz w:val="32"/>
          <w:szCs w:val="32"/>
          <w:lang w:val="en-US" w:eastAsia="zh-CN"/>
        </w:rPr>
        <w:t>六、成绩评定</w:t>
      </w:r>
      <w:bookmarkEnd w:id="9"/>
    </w:p>
    <w:p w14:paraId="369E7FF7">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hint="eastAsia" w:ascii="楷体" w:hAnsi="楷体" w:eastAsia="楷体" w:cs="楷体"/>
          <w:b/>
          <w:bCs/>
          <w:spacing w:val="18"/>
          <w:sz w:val="27"/>
          <w:szCs w:val="27"/>
          <w:lang w:val="en-US" w:eastAsia="zh-CN"/>
        </w:rPr>
      </w:pPr>
      <w:r>
        <w:rPr>
          <w:rFonts w:ascii="楷体" w:hAnsi="楷体" w:eastAsia="楷体" w:cs="楷体"/>
          <w:b/>
          <w:bCs/>
          <w:spacing w:val="18"/>
          <w:sz w:val="27"/>
          <w:szCs w:val="27"/>
        </w:rPr>
        <w:t>（一）评分标准</w:t>
      </w:r>
    </w:p>
    <w:p w14:paraId="3FF430EB">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eastAsia" w:ascii="仿宋" w:hAnsi="仿宋" w:eastAsia="仿宋" w:cs="仿宋"/>
          <w:sz w:val="27"/>
          <w:szCs w:val="27"/>
          <w:lang w:val="en-US" w:eastAsia="zh-CN"/>
        </w:rPr>
        <w:t>评分标准参考《2025年世界职业院校技能大赛总决赛评分要素》。本次选拔赛按照比赛排名推荐大赛前三名院校参加2025世界职业院校技能大赛高职组“医疗器械制造与运维”赛道争夺赛。</w:t>
      </w:r>
    </w:p>
    <w:p w14:paraId="17889499">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hint="eastAsia" w:ascii="楷体" w:hAnsi="楷体" w:eastAsia="楷体" w:cs="楷体"/>
          <w:b/>
          <w:bCs/>
          <w:spacing w:val="18"/>
          <w:sz w:val="27"/>
          <w:szCs w:val="27"/>
          <w:lang w:val="en-US" w:eastAsia="zh-CN"/>
        </w:rPr>
      </w:pPr>
      <w:r>
        <w:rPr>
          <w:rFonts w:ascii="楷体" w:hAnsi="楷体" w:eastAsia="楷体" w:cs="楷体"/>
          <w:b/>
          <w:bCs/>
          <w:spacing w:val="18"/>
          <w:sz w:val="27"/>
          <w:szCs w:val="27"/>
        </w:rPr>
        <w:t>（</w:t>
      </w:r>
      <w:r>
        <w:rPr>
          <w:rFonts w:hint="eastAsia" w:ascii="楷体" w:hAnsi="楷体" w:eastAsia="楷体" w:cs="楷体"/>
          <w:b/>
          <w:bCs/>
          <w:spacing w:val="18"/>
          <w:sz w:val="27"/>
          <w:szCs w:val="27"/>
          <w:lang w:val="en-US" w:eastAsia="zh-CN"/>
        </w:rPr>
        <w:t>二</w:t>
      </w:r>
      <w:r>
        <w:rPr>
          <w:rFonts w:ascii="楷体" w:hAnsi="楷体" w:eastAsia="楷体" w:cs="楷体"/>
          <w:b/>
          <w:bCs/>
          <w:spacing w:val="18"/>
          <w:sz w:val="27"/>
          <w:szCs w:val="27"/>
        </w:rPr>
        <w:t>）评分方法</w:t>
      </w:r>
    </w:p>
    <w:p w14:paraId="0BC377AE">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eastAsia" w:ascii="仿宋" w:hAnsi="仿宋" w:eastAsia="仿宋" w:cs="仿宋"/>
          <w:sz w:val="27"/>
          <w:szCs w:val="27"/>
          <w:lang w:val="en-US" w:eastAsia="zh-CN"/>
        </w:rPr>
      </w:pPr>
      <w:r>
        <w:rPr>
          <w:rFonts w:hint="default" w:ascii="仿宋" w:hAnsi="仿宋" w:eastAsia="仿宋" w:cs="仿宋"/>
          <w:sz w:val="27"/>
          <w:szCs w:val="27"/>
          <w:lang w:val="en-US" w:eastAsia="zh-CN"/>
        </w:rPr>
        <w:t>由现场裁判根据选手现场实际操作，依据评分细则评分</w:t>
      </w:r>
      <w:r>
        <w:rPr>
          <w:rFonts w:hint="eastAsia" w:ascii="仿宋" w:hAnsi="仿宋" w:eastAsia="仿宋" w:cs="仿宋"/>
          <w:sz w:val="27"/>
          <w:szCs w:val="27"/>
          <w:lang w:val="en-US" w:eastAsia="zh-CN"/>
        </w:rPr>
        <w:t>，</w:t>
      </w:r>
      <w:r>
        <w:rPr>
          <w:rFonts w:hint="default" w:ascii="仿宋" w:hAnsi="仿宋" w:eastAsia="仿宋" w:cs="仿宋"/>
          <w:sz w:val="27"/>
          <w:szCs w:val="27"/>
          <w:lang w:val="en-US" w:eastAsia="zh-CN"/>
        </w:rPr>
        <w:t>赛项最终得分采用百分制</w:t>
      </w:r>
      <w:r>
        <w:rPr>
          <w:rFonts w:hint="eastAsia" w:ascii="仿宋" w:hAnsi="仿宋" w:eastAsia="仿宋" w:cs="仿宋"/>
          <w:sz w:val="27"/>
          <w:szCs w:val="27"/>
          <w:lang w:val="en-US" w:eastAsia="zh-CN"/>
        </w:rPr>
        <w:t>。</w:t>
      </w:r>
    </w:p>
    <w:p w14:paraId="394CB4D6">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ascii="楷体" w:hAnsi="楷体" w:eastAsia="楷体" w:cs="楷体"/>
          <w:b/>
          <w:bCs/>
          <w:spacing w:val="18"/>
          <w:sz w:val="27"/>
          <w:szCs w:val="27"/>
        </w:rPr>
      </w:pPr>
      <w:r>
        <w:rPr>
          <w:rFonts w:ascii="楷体" w:hAnsi="楷体" w:eastAsia="楷体" w:cs="楷体"/>
          <w:b/>
          <w:bCs/>
          <w:spacing w:val="18"/>
          <w:sz w:val="27"/>
          <w:szCs w:val="27"/>
        </w:rPr>
        <w:t>（</w:t>
      </w:r>
      <w:r>
        <w:rPr>
          <w:rFonts w:hint="eastAsia" w:ascii="楷体" w:hAnsi="楷体" w:eastAsia="楷体" w:cs="楷体"/>
          <w:b/>
          <w:bCs/>
          <w:spacing w:val="18"/>
          <w:sz w:val="27"/>
          <w:szCs w:val="27"/>
          <w:lang w:val="en-US" w:eastAsia="zh-CN"/>
        </w:rPr>
        <w:t>三</w:t>
      </w:r>
      <w:r>
        <w:rPr>
          <w:rFonts w:ascii="楷体" w:hAnsi="楷体" w:eastAsia="楷体" w:cs="楷体"/>
          <w:b/>
          <w:bCs/>
          <w:spacing w:val="18"/>
          <w:sz w:val="27"/>
          <w:szCs w:val="27"/>
        </w:rPr>
        <w:t>）成绩产生与审核</w:t>
      </w:r>
    </w:p>
    <w:p w14:paraId="4CD2D15B">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1.在监督仲裁人员的现场监督下，由加密裁判汇总选手评分</w:t>
      </w:r>
      <w:r>
        <w:rPr>
          <w:rFonts w:hint="eastAsia" w:ascii="仿宋" w:hAnsi="仿宋" w:eastAsia="仿宋" w:cs="仿宋"/>
          <w:sz w:val="27"/>
          <w:szCs w:val="27"/>
          <w:lang w:val="en-US" w:eastAsia="zh-CN"/>
        </w:rPr>
        <w:t>，</w:t>
      </w:r>
      <w:r>
        <w:rPr>
          <w:rFonts w:hint="default" w:ascii="仿宋" w:hAnsi="仿宋" w:eastAsia="仿宋" w:cs="仿宋"/>
          <w:sz w:val="27"/>
          <w:szCs w:val="27"/>
          <w:lang w:val="en-US" w:eastAsia="zh-CN"/>
        </w:rPr>
        <w:t>并计算出参赛选手的总成绩，复核无误后，经裁判长、监督仲裁人员签字确认后，提交监督仲裁组组长再次复核。</w:t>
      </w:r>
    </w:p>
    <w:p w14:paraId="60175B05">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2.监督仲裁组对总成绩排名前30%的参赛选手成绩进行再次复核；对其余选手成绩进行抽检复核，抽检覆盖率不得低于15%。如发现成绩错误，以书面方式及时告知总裁判长，由总裁判长更正成绩并签字确认。复核、抽检错误率超过5%的，则对所有选手成绩进行复核。</w:t>
      </w:r>
    </w:p>
    <w:p w14:paraId="2D4DD228">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3.赛项最终得分按百分制计分，选手总成绩精确至小数点后两位。</w:t>
      </w:r>
    </w:p>
    <w:p w14:paraId="429477F5">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hint="default" w:ascii="楷体" w:hAnsi="楷体" w:eastAsia="楷体" w:cs="楷体"/>
          <w:b/>
          <w:bCs/>
          <w:spacing w:val="18"/>
          <w:sz w:val="27"/>
          <w:szCs w:val="27"/>
          <w:lang w:val="en-US" w:eastAsia="zh-CN"/>
        </w:rPr>
      </w:pPr>
      <w:r>
        <w:rPr>
          <w:rFonts w:hint="default" w:ascii="楷体" w:hAnsi="楷体" w:eastAsia="楷体" w:cs="楷体"/>
          <w:b/>
          <w:bCs/>
          <w:spacing w:val="18"/>
          <w:sz w:val="27"/>
          <w:szCs w:val="27"/>
          <w:lang w:val="en-US" w:eastAsia="zh-CN"/>
        </w:rPr>
        <w:t>（</w:t>
      </w:r>
      <w:r>
        <w:rPr>
          <w:rFonts w:hint="eastAsia" w:ascii="楷体" w:hAnsi="楷体" w:eastAsia="楷体" w:cs="楷体"/>
          <w:b/>
          <w:bCs/>
          <w:spacing w:val="18"/>
          <w:sz w:val="27"/>
          <w:szCs w:val="27"/>
          <w:lang w:val="en-US" w:eastAsia="zh-CN"/>
        </w:rPr>
        <w:t>四</w:t>
      </w:r>
      <w:r>
        <w:rPr>
          <w:rFonts w:hint="default" w:ascii="楷体" w:hAnsi="楷体" w:eastAsia="楷体" w:cs="楷体"/>
          <w:b/>
          <w:bCs/>
          <w:spacing w:val="18"/>
          <w:sz w:val="27"/>
          <w:szCs w:val="27"/>
          <w:lang w:val="en-US" w:eastAsia="zh-CN"/>
        </w:rPr>
        <w:t>）成绩公布</w:t>
      </w:r>
    </w:p>
    <w:p w14:paraId="4C68169D">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记分员将解密后的各参赛代表队成绩汇总制表，经总裁判长、监督仲裁组组长签字后，在指定地点进行公布，无异议，将代表队成绩录入赛务管理系统，经总裁判长、监督仲裁组组长在成绩单上审核签字后宣布。</w:t>
      </w:r>
    </w:p>
    <w:p w14:paraId="1AD286B1">
      <w:pPr>
        <w:pStyle w:val="2"/>
        <w:keepNext w:val="0"/>
        <w:keepLines w:val="0"/>
        <w:pageBreakBefore w:val="0"/>
        <w:widowControl w:val="0"/>
        <w:kinsoku w:val="0"/>
        <w:wordWrap/>
        <w:overflowPunct/>
        <w:topLinePunct w:val="0"/>
        <w:autoSpaceDE w:val="0"/>
        <w:autoSpaceDN w:val="0"/>
        <w:bidi w:val="0"/>
        <w:adjustRightInd w:val="0"/>
        <w:snapToGrid w:val="0"/>
        <w:spacing w:before="145" w:line="520" w:lineRule="exact"/>
        <w:ind w:left="0" w:firstLine="607" w:firstLineChars="200"/>
        <w:textAlignment w:val="baseline"/>
        <w:outlineLvl w:val="1"/>
        <w:rPr>
          <w:rFonts w:hint="eastAsia"/>
          <w:b/>
          <w:bCs/>
          <w:spacing w:val="-9"/>
          <w:sz w:val="32"/>
          <w:szCs w:val="32"/>
          <w:lang w:val="en-US" w:eastAsia="zh-CN"/>
        </w:rPr>
      </w:pPr>
      <w:bookmarkStart w:id="10" w:name="_Toc24033"/>
      <w:r>
        <w:rPr>
          <w:rFonts w:hint="eastAsia"/>
          <w:b/>
          <w:bCs/>
          <w:spacing w:val="-9"/>
          <w:sz w:val="32"/>
          <w:szCs w:val="32"/>
          <w:lang w:val="en-US" w:eastAsia="zh-CN"/>
        </w:rPr>
        <w:t>七、赛项预案</w:t>
      </w:r>
      <w:bookmarkEnd w:id="10"/>
    </w:p>
    <w:p w14:paraId="4668E335">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1.严格按照《高等学校实验室安全管理办法》的有关规定，准备和开展赛项的竞赛活动。</w:t>
      </w:r>
    </w:p>
    <w:p w14:paraId="2BF64CA4">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2.成立竞赛安全工作组，分设安全用电、用气、防火等安保人员，对赛场内所有设施设备进行安全检查，排除各种安全隐患。</w:t>
      </w:r>
    </w:p>
    <w:p w14:paraId="425EB02F">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3.对竞赛中可能出现的伤害事故，做好相应的应急准备，备好急救药品及车辆，确保及时实施救助。</w:t>
      </w:r>
    </w:p>
    <w:p w14:paraId="072652E5">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4.制定赛场指示图，竞赛期间遇有突发或紧急情况，有关人员按赛场疏散图指标指示，有指定专人指引、带领，及时做好疏散。</w:t>
      </w:r>
    </w:p>
    <w:p w14:paraId="3D526AC3">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5.加强赛场安保，与比赛无关人员禁止进入竞赛场地。</w:t>
      </w:r>
    </w:p>
    <w:p w14:paraId="727257B2">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6.用到易燃试剂的比赛场地，加配灭火器材，并配备足够的安全员。</w:t>
      </w:r>
    </w:p>
    <w:p w14:paraId="0D67262F">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7.若因选手因素造成设备故障或损坏，无法进行比赛的，裁判长有权终止该队比赛；若因非选手个人因素造成设备故障的，由裁判长视具体情况做出裁决，参赛选手应听从裁判裁决。</w:t>
      </w:r>
    </w:p>
    <w:p w14:paraId="3CFD76E6">
      <w:pPr>
        <w:pStyle w:val="2"/>
        <w:keepNext w:val="0"/>
        <w:keepLines w:val="0"/>
        <w:pageBreakBefore w:val="0"/>
        <w:widowControl w:val="0"/>
        <w:kinsoku w:val="0"/>
        <w:wordWrap/>
        <w:overflowPunct/>
        <w:topLinePunct w:val="0"/>
        <w:autoSpaceDE w:val="0"/>
        <w:autoSpaceDN w:val="0"/>
        <w:bidi w:val="0"/>
        <w:adjustRightInd w:val="0"/>
        <w:snapToGrid w:val="0"/>
        <w:spacing w:before="145" w:line="520" w:lineRule="exact"/>
        <w:ind w:left="0" w:firstLine="607" w:firstLineChars="200"/>
        <w:textAlignment w:val="baseline"/>
        <w:outlineLvl w:val="1"/>
        <w:rPr>
          <w:rFonts w:hint="eastAsia"/>
          <w:b/>
          <w:bCs/>
          <w:spacing w:val="-9"/>
          <w:sz w:val="32"/>
          <w:szCs w:val="32"/>
          <w:lang w:val="en-US" w:eastAsia="zh-CN"/>
        </w:rPr>
      </w:pPr>
      <w:bookmarkStart w:id="11" w:name="_Toc23281"/>
      <w:r>
        <w:rPr>
          <w:rFonts w:hint="eastAsia"/>
          <w:b/>
          <w:bCs/>
          <w:spacing w:val="-9"/>
          <w:sz w:val="32"/>
          <w:szCs w:val="32"/>
          <w:lang w:val="en-US" w:eastAsia="zh-CN"/>
        </w:rPr>
        <w:t>八、竞赛须知</w:t>
      </w:r>
      <w:bookmarkEnd w:id="11"/>
    </w:p>
    <w:p w14:paraId="730C26A0">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hint="default" w:ascii="楷体" w:hAnsi="楷体" w:eastAsia="楷体" w:cs="楷体"/>
          <w:b/>
          <w:bCs/>
          <w:spacing w:val="18"/>
          <w:sz w:val="27"/>
          <w:szCs w:val="27"/>
          <w:lang w:val="en-US" w:eastAsia="zh-CN"/>
        </w:rPr>
      </w:pPr>
      <w:r>
        <w:rPr>
          <w:rFonts w:hint="default" w:ascii="楷体" w:hAnsi="楷体" w:eastAsia="楷体" w:cs="楷体"/>
          <w:b/>
          <w:bCs/>
          <w:spacing w:val="18"/>
          <w:sz w:val="27"/>
          <w:szCs w:val="27"/>
          <w:lang w:val="en-US" w:eastAsia="zh-CN"/>
        </w:rPr>
        <w:t>（一）参赛队须知</w:t>
      </w:r>
    </w:p>
    <w:p w14:paraId="67ADE6DA">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1.参赛队对赛项执委会发布的所有文件要仔细阅读，确切了解大赛时间安排、评判细节等，以保证顺利参加大赛。</w:t>
      </w:r>
    </w:p>
    <w:p w14:paraId="17F49F8D">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2.参赛队选手必须统一购买在竞赛期间的意外伤害保险。</w:t>
      </w:r>
    </w:p>
    <w:p w14:paraId="1719A7E4">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3.参赛队领队负责本参赛队的参赛组织和与大赛组委会的联络。</w:t>
      </w:r>
    </w:p>
    <w:p w14:paraId="209C3F3D">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4.比赛前一天，各参赛队按时参加领队会；每场比赛前10分钟，参赛选手在检录处抽取比赛赛位号。</w:t>
      </w:r>
    </w:p>
    <w:p w14:paraId="54966336">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5.参赛队按照大赛赛程安排和具体时间前往指定地点，各参赛选手凭大赛组委会颁发的参赛证和有效身份证件参加比赛及相关活动。</w:t>
      </w:r>
    </w:p>
    <w:p w14:paraId="673D376C">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hint="default" w:ascii="楷体" w:hAnsi="楷体" w:eastAsia="楷体" w:cs="楷体"/>
          <w:b/>
          <w:bCs/>
          <w:spacing w:val="18"/>
          <w:sz w:val="27"/>
          <w:szCs w:val="27"/>
          <w:lang w:val="en-US" w:eastAsia="zh-CN"/>
        </w:rPr>
      </w:pPr>
      <w:r>
        <w:rPr>
          <w:rFonts w:hint="default" w:ascii="楷体" w:hAnsi="楷体" w:eastAsia="楷体" w:cs="楷体"/>
          <w:b/>
          <w:bCs/>
          <w:spacing w:val="18"/>
          <w:sz w:val="27"/>
          <w:szCs w:val="27"/>
          <w:lang w:val="en-US" w:eastAsia="zh-CN"/>
        </w:rPr>
        <w:t>（二）指导教师须知</w:t>
      </w:r>
    </w:p>
    <w:p w14:paraId="2A268CC8">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1.每个参赛队限2名指导教师，指导教师经报名并通过资格审查后确定，选手和指导教师的对应关系一经确定不得随意变更。</w:t>
      </w:r>
    </w:p>
    <w:p w14:paraId="520A2D5A">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2.做好本单位比赛选手的业务辅导、心理疏导和思想引导工作，对参赛选手及比赛过程报以平和、包容的心态；共同维护竞赛秩序。</w:t>
      </w:r>
    </w:p>
    <w:p w14:paraId="2AF712AC">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3.自觉遵守竞赛规则，尊重和支持裁判工作，不随意进入比赛现场及其他禁止入内的区域，发现违规，取消该队参赛资格。</w:t>
      </w:r>
    </w:p>
    <w:p w14:paraId="5FD55931">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4.当本单位参赛选手在比赛进程中出现异常或疑问，应及时了解情况，客观作出判断，并做好选手的安抚工作，经内部协商，认为有必要时可在规定时限内向赛项监督仲裁工作组反映情况或提出书面仲裁申请。</w:t>
      </w:r>
    </w:p>
    <w:p w14:paraId="1CFFAB7F">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hint="default" w:ascii="楷体" w:hAnsi="楷体" w:eastAsia="楷体" w:cs="楷体"/>
          <w:b/>
          <w:bCs/>
          <w:spacing w:val="18"/>
          <w:sz w:val="27"/>
          <w:szCs w:val="27"/>
          <w:lang w:val="en-US" w:eastAsia="zh-CN"/>
        </w:rPr>
      </w:pPr>
      <w:r>
        <w:rPr>
          <w:rFonts w:hint="default" w:ascii="楷体" w:hAnsi="楷体" w:eastAsia="楷体" w:cs="楷体"/>
          <w:b/>
          <w:bCs/>
          <w:spacing w:val="18"/>
          <w:sz w:val="27"/>
          <w:szCs w:val="27"/>
          <w:lang w:val="en-US" w:eastAsia="zh-CN"/>
        </w:rPr>
        <w:t>（三）参赛选手须知</w:t>
      </w:r>
    </w:p>
    <w:p w14:paraId="11C35DFA">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1.参赛选手严格遵守赛场规章、操作规程，保证人身及设备安全，接受裁判员的监督和警示，文明竞赛。</w:t>
      </w:r>
    </w:p>
    <w:p w14:paraId="38D76E84">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2.各参赛队应在竞赛开始前一天规定的时间段进入赛场熟悉环境。</w:t>
      </w:r>
    </w:p>
    <w:p w14:paraId="28638277">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3.限于竞赛场地设备等条件的制约，现场操作项目的竞赛需要分批进行，选手参加考试的批次和竞赛工位（赛位号）将通过抽签决定。参赛选手应持身份证、学生证，按要求到各考核项目指定地点接受检录、抽签，决定竞赛座位等。</w:t>
      </w:r>
    </w:p>
    <w:p w14:paraId="4F3C2266">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4.参赛选手应按要求佩戴相关证件，并根据竞赛项目要求穿统一的实验服。</w:t>
      </w:r>
    </w:p>
    <w:p w14:paraId="20AC8295">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5.参赛选手进入赛场，不允许携带任何书籍和其他纸质资料（相关技术资料由赛项执委会统一提供），不允许携带通讯工具和存储设备。现场操作考核项目的操作规程、数据记录纸、签字笔等将由组委会统一提供，现场提供的物品各参赛队可以根据竞赛需要自行选择使用。</w:t>
      </w:r>
    </w:p>
    <w:p w14:paraId="024CAB8A">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6.竞赛时，在收到开赛信号前不得启动操作，各参赛选手需在抽签确定的工位上完成相应竞赛项目，严禁作弊行为。比赛期间参赛选手不得离开比赛场地，如有特殊情况，需经裁判人员同意后方可离开，但离开期间的时间一律计算在比赛时间内。</w:t>
      </w:r>
    </w:p>
    <w:p w14:paraId="61842808">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7.竞赛期间，竞赛选手应服从裁判评判，若对裁判评分产生异议，不得与裁判争执、顶撞，但可于规定时限内由领队向竞赛监督仲裁委员会提出书面仲裁申请；由竞赛监督促裁委员会调查核实并处理。</w:t>
      </w:r>
    </w:p>
    <w:p w14:paraId="704A9BFE">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8.竞赛期间，参赛选手必须严格遵守赛场纪律，不得在赛场内大声喧哗，不得作弊或弄虚作假；同时，必须严格遵守操作规程，确保设备和人身安全，并接受裁判员的监督和警示。若因选手因素造成设备故障或损坏，无法进行比赛的，裁判长有权终止该队比赛；若因非选手个人因素造成设备故障的，由裁判长视具体情况做出裁决。</w:t>
      </w:r>
    </w:p>
    <w:p w14:paraId="4469667A">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9.在竞赛规定时间结束时，各参赛队应立即停止答题或操作，不得以任何理由拖延竞赛时间。</w:t>
      </w:r>
      <w:r>
        <w:rPr>
          <w:rFonts w:hint="eastAsia" w:ascii="仿宋" w:hAnsi="仿宋" w:eastAsia="仿宋" w:cs="仿宋"/>
          <w:sz w:val="27"/>
          <w:szCs w:val="27"/>
          <w:lang w:val="en-US" w:eastAsia="zh-CN"/>
        </w:rPr>
        <w:t>参赛队员</w:t>
      </w:r>
      <w:r>
        <w:rPr>
          <w:rFonts w:hint="default" w:ascii="仿宋" w:hAnsi="仿宋" w:eastAsia="仿宋" w:cs="仿宋"/>
          <w:sz w:val="27"/>
          <w:szCs w:val="27"/>
          <w:lang w:val="en-US" w:eastAsia="zh-CN"/>
        </w:rPr>
        <w:t>提前结束比赛，应向现场裁判员举手示意并记录比赛终止时间，比赛终止后，不得再进行任何与比赛有关的操作。</w:t>
      </w:r>
    </w:p>
    <w:p w14:paraId="3D668A2D">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10.竞赛操作结束时，各参赛队要按照大赛要求和赛题要求提交竞赛材料，按照现场考试要求的名字进行命名，如不符合命名规则、体现单位信息与编号信息的，该队竞赛成绩将被取消。</w:t>
      </w:r>
    </w:p>
    <w:p w14:paraId="7109B573">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hint="default" w:ascii="楷体" w:hAnsi="楷体" w:eastAsia="楷体" w:cs="楷体"/>
          <w:b/>
          <w:bCs/>
          <w:spacing w:val="18"/>
          <w:sz w:val="27"/>
          <w:szCs w:val="27"/>
          <w:lang w:val="en-US" w:eastAsia="zh-CN"/>
        </w:rPr>
      </w:pPr>
      <w:r>
        <w:rPr>
          <w:rFonts w:hint="default" w:ascii="楷体" w:hAnsi="楷体" w:eastAsia="楷体" w:cs="楷体"/>
          <w:b/>
          <w:bCs/>
          <w:spacing w:val="18"/>
          <w:sz w:val="27"/>
          <w:szCs w:val="27"/>
          <w:lang w:val="en-US" w:eastAsia="zh-CN"/>
        </w:rPr>
        <w:t>（四）工作人员须知</w:t>
      </w:r>
    </w:p>
    <w:p w14:paraId="621FB1E9">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1.树立服务观念，一切为选手着想，以高度负责的精神、严肃认真的态度和严谨细致的作风，积极完成本职任务。</w:t>
      </w:r>
    </w:p>
    <w:p w14:paraId="79EB06AC">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2.按规定统一着装，注意文明礼貌，保持良好形象，熟悉大赛指南。</w:t>
      </w:r>
    </w:p>
    <w:p w14:paraId="6AD412DB">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3.于赛前45分钟到达赛场或根据岗位要求提前上岗，严守工作岗位，不迟到，不早退，不无故离岗，特殊情况需向赛项执委会请假。</w:t>
      </w:r>
    </w:p>
    <w:p w14:paraId="0445A500">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4.熟悉竞赛规程，严格按照工作程序和有关规定办事，遇突发事件，按照安全工作预案，组织指挥人员疏散，确保人员安全。</w:t>
      </w:r>
    </w:p>
    <w:p w14:paraId="4633AE03">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5.保持通信畅通，服从统一领导，严格遵守竞赛纪律，加强协作配合，提高工作效率。</w:t>
      </w:r>
    </w:p>
    <w:p w14:paraId="15CD2080">
      <w:pPr>
        <w:keepNext w:val="0"/>
        <w:keepLines w:val="0"/>
        <w:pageBreakBefore w:val="0"/>
        <w:widowControl w:val="0"/>
        <w:kinsoku w:val="0"/>
        <w:wordWrap/>
        <w:overflowPunct/>
        <w:topLinePunct w:val="0"/>
        <w:autoSpaceDE w:val="0"/>
        <w:autoSpaceDN w:val="0"/>
        <w:bidi w:val="0"/>
        <w:adjustRightInd w:val="0"/>
        <w:snapToGrid w:val="0"/>
        <w:spacing w:before="0" w:beforeLines="50" w:line="520" w:lineRule="exact"/>
        <w:ind w:left="0" w:firstLine="614" w:firstLineChars="200"/>
        <w:textAlignment w:val="baseline"/>
        <w:outlineLvl w:val="3"/>
        <w:rPr>
          <w:rFonts w:hint="default" w:ascii="楷体" w:hAnsi="楷体" w:eastAsia="楷体" w:cs="楷体"/>
          <w:b/>
          <w:bCs/>
          <w:spacing w:val="18"/>
          <w:sz w:val="27"/>
          <w:szCs w:val="27"/>
          <w:lang w:val="en-US" w:eastAsia="zh-CN"/>
        </w:rPr>
      </w:pPr>
      <w:r>
        <w:rPr>
          <w:rFonts w:hint="default" w:ascii="楷体" w:hAnsi="楷体" w:eastAsia="楷体" w:cs="楷体"/>
          <w:b/>
          <w:bCs/>
          <w:spacing w:val="18"/>
          <w:sz w:val="27"/>
          <w:szCs w:val="27"/>
          <w:lang w:val="en-US" w:eastAsia="zh-CN"/>
        </w:rPr>
        <w:t>（五）裁判员须知</w:t>
      </w:r>
    </w:p>
    <w:p w14:paraId="2FBE6DBC">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1.实行回避制度，裁判员不得与参赛选手及相关人员接触联系。</w:t>
      </w:r>
    </w:p>
    <w:p w14:paraId="57F632FB">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2.裁判员仪表整洁统一着装，并</w:t>
      </w:r>
      <w:r>
        <w:rPr>
          <w:rFonts w:hint="eastAsia" w:ascii="仿宋" w:hAnsi="仿宋" w:eastAsia="仿宋" w:cs="仿宋"/>
          <w:sz w:val="27"/>
          <w:szCs w:val="27"/>
          <w:lang w:val="en-US" w:eastAsia="zh-CN"/>
        </w:rPr>
        <w:t>佩戴</w:t>
      </w:r>
      <w:r>
        <w:rPr>
          <w:rFonts w:hint="default" w:ascii="仿宋" w:hAnsi="仿宋" w:eastAsia="仿宋" w:cs="仿宋"/>
          <w:sz w:val="27"/>
          <w:szCs w:val="27"/>
          <w:lang w:val="en-US" w:eastAsia="zh-CN"/>
        </w:rPr>
        <w:t>裁判员的</w:t>
      </w:r>
      <w:r>
        <w:rPr>
          <w:rFonts w:hint="eastAsia" w:ascii="仿宋" w:hAnsi="仿宋" w:eastAsia="仿宋" w:cs="仿宋"/>
          <w:sz w:val="27"/>
          <w:szCs w:val="27"/>
          <w:lang w:val="en-US" w:eastAsia="zh-CN"/>
        </w:rPr>
        <w:t>证件</w:t>
      </w:r>
      <w:bookmarkStart w:id="13" w:name="_GoBack"/>
      <w:bookmarkEnd w:id="13"/>
      <w:r>
        <w:rPr>
          <w:rFonts w:hint="default" w:ascii="仿宋" w:hAnsi="仿宋" w:eastAsia="仿宋" w:cs="仿宋"/>
          <w:sz w:val="27"/>
          <w:szCs w:val="27"/>
          <w:lang w:val="en-US" w:eastAsia="zh-CN"/>
        </w:rPr>
        <w:t>；语言、举止文明礼貌，主动接受监督仲裁人员和参赛人员的监督。</w:t>
      </w:r>
    </w:p>
    <w:p w14:paraId="54CABBF3">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3.按制度和程序领取试卷、文件和物品。</w:t>
      </w:r>
    </w:p>
    <w:p w14:paraId="1BC0904B">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4.裁判员和选手共同进行赛前检查，清点比赛使用仪器设备，确认设备完好。</w:t>
      </w:r>
    </w:p>
    <w:p w14:paraId="2F3F3185">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5.裁判员在场上应该充分仔细观察，尽到裁判员的职责，确保现场安全、有序；应特别注意涉及安全操作的项目，在选手有违反安全操作规程时应及时提醒选手，并做记录，确保现场操作安全。</w:t>
      </w:r>
    </w:p>
    <w:p w14:paraId="574519CB">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6.裁判员在工作中严肃赛纪，遵守公平、公正的原则；特别注意在参赛选手有作弊行为时，立即没收相关物品，取消该队的比赛资格。</w:t>
      </w:r>
    </w:p>
    <w:p w14:paraId="4B2725C6">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7.裁判员认真填写比赛过程记录表，比赛结束后，裁判员和参赛选手一同在比赛过程记录表上签字确认。</w:t>
      </w:r>
    </w:p>
    <w:p w14:paraId="7514EFA7">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8.裁判员未经同意不得擅自发布关于比赛的言论，不得接受记者的采访，评定分数不得向选手公开。</w:t>
      </w:r>
    </w:p>
    <w:p w14:paraId="28E58298">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9.裁判员执裁期间在能看清现场状况与选手行为的情况下，应尽量远离选手，不得影响选手的工作，一般情况下，应与选手保持1米以上的距离。</w:t>
      </w:r>
    </w:p>
    <w:p w14:paraId="6D06B6AF">
      <w:pPr>
        <w:pStyle w:val="2"/>
        <w:keepNext w:val="0"/>
        <w:keepLines w:val="0"/>
        <w:pageBreakBefore w:val="0"/>
        <w:widowControl w:val="0"/>
        <w:kinsoku w:val="0"/>
        <w:wordWrap/>
        <w:overflowPunct/>
        <w:topLinePunct w:val="0"/>
        <w:autoSpaceDE w:val="0"/>
        <w:autoSpaceDN w:val="0"/>
        <w:bidi w:val="0"/>
        <w:adjustRightInd w:val="0"/>
        <w:snapToGrid w:val="0"/>
        <w:spacing w:before="120" w:line="520" w:lineRule="exact"/>
        <w:ind w:left="0" w:firstLine="607" w:firstLineChars="200"/>
        <w:textAlignment w:val="baseline"/>
        <w:outlineLvl w:val="1"/>
        <w:rPr>
          <w:rFonts w:hint="eastAsia"/>
          <w:b/>
          <w:bCs/>
          <w:spacing w:val="-9"/>
          <w:sz w:val="32"/>
          <w:szCs w:val="32"/>
          <w:lang w:val="en-US" w:eastAsia="zh-CN"/>
        </w:rPr>
      </w:pPr>
      <w:bookmarkStart w:id="12" w:name="_Toc14057"/>
      <w:r>
        <w:rPr>
          <w:rFonts w:hint="eastAsia"/>
          <w:b/>
          <w:bCs/>
          <w:spacing w:val="-9"/>
          <w:sz w:val="32"/>
          <w:szCs w:val="32"/>
          <w:lang w:val="en-US" w:eastAsia="zh-CN"/>
        </w:rPr>
        <w:t>九、申诉与仲裁</w:t>
      </w:r>
      <w:bookmarkEnd w:id="12"/>
    </w:p>
    <w:p w14:paraId="38F4FDA6">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1.本赛项在比赛过程中若出现有失公正或有关人员违规等现象，代表队领队可在该模块比赛结束后，1小时之内向监督仲裁组提出书面申诉。</w:t>
      </w:r>
    </w:p>
    <w:p w14:paraId="51CBB74D">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2.书面申诉应对申诉事件的现象、发生时间、涉及人员、申诉依据等进行充分、实事求是</w:t>
      </w:r>
      <w:r>
        <w:rPr>
          <w:rFonts w:hint="eastAsia" w:ascii="仿宋" w:hAnsi="仿宋" w:eastAsia="仿宋" w:cs="仿宋"/>
          <w:sz w:val="27"/>
          <w:szCs w:val="27"/>
          <w:lang w:val="en-US" w:eastAsia="zh-CN"/>
        </w:rPr>
        <w:t>地</w:t>
      </w:r>
      <w:r>
        <w:rPr>
          <w:rFonts w:hint="default" w:ascii="仿宋" w:hAnsi="仿宋" w:eastAsia="仿宋" w:cs="仿宋"/>
          <w:sz w:val="27"/>
          <w:szCs w:val="27"/>
          <w:lang w:val="en-US" w:eastAsia="zh-CN"/>
        </w:rPr>
        <w:t>叙述，并由领队亲笔签名。非书面申诉不予受理。</w:t>
      </w:r>
    </w:p>
    <w:p w14:paraId="05444C73">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3.赛项监督仲裁组在接到申诉后的1小时内组织复议，并及时反馈复议结果。</w:t>
      </w:r>
    </w:p>
    <w:p w14:paraId="42443DA1">
      <w:pPr>
        <w:keepNext w:val="0"/>
        <w:keepLines w:val="0"/>
        <w:pageBreakBefore w:val="0"/>
        <w:widowControl w:val="0"/>
        <w:kinsoku w:val="0"/>
        <w:wordWrap/>
        <w:overflowPunct/>
        <w:topLinePunct w:val="0"/>
        <w:autoSpaceDE w:val="0"/>
        <w:autoSpaceDN w:val="0"/>
        <w:bidi w:val="0"/>
        <w:adjustRightInd/>
        <w:snapToGrid w:val="0"/>
        <w:spacing w:before="0" w:line="520" w:lineRule="exact"/>
        <w:ind w:left="0" w:right="0" w:firstLine="540" w:firstLineChars="200"/>
        <w:jc w:val="both"/>
        <w:textAlignment w:val="baseline"/>
        <w:rPr>
          <w:rFonts w:hint="default" w:ascii="仿宋" w:hAnsi="仿宋" w:eastAsia="仿宋" w:cs="仿宋"/>
          <w:sz w:val="27"/>
          <w:szCs w:val="27"/>
          <w:lang w:val="en-US" w:eastAsia="zh-CN"/>
        </w:rPr>
      </w:pPr>
      <w:r>
        <w:rPr>
          <w:rFonts w:hint="default" w:ascii="仿宋" w:hAnsi="仿宋" w:eastAsia="仿宋" w:cs="仿宋"/>
          <w:sz w:val="27"/>
          <w:szCs w:val="27"/>
          <w:lang w:val="en-US" w:eastAsia="zh-CN"/>
        </w:rPr>
        <w:t>4.申诉方对复议结果仍有异议，可由领队向大赛监督仲裁委员会提出申诉。监督仲裁委员会的仲裁结果为最终结果。</w:t>
      </w:r>
    </w:p>
    <w:sectPr>
      <w:footerReference r:id="rId5" w:type="default"/>
      <w:pgSz w:w="11910" w:h="16840"/>
      <w:pgMar w:top="1429" w:right="1769" w:bottom="1355" w:left="1587" w:header="0" w:footer="1219" w:gutter="0"/>
      <w:pgNumType w:fmt="decimal" w:start="1"/>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4A364">
    <w:pPr>
      <w:spacing w:line="174" w:lineRule="auto"/>
      <w:ind w:left="4103"/>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0E8D78">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40E8D78">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B552CAF"/>
    <w:rsid w:val="1BD73B3C"/>
    <w:rsid w:val="1CA1494D"/>
    <w:rsid w:val="28DD3E31"/>
    <w:rsid w:val="343901C4"/>
    <w:rsid w:val="369A72A7"/>
    <w:rsid w:val="3C0420FE"/>
    <w:rsid w:val="43B20A5C"/>
    <w:rsid w:val="5B2B4256"/>
    <w:rsid w:val="6E1838F7"/>
    <w:rsid w:val="6F1C6503"/>
    <w:rsid w:val="7D2C7C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paragraph" w:styleId="7">
    <w:name w:val="Normal (Web)"/>
    <w:basedOn w:val="1"/>
    <w:qFormat/>
    <w:uiPriority w:val="0"/>
    <w:rPr>
      <w:sz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5668</Words>
  <Characters>5773</Characters>
  <TotalTime>16</TotalTime>
  <ScaleCrop>false</ScaleCrop>
  <LinksUpToDate>false</LinksUpToDate>
  <CharactersWithSpaces>5871</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2025-06-28T17:27:00Z</dcterms:created>
  <dc:creator>qidan</dc:creator>
  <cp:lastModifiedBy>长发怪</cp:lastModifiedBy>
  <dcterms:modified xsi:type="dcterms:W3CDTF">2025-06-29T03:53:29Z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2025-06-28T17:27:39Z</vt:filetime>
  </property>
  <property fmtid="{D5CDD505-2E9C-101B-9397-08002B2CF9AE}" pid="4" name="UsrData">
    <vt:lpwstr>685fb5834feef9001f6ae2a9wl</vt:lpwstr>
  </property>
  <property fmtid="{D5CDD505-2E9C-101B-9397-08002B2CF9AE}" pid="5" name="KSOTemplateDocerSaveRecord">
    <vt:lpwstr>eyJoZGlkIjoiZDNiZDFkZDk0MjNjNmFmZDBjN2U2YWFhMzhjN2Y3NDEiLCJ1c2VySWQiOiIyNjk0Nzc3MTgifQ==</vt:lpwstr>
  </property>
  <property fmtid="{D5CDD505-2E9C-101B-9397-08002B2CF9AE}" pid="6" name="KSOProductBuildVer">
    <vt:lpwstr>2052-12.1.0.21541</vt:lpwstr>
  </property>
  <property fmtid="{D5CDD505-2E9C-101B-9397-08002B2CF9AE}" pid="7" name="ICV">
    <vt:lpwstr>CFC5A4B5B75A4E398D6F9C55D04AC68C_13</vt:lpwstr>
  </property>
</Properties>
</file>