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8EB9">
      <w:pPr>
        <w:pStyle w:val="8"/>
        <w:tabs>
          <w:tab w:val="left" w:pos="1304"/>
        </w:tabs>
        <w:spacing w:line="560" w:lineRule="exact"/>
        <w:jc w:val="both"/>
        <w:rPr>
          <w:rFonts w:hint="eastAsia" w:ascii="黑体" w:hAnsi="黑体" w:eastAsia="黑体" w:cs="黑体"/>
          <w:sz w:val="32"/>
          <w:szCs w:val="32"/>
          <w:lang w:val="en-US"/>
        </w:rPr>
      </w:pPr>
    </w:p>
    <w:p w14:paraId="7776EC18">
      <w:pPr>
        <w:rPr>
          <w:rFonts w:ascii="宋体" w:hAnsi="宋体" w:cs="宋体"/>
          <w:color w:val="auto"/>
          <w:sz w:val="24"/>
        </w:rPr>
      </w:pPr>
    </w:p>
    <w:p w14:paraId="74BF834E">
      <w:pPr>
        <w:spacing w:line="240" w:lineRule="auto"/>
        <w:rPr>
          <w:rFonts w:ascii="宋体" w:hAnsi="宋体" w:eastAsia="宋体" w:cs="宋体"/>
          <w:color w:val="auto"/>
          <w:sz w:val="24"/>
        </w:rPr>
      </w:pPr>
    </w:p>
    <w:p w14:paraId="2ED6AD7E">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44BE6C38">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河北省职业院校技能大赛</w:t>
      </w:r>
    </w:p>
    <w:p w14:paraId="008253B2">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0BF7011C">
      <w:pPr>
        <w:spacing w:before="62" w:after="62" w:line="500" w:lineRule="exact"/>
        <w:jc w:val="center"/>
        <w:rPr>
          <w:rFonts w:eastAsia="仿宋_GB2312"/>
          <w:color w:val="auto"/>
          <w:sz w:val="28"/>
          <w:szCs w:val="28"/>
        </w:rPr>
      </w:pPr>
    </w:p>
    <w:p w14:paraId="0E560CA8">
      <w:pPr>
        <w:spacing w:before="62" w:after="62" w:line="500" w:lineRule="exact"/>
        <w:jc w:val="center"/>
        <w:rPr>
          <w:rFonts w:hint="eastAsia" w:eastAsia="仿宋_GB2312"/>
          <w:color w:val="auto"/>
          <w:sz w:val="28"/>
          <w:szCs w:val="28"/>
        </w:rPr>
      </w:pPr>
    </w:p>
    <w:p w14:paraId="2BCD97F1">
      <w:pPr>
        <w:pStyle w:val="2"/>
        <w:rPr>
          <w:rFonts w:hint="eastAsia" w:eastAsia="宋体"/>
        </w:rPr>
      </w:pPr>
    </w:p>
    <w:p w14:paraId="33C608A0">
      <w:pPr>
        <w:pStyle w:val="2"/>
        <w:rPr>
          <w:rFonts w:hint="eastAsia" w:eastAsia="宋体"/>
        </w:rPr>
      </w:pPr>
    </w:p>
    <w:p w14:paraId="4B5F3A50">
      <w:pPr>
        <w:pStyle w:val="2"/>
        <w:rPr>
          <w:rFonts w:hint="eastAsia" w:eastAsia="宋体"/>
        </w:rPr>
      </w:pPr>
    </w:p>
    <w:p w14:paraId="11AB06E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婴儿(0-1岁)回应性照护</w:t>
      </w:r>
      <w:r>
        <w:rPr>
          <w:rFonts w:hint="eastAsia" w:eastAsia="仿宋_GB2312"/>
          <w:b/>
          <w:color w:val="auto"/>
          <w:sz w:val="30"/>
          <w:szCs w:val="30"/>
          <w:u w:val="single"/>
          <w:lang w:eastAsia="zh-CN"/>
        </w:rPr>
        <w:t>（</w:t>
      </w:r>
      <w:r>
        <w:rPr>
          <w:rFonts w:hint="eastAsia" w:eastAsia="仿宋_GB2312"/>
          <w:b/>
          <w:color w:val="auto"/>
          <w:sz w:val="30"/>
          <w:szCs w:val="30"/>
          <w:u w:val="single"/>
          <w:lang w:val="en-US" w:eastAsia="zh-CN"/>
        </w:rPr>
        <w:t>高职组</w:t>
      </w:r>
      <w:r>
        <w:rPr>
          <w:rFonts w:hint="eastAsia" w:eastAsia="仿宋_GB2312"/>
          <w:b/>
          <w:color w:val="auto"/>
          <w:sz w:val="30"/>
          <w:szCs w:val="30"/>
          <w:u w:val="single"/>
          <w:lang w:eastAsia="zh-CN"/>
        </w:rPr>
        <w:t>）</w:t>
      </w:r>
      <w:r>
        <w:rPr>
          <w:rFonts w:hint="eastAsia" w:eastAsia="仿宋_GB2312"/>
          <w:b/>
          <w:color w:val="auto"/>
          <w:sz w:val="30"/>
          <w:szCs w:val="30"/>
          <w:u w:val="single"/>
          <w:lang w:val="en-US" w:eastAsia="zh-CN"/>
        </w:rPr>
        <w:t xml:space="preserve"> </w:t>
      </w:r>
    </w:p>
    <w:p w14:paraId="6729CDFD">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736927AB">
      <w:pPr>
        <w:spacing w:before="62" w:after="62" w:line="500" w:lineRule="exact"/>
        <w:ind w:firstLine="1822" w:firstLineChars="605"/>
        <w:rPr>
          <w:rFonts w:hint="default" w:eastAsia="仿宋_GB2312"/>
          <w:b/>
          <w:color w:val="auto"/>
          <w:sz w:val="30"/>
          <w:szCs w:val="30"/>
          <w:lang w:val="en-US"/>
        </w:rPr>
      </w:pPr>
      <w:r>
        <w:rPr>
          <w:rFonts w:hint="eastAsia" w:eastAsia="仿宋_GB2312"/>
          <w:b/>
          <w:color w:val="auto"/>
          <w:sz w:val="30"/>
          <w:szCs w:val="30"/>
        </w:rPr>
        <w:t>所属职教集团：</w:t>
      </w:r>
      <w:r>
        <w:rPr>
          <w:rFonts w:hint="eastAsia" w:eastAsia="仿宋_GB2312"/>
          <w:b/>
          <w:color w:val="auto"/>
          <w:sz w:val="30"/>
          <w:szCs w:val="30"/>
          <w:u w:val="single"/>
          <w:lang w:val="en-US" w:eastAsia="zh-CN"/>
        </w:rPr>
        <w:t xml:space="preserve">河北省托育职业教育集团      </w:t>
      </w:r>
    </w:p>
    <w:p w14:paraId="7A83CFEB">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石家庄幼儿师范高等专科学校</w:t>
      </w:r>
    </w:p>
    <w:p w14:paraId="1D0C1C8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2025.11.14                </w:t>
      </w:r>
    </w:p>
    <w:p w14:paraId="1A1E84C6">
      <w:pPr>
        <w:spacing w:before="62" w:after="62" w:line="500" w:lineRule="exact"/>
        <w:ind w:firstLine="1815" w:firstLineChars="605"/>
        <w:jc w:val="center"/>
        <w:rPr>
          <w:rFonts w:eastAsia="仿宋_GB2312"/>
          <w:color w:val="auto"/>
          <w:sz w:val="30"/>
          <w:szCs w:val="30"/>
        </w:rPr>
      </w:pPr>
    </w:p>
    <w:p w14:paraId="72D48020">
      <w:pPr>
        <w:spacing w:before="62" w:after="62" w:line="500" w:lineRule="exact"/>
        <w:jc w:val="center"/>
        <w:rPr>
          <w:rFonts w:eastAsia="仿宋_GB2312"/>
          <w:color w:val="auto"/>
          <w:sz w:val="28"/>
          <w:szCs w:val="28"/>
        </w:rPr>
      </w:pPr>
    </w:p>
    <w:p w14:paraId="2259D901">
      <w:pPr>
        <w:spacing w:before="62" w:after="62" w:line="500" w:lineRule="exact"/>
        <w:jc w:val="center"/>
        <w:rPr>
          <w:rFonts w:eastAsia="仿宋_GB2312"/>
          <w:color w:val="auto"/>
          <w:sz w:val="28"/>
          <w:szCs w:val="28"/>
        </w:rPr>
      </w:pPr>
    </w:p>
    <w:p w14:paraId="3CAD867E">
      <w:pPr>
        <w:spacing w:before="62" w:after="62" w:line="5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职业院校技能大赛组织委员会制</w:t>
      </w:r>
    </w:p>
    <w:p w14:paraId="7E61C084">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6"/>
        <w:gridCol w:w="805"/>
        <w:gridCol w:w="817"/>
        <w:gridCol w:w="1314"/>
        <w:gridCol w:w="415"/>
        <w:gridCol w:w="449"/>
        <w:gridCol w:w="901"/>
        <w:gridCol w:w="460"/>
        <w:gridCol w:w="442"/>
        <w:gridCol w:w="892"/>
        <w:gridCol w:w="1439"/>
      </w:tblGrid>
      <w:tr w14:paraId="26779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11"/>
            <w:tcBorders>
              <w:top w:val="single" w:color="auto" w:sz="4" w:space="0"/>
              <w:left w:val="single" w:color="000000" w:sz="8" w:space="0"/>
              <w:bottom w:val="single" w:color="auto" w:sz="4" w:space="0"/>
              <w:right w:val="single" w:color="000000" w:sz="8" w:space="0"/>
            </w:tcBorders>
            <w:shd w:val="clear" w:color="auto" w:fill="FFFFFF"/>
            <w:vAlign w:val="center"/>
          </w:tcPr>
          <w:p w14:paraId="1DAB20B8">
            <w:pPr>
              <w:snapToGrid w:val="0"/>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3B01E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2" w:type="pct"/>
            <w:tcBorders>
              <w:top w:val="single" w:color="auto" w:sz="4" w:space="0"/>
              <w:left w:val="single" w:color="000000" w:sz="8" w:space="0"/>
              <w:bottom w:val="single" w:color="auto" w:sz="4" w:space="0"/>
              <w:right w:val="single" w:color="auto" w:sz="4" w:space="0"/>
            </w:tcBorders>
            <w:shd w:val="clear" w:color="auto" w:fill="FFFFFF"/>
            <w:vAlign w:val="center"/>
          </w:tcPr>
          <w:p w14:paraId="27EB916D">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89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6C06EDA">
            <w:pPr>
              <w:snapToGrid w:val="0"/>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李立新</w:t>
            </w:r>
          </w:p>
        </w:tc>
        <w:tc>
          <w:tcPr>
            <w:tcW w:w="725" w:type="pct"/>
            <w:tcBorders>
              <w:top w:val="single" w:color="auto" w:sz="4" w:space="0"/>
              <w:left w:val="single" w:color="auto" w:sz="4" w:space="0"/>
              <w:bottom w:val="single" w:color="auto" w:sz="4" w:space="0"/>
              <w:right w:val="single" w:color="auto" w:sz="4" w:space="0"/>
            </w:tcBorders>
            <w:shd w:val="clear" w:color="auto" w:fill="FFFFFF"/>
            <w:vAlign w:val="center"/>
          </w:tcPr>
          <w:p w14:paraId="279B1416">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47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461B7F">
            <w:pPr>
              <w:snapToGrid w:val="0"/>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男</w:t>
            </w:r>
          </w:p>
        </w:tc>
        <w:tc>
          <w:tcPr>
            <w:tcW w:w="497" w:type="pct"/>
            <w:tcBorders>
              <w:top w:val="single" w:color="auto" w:sz="4" w:space="0"/>
              <w:left w:val="single" w:color="auto" w:sz="4" w:space="0"/>
              <w:bottom w:val="single" w:color="auto" w:sz="4" w:space="0"/>
              <w:right w:val="single" w:color="auto" w:sz="4" w:space="0"/>
            </w:tcBorders>
            <w:shd w:val="clear" w:color="auto" w:fill="FFFFFF"/>
            <w:vAlign w:val="center"/>
          </w:tcPr>
          <w:p w14:paraId="4DBD9AAF">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49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7FD839">
            <w:pPr>
              <w:snapToGrid w:val="0"/>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教授</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14:paraId="064FE3B1">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791" w:type="pct"/>
            <w:tcBorders>
              <w:top w:val="single" w:color="auto" w:sz="4" w:space="0"/>
              <w:left w:val="single" w:color="auto" w:sz="4" w:space="0"/>
              <w:bottom w:val="single" w:color="auto" w:sz="4" w:space="0"/>
              <w:right w:val="single" w:color="000000" w:sz="8" w:space="0"/>
            </w:tcBorders>
            <w:shd w:val="clear" w:color="auto" w:fill="FFFFFF"/>
            <w:vAlign w:val="center"/>
          </w:tcPr>
          <w:p w14:paraId="77AD9BB7">
            <w:pPr>
              <w:snapToGrid w:val="0"/>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color w:val="auto"/>
                <w:sz w:val="24"/>
                <w:lang w:val="en-US" w:eastAsia="zh-CN"/>
              </w:rPr>
              <w:t>科研处处长</w:t>
            </w:r>
          </w:p>
        </w:tc>
      </w:tr>
      <w:tr w14:paraId="6D6C2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2" w:type="pct"/>
            <w:tcBorders>
              <w:top w:val="single" w:color="auto" w:sz="4" w:space="0"/>
              <w:left w:val="single" w:color="000000" w:sz="8" w:space="0"/>
              <w:bottom w:val="single" w:color="auto" w:sz="4" w:space="0"/>
              <w:right w:val="single" w:color="auto" w:sz="4" w:space="0"/>
            </w:tcBorders>
            <w:shd w:val="clear" w:color="auto" w:fill="FFFFFF"/>
            <w:vAlign w:val="center"/>
          </w:tcPr>
          <w:p w14:paraId="0E3B3E62">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162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FBF30ED">
            <w:pPr>
              <w:snapToGrid w:val="0"/>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color w:val="auto"/>
                <w:sz w:val="24"/>
                <w:lang w:val="en-US" w:eastAsia="zh-CN"/>
              </w:rPr>
              <w:t>石家庄幼儿师范高等专科学校</w:t>
            </w:r>
          </w:p>
        </w:tc>
        <w:tc>
          <w:tcPr>
            <w:tcW w:w="47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17E82A">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2279" w:type="pct"/>
            <w:gridSpan w:val="5"/>
            <w:tcBorders>
              <w:top w:val="single" w:color="auto" w:sz="4" w:space="0"/>
              <w:left w:val="single" w:color="auto" w:sz="4" w:space="0"/>
              <w:bottom w:val="single" w:color="auto" w:sz="4" w:space="0"/>
              <w:right w:val="single" w:color="000000" w:sz="8" w:space="0"/>
            </w:tcBorders>
            <w:shd w:val="clear" w:color="auto" w:fill="FFFFFF"/>
            <w:vAlign w:val="center"/>
          </w:tcPr>
          <w:p w14:paraId="244FED28">
            <w:pPr>
              <w:snapToGrid w:val="0"/>
              <w:spacing w:after="0" w:line="320" w:lineRule="exact"/>
              <w:jc w:val="center"/>
              <w:rPr>
                <w:rFonts w:ascii="宋体" w:hAnsi="宋体" w:eastAsia="宋体"/>
                <w:b/>
                <w:bCs/>
                <w:color w:val="auto"/>
                <w:sz w:val="24"/>
              </w:rPr>
            </w:pPr>
          </w:p>
        </w:tc>
      </w:tr>
      <w:tr w14:paraId="4F83C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2" w:type="pct"/>
            <w:tcBorders>
              <w:top w:val="single" w:color="auto" w:sz="4" w:space="0"/>
              <w:left w:val="single" w:color="000000" w:sz="8" w:space="0"/>
              <w:bottom w:val="single" w:color="auto" w:sz="4" w:space="0"/>
              <w:right w:val="single" w:color="auto" w:sz="4" w:space="0"/>
            </w:tcBorders>
            <w:shd w:val="clear" w:color="auto" w:fill="FFFFFF"/>
            <w:vAlign w:val="center"/>
          </w:tcPr>
          <w:p w14:paraId="7DD8B311">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4377" w:type="pct"/>
            <w:gridSpan w:val="10"/>
            <w:tcBorders>
              <w:top w:val="single" w:color="auto" w:sz="4" w:space="0"/>
              <w:left w:val="single" w:color="auto" w:sz="4" w:space="0"/>
              <w:bottom w:val="single" w:color="auto" w:sz="4" w:space="0"/>
              <w:right w:val="single" w:color="000000" w:sz="8" w:space="0"/>
            </w:tcBorders>
            <w:shd w:val="clear" w:color="auto" w:fill="FFFFFF"/>
            <w:vAlign w:val="center"/>
          </w:tcPr>
          <w:p w14:paraId="48CAD848">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13171889317</w:t>
            </w:r>
          </w:p>
        </w:tc>
      </w:tr>
      <w:tr w14:paraId="43D9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6" w:type="pct"/>
            <w:gridSpan w:val="2"/>
            <w:vAlign w:val="center"/>
          </w:tcPr>
          <w:p w14:paraId="7B8A122C">
            <w:pPr>
              <w:snapToGrid w:val="0"/>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1405" w:type="pct"/>
            <w:gridSpan w:val="3"/>
            <w:vAlign w:val="center"/>
          </w:tcPr>
          <w:p w14:paraId="3C3619CF">
            <w:pPr>
              <w:snapToGrid w:val="0"/>
              <w:spacing w:before="156" w:after="0" w:line="320" w:lineRule="exact"/>
              <w:jc w:val="center"/>
              <w:rPr>
                <w:rFonts w:ascii="宋体" w:hAnsi="宋体" w:eastAsia="宋体"/>
                <w:b/>
                <w:color w:val="auto"/>
                <w:sz w:val="24"/>
              </w:rPr>
            </w:pPr>
            <w:r>
              <w:rPr>
                <w:rFonts w:hint="eastAsia" w:ascii="宋体" w:hAnsi="宋体" w:eastAsia="宋体"/>
                <w:b/>
                <w:color w:val="auto"/>
                <w:sz w:val="24"/>
              </w:rPr>
              <w:t>婴儿(0-1岁)回应性照护</w:t>
            </w:r>
          </w:p>
        </w:tc>
        <w:tc>
          <w:tcPr>
            <w:tcW w:w="998" w:type="pct"/>
            <w:gridSpan w:val="3"/>
            <w:vAlign w:val="center"/>
          </w:tcPr>
          <w:p w14:paraId="79E4AC9F">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1529" w:type="pct"/>
            <w:gridSpan w:val="3"/>
            <w:vAlign w:val="center"/>
          </w:tcPr>
          <w:p w14:paraId="3380697C">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河北省托育职业教育集团</w:t>
            </w:r>
          </w:p>
        </w:tc>
      </w:tr>
      <w:tr w14:paraId="517F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6" w:type="pct"/>
            <w:gridSpan w:val="2"/>
            <w:vAlign w:val="center"/>
          </w:tcPr>
          <w:p w14:paraId="220D5A70">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1405" w:type="pct"/>
            <w:gridSpan w:val="3"/>
            <w:vAlign w:val="center"/>
          </w:tcPr>
          <w:p w14:paraId="060E531C">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 xml:space="preserve">中职组  </w:t>
            </w:r>
            <w:r>
              <w:rPr>
                <w:rFonts w:hint="eastAsia" w:ascii="宋体" w:hAnsi="宋体" w:eastAsia="宋体"/>
                <w:b/>
                <w:color w:val="auto"/>
                <w:sz w:val="24"/>
                <w:lang w:eastAsia="zh-CN"/>
              </w:rPr>
              <w:t>☑</w:t>
            </w:r>
            <w:r>
              <w:rPr>
                <w:rFonts w:hint="eastAsia" w:ascii="宋体" w:hAnsi="宋体" w:eastAsia="宋体"/>
                <w:b/>
                <w:color w:val="auto"/>
                <w:sz w:val="24"/>
              </w:rPr>
              <w:t>高职组</w:t>
            </w:r>
          </w:p>
        </w:tc>
        <w:tc>
          <w:tcPr>
            <w:tcW w:w="998" w:type="pct"/>
            <w:gridSpan w:val="3"/>
            <w:vAlign w:val="center"/>
          </w:tcPr>
          <w:p w14:paraId="0DB83F32">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1529" w:type="pct"/>
            <w:gridSpan w:val="3"/>
            <w:vAlign w:val="center"/>
          </w:tcPr>
          <w:p w14:paraId="7AFDEE82">
            <w:pPr>
              <w:snapToGrid w:val="0"/>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3C53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6" w:type="pct"/>
            <w:gridSpan w:val="2"/>
            <w:vAlign w:val="center"/>
          </w:tcPr>
          <w:p w14:paraId="2C072BB4">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1405" w:type="pct"/>
            <w:gridSpan w:val="3"/>
            <w:vAlign w:val="center"/>
          </w:tcPr>
          <w:p w14:paraId="5F4F4306">
            <w:pPr>
              <w:snapToGrid w:val="0"/>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婴幼儿托育服务与管理</w:t>
            </w:r>
          </w:p>
        </w:tc>
        <w:tc>
          <w:tcPr>
            <w:tcW w:w="998" w:type="pct"/>
            <w:gridSpan w:val="3"/>
            <w:vAlign w:val="center"/>
          </w:tcPr>
          <w:p w14:paraId="373853C1">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1529" w:type="pct"/>
            <w:gridSpan w:val="3"/>
            <w:vAlign w:val="center"/>
          </w:tcPr>
          <w:p w14:paraId="71ED9546">
            <w:pPr>
              <w:snapToGrid w:val="0"/>
              <w:spacing w:before="156"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托育</w:t>
            </w:r>
          </w:p>
        </w:tc>
      </w:tr>
      <w:tr w14:paraId="7424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470" w:type="pct"/>
            <w:gridSpan w:val="8"/>
            <w:vAlign w:val="center"/>
          </w:tcPr>
          <w:p w14:paraId="03D2A7F5">
            <w:pPr>
              <w:snapToGrid w:val="0"/>
              <w:spacing w:after="0" w:line="320" w:lineRule="exact"/>
              <w:jc w:val="center"/>
              <w:rPr>
                <w:rFonts w:hint="eastAsia"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1529" w:type="pct"/>
            <w:gridSpan w:val="3"/>
            <w:vAlign w:val="center"/>
          </w:tcPr>
          <w:p w14:paraId="17EAA73D">
            <w:pPr>
              <w:snapToGrid w:val="0"/>
              <w:spacing w:before="156" w:after="0" w:line="320" w:lineRule="exact"/>
              <w:jc w:val="center"/>
              <w:rPr>
                <w:rFonts w:ascii="宋体" w:hAnsi="宋体" w:eastAsia="宋体"/>
                <w:b/>
                <w:color w:val="auto"/>
                <w:sz w:val="24"/>
              </w:rPr>
            </w:pPr>
          </w:p>
        </w:tc>
      </w:tr>
      <w:tr w14:paraId="66C07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11"/>
            <w:tcBorders>
              <w:top w:val="single" w:color="auto" w:sz="4" w:space="0"/>
              <w:left w:val="single" w:color="000000" w:sz="8" w:space="0"/>
              <w:bottom w:val="single" w:color="000000" w:sz="8" w:space="0"/>
              <w:right w:val="single" w:color="000000" w:sz="8" w:space="0"/>
            </w:tcBorders>
            <w:shd w:val="clear" w:color="auto" w:fill="FFFFFF"/>
            <w:vAlign w:val="center"/>
          </w:tcPr>
          <w:p w14:paraId="7753FE15">
            <w:pPr>
              <w:snapToGrid w:val="0"/>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53CCE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FFFFFF"/>
          </w:tcPr>
          <w:p w14:paraId="6340D462">
            <w:pPr>
              <w:snapToGrid w:val="0"/>
              <w:spacing w:after="0" w:line="320" w:lineRule="exact"/>
              <w:jc w:val="both"/>
              <w:rPr>
                <w:rFonts w:ascii="宋体" w:hAnsi="宋体" w:eastAsia="宋体"/>
                <w:color w:val="auto"/>
                <w:szCs w:val="21"/>
              </w:rPr>
            </w:pPr>
          </w:p>
          <w:p w14:paraId="662F40B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both"/>
              <w:textAlignment w:val="auto"/>
              <w:rPr>
                <w:rFonts w:hint="eastAsia" w:ascii="宋体" w:hAnsi="宋体" w:eastAsia="宋体"/>
                <w:color w:val="auto"/>
                <w:sz w:val="24"/>
                <w:szCs w:val="22"/>
              </w:rPr>
            </w:pPr>
            <w:r>
              <w:rPr>
                <w:rFonts w:hint="eastAsia" w:ascii="宋体" w:hAnsi="宋体" w:eastAsia="宋体"/>
                <w:color w:val="auto"/>
                <w:sz w:val="24"/>
                <w:szCs w:val="22"/>
              </w:rPr>
              <w:t>石家庄幼儿师范高等专科学校是河北省学前教育与托育领域的重要人才培养基地，专业基础雄厚</w:t>
            </w:r>
            <w:r>
              <w:rPr>
                <w:rFonts w:hint="eastAsia" w:ascii="宋体" w:hAnsi="宋体" w:eastAsia="宋体"/>
                <w:color w:val="auto"/>
                <w:sz w:val="24"/>
                <w:szCs w:val="22"/>
                <w:lang w:eastAsia="zh-CN"/>
              </w:rPr>
              <w:t>，</w:t>
            </w:r>
            <w:r>
              <w:rPr>
                <w:rFonts w:hint="eastAsia" w:ascii="宋体" w:hAnsi="宋体" w:eastAsia="宋体"/>
                <w:color w:val="auto"/>
                <w:sz w:val="24"/>
                <w:szCs w:val="22"/>
              </w:rPr>
              <w:t>学校开设学前教育、早期教育、婴幼儿托育服务与管理等核心专业，紧密对接赛项内容。学前教育专业是学校的骨干专业，深耕幼教领域，为赛项提供了坚实的专业支撑。</w:t>
            </w:r>
          </w:p>
          <w:p w14:paraId="386A42C0">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both"/>
              <w:textAlignment w:val="auto"/>
              <w:rPr>
                <w:rFonts w:hint="eastAsia" w:ascii="宋体" w:hAnsi="宋体" w:eastAsia="宋体"/>
                <w:color w:val="auto"/>
                <w:sz w:val="24"/>
                <w:szCs w:val="22"/>
              </w:rPr>
            </w:pPr>
            <w:r>
              <w:rPr>
                <w:rFonts w:hint="eastAsia" w:ascii="宋体" w:hAnsi="宋体" w:eastAsia="宋体"/>
                <w:color w:val="auto"/>
                <w:sz w:val="24"/>
                <w:szCs w:val="22"/>
              </w:rPr>
              <w:t>学校成功立项省级“托幼一体化虚拟仿真实训基地”和“托幼一体化产教融合实践中心”，并参与教育部“基于数字化的托育岗位职业能力与人才评价标准”研制项目，展现了在托幼领域的前沿探索与实践能力。</w:t>
            </w:r>
            <w:r>
              <w:rPr>
                <w:rFonts w:hint="eastAsia" w:ascii="宋体" w:hAnsi="宋体" w:eastAsia="宋体"/>
                <w:color w:val="auto"/>
                <w:sz w:val="24"/>
                <w:szCs w:val="22"/>
                <w:lang w:val="en-US" w:eastAsia="zh-CN"/>
              </w:rPr>
              <w:t>在</w:t>
            </w:r>
            <w:r>
              <w:rPr>
                <w:rFonts w:hint="eastAsia" w:ascii="宋体" w:hAnsi="宋体" w:eastAsia="宋体"/>
                <w:color w:val="auto"/>
                <w:sz w:val="24"/>
                <w:szCs w:val="22"/>
              </w:rPr>
              <w:t>资源库建设</w:t>
            </w:r>
            <w:r>
              <w:rPr>
                <w:rFonts w:hint="eastAsia" w:ascii="宋体" w:hAnsi="宋体" w:eastAsia="宋体"/>
                <w:color w:val="auto"/>
                <w:sz w:val="24"/>
                <w:szCs w:val="22"/>
                <w:lang w:val="en-US" w:eastAsia="zh-CN"/>
              </w:rPr>
              <w:t>方面，</w:t>
            </w:r>
            <w:r>
              <w:rPr>
                <w:rFonts w:hint="eastAsia" w:ascii="宋体" w:hAnsi="宋体" w:eastAsia="宋体"/>
                <w:color w:val="auto"/>
                <w:sz w:val="24"/>
                <w:szCs w:val="22"/>
              </w:rPr>
              <w:t>学校联合主持学前教育专业和婴幼儿托育服务与管理专业教学资源库的建设，积累了丰富的数字化教学资源和课程开发经验。</w:t>
            </w:r>
          </w:p>
          <w:p w14:paraId="6AEFAB4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both"/>
              <w:textAlignment w:val="auto"/>
              <w:rPr>
                <w:rFonts w:ascii="宋体" w:hAnsi="宋体" w:eastAsia="宋体"/>
                <w:color w:val="auto"/>
                <w:sz w:val="24"/>
                <w:szCs w:val="22"/>
              </w:rPr>
            </w:pPr>
            <w:r>
              <w:rPr>
                <w:rFonts w:hint="eastAsia" w:ascii="宋体" w:hAnsi="宋体" w:eastAsia="宋体"/>
                <w:color w:val="auto"/>
                <w:sz w:val="24"/>
                <w:szCs w:val="22"/>
                <w:lang w:val="en-US" w:eastAsia="zh-CN"/>
              </w:rPr>
              <w:t>学校</w:t>
            </w:r>
            <w:r>
              <w:rPr>
                <w:rFonts w:hint="eastAsia" w:ascii="宋体" w:hAnsi="宋体" w:eastAsia="宋体"/>
                <w:color w:val="auto"/>
                <w:sz w:val="24"/>
                <w:szCs w:val="22"/>
              </w:rPr>
              <w:t>产教融合</w:t>
            </w:r>
            <w:r>
              <w:rPr>
                <w:rFonts w:hint="eastAsia" w:ascii="宋体" w:hAnsi="宋体" w:eastAsia="宋体"/>
                <w:color w:val="auto"/>
                <w:sz w:val="24"/>
                <w:szCs w:val="22"/>
                <w:lang w:val="en-US" w:eastAsia="zh-CN"/>
              </w:rPr>
              <w:t>深入发展</w:t>
            </w:r>
            <w:r>
              <w:rPr>
                <w:rFonts w:hint="eastAsia" w:ascii="宋体" w:hAnsi="宋体" w:eastAsia="宋体"/>
                <w:color w:val="auto"/>
                <w:sz w:val="24"/>
                <w:szCs w:val="22"/>
                <w:lang w:eastAsia="zh-CN"/>
              </w:rPr>
              <w:t>，</w:t>
            </w:r>
            <w:r>
              <w:rPr>
                <w:rFonts w:hint="eastAsia" w:ascii="宋体" w:hAnsi="宋体" w:eastAsia="宋体"/>
                <w:color w:val="auto"/>
                <w:sz w:val="24"/>
                <w:szCs w:val="22"/>
              </w:rPr>
              <w:t>学校的“基于京津冀协同发展的‘产教融合 托幼一体 育训并举’人才培养”案例被评为全国托育产教融合共同体典型案例，体现了创新人才培养模式的显著成效。</w:t>
            </w:r>
          </w:p>
          <w:p w14:paraId="4F10506D">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ascii="宋体" w:hAnsi="宋体" w:eastAsia="宋体"/>
                <w:color w:val="auto"/>
                <w:sz w:val="24"/>
                <w:szCs w:val="22"/>
              </w:rPr>
            </w:pPr>
          </w:p>
          <w:p w14:paraId="0EADFE50">
            <w:pPr>
              <w:snapToGrid w:val="0"/>
              <w:spacing w:after="0" w:line="320" w:lineRule="exact"/>
              <w:jc w:val="both"/>
              <w:rPr>
                <w:rFonts w:ascii="宋体" w:hAnsi="宋体" w:eastAsia="宋体"/>
                <w:color w:val="auto"/>
                <w:szCs w:val="21"/>
              </w:rPr>
            </w:pPr>
          </w:p>
          <w:p w14:paraId="397CEF49">
            <w:pPr>
              <w:snapToGrid w:val="0"/>
              <w:spacing w:after="0" w:line="320" w:lineRule="exact"/>
              <w:jc w:val="both"/>
              <w:rPr>
                <w:rFonts w:ascii="宋体" w:hAnsi="宋体" w:eastAsia="宋体"/>
                <w:color w:val="auto"/>
                <w:szCs w:val="21"/>
              </w:rPr>
            </w:pPr>
          </w:p>
          <w:p w14:paraId="43386C72">
            <w:pPr>
              <w:pStyle w:val="2"/>
              <w:snapToGrid w:val="0"/>
              <w:rPr>
                <w:rFonts w:ascii="宋体" w:hAnsi="宋体" w:eastAsia="宋体"/>
                <w:color w:val="auto"/>
                <w:szCs w:val="21"/>
              </w:rPr>
            </w:pPr>
          </w:p>
          <w:p w14:paraId="1697C734">
            <w:pPr>
              <w:pStyle w:val="2"/>
              <w:snapToGrid w:val="0"/>
              <w:rPr>
                <w:rFonts w:ascii="宋体" w:hAnsi="宋体" w:eastAsia="宋体"/>
                <w:color w:val="auto"/>
                <w:szCs w:val="21"/>
              </w:rPr>
            </w:pPr>
          </w:p>
        </w:tc>
      </w:tr>
      <w:bookmarkEnd w:id="0"/>
    </w:tbl>
    <w:p w14:paraId="6E804434">
      <w:pPr>
        <w:spacing w:line="100" w:lineRule="exact"/>
        <w:ind w:left="448"/>
        <w:rPr>
          <w:rFonts w:eastAsia="黑体"/>
          <w:color w:val="auto"/>
          <w:sz w:val="8"/>
        </w:rPr>
      </w:pPr>
    </w:p>
    <w:tbl>
      <w:tblPr>
        <w:tblStyle w:val="16"/>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100"/>
        <w:gridCol w:w="2847"/>
        <w:gridCol w:w="782"/>
        <w:gridCol w:w="1200"/>
        <w:gridCol w:w="2361"/>
      </w:tblGrid>
      <w:tr w14:paraId="602EF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4596268">
            <w:pPr>
              <w:jc w:val="center"/>
              <w:rPr>
                <w:rFonts w:ascii="宋体" w:hAnsi="宋体" w:eastAsia="宋体"/>
                <w:b/>
                <w:color w:val="auto"/>
                <w:sz w:val="28"/>
                <w:szCs w:val="28"/>
              </w:rPr>
            </w:pPr>
            <w:bookmarkStart w:id="1" w:name="PO_systemCode"/>
            <w:bookmarkEnd w:id="1"/>
            <w:bookmarkStart w:id="2" w:name="PO_keyWords"/>
            <w:bookmarkEnd w:id="2"/>
            <w:bookmarkStart w:id="3" w:name="PO_provinceCode"/>
            <w:bookmarkEnd w:id="3"/>
            <w:bookmarkStart w:id="4" w:name="PO_province"/>
            <w:bookmarkEnd w:id="4"/>
            <w:bookmarkStart w:id="5" w:name="PO_system"/>
            <w:bookmarkEnd w:id="5"/>
            <w:r>
              <w:rPr>
                <w:rFonts w:hint="eastAsia" w:ascii="仿宋_GB2312" w:hAnsi="仿宋" w:eastAsia="仿宋_GB2312" w:cs="Arial"/>
                <w:b/>
                <w:color w:val="auto"/>
                <w:sz w:val="28"/>
                <w:szCs w:val="28"/>
              </w:rPr>
              <w:t>办赛条件（1000字以内）</w:t>
            </w:r>
          </w:p>
        </w:tc>
      </w:tr>
      <w:tr w14:paraId="3ACFF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7"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7CD23AE8">
            <w:pPr>
              <w:ind w:firstLine="480" w:firstLineChars="200"/>
              <w:rPr>
                <w:rFonts w:hint="eastAsia" w:ascii="仿宋" w:hAnsi="仿宋" w:eastAsia="仿宋"/>
                <w:snapToGrid w:val="0"/>
                <w:color w:val="auto"/>
                <w:sz w:val="24"/>
                <w:szCs w:val="22"/>
                <w:lang w:val="en-US" w:eastAsia="zh-CN"/>
              </w:rPr>
            </w:pPr>
            <w:r>
              <w:rPr>
                <w:rFonts w:hint="eastAsia" w:ascii="仿宋" w:hAnsi="仿宋" w:eastAsia="仿宋"/>
                <w:snapToGrid w:val="0"/>
                <w:color w:val="auto"/>
                <w:sz w:val="24"/>
                <w:szCs w:val="22"/>
                <w:lang w:val="en-US" w:eastAsia="zh-CN"/>
              </w:rPr>
              <w:t>1.场地与设备：拥有充足的多媒体教室、计算机机房、婴幼儿生活照料实训室、婴幼儿营养与膳食制作实训室等。实训室内配备有先进的婴儿护理模型、仿真娃娃、辅食制作工具、婴幼儿急救设备、早期学习玩教具等，能够满足《保育师国家职业技能标准》和《婴幼儿发展引导员国家职业技能标准》中关于回应性照护技能的实操考核要求。</w:t>
            </w:r>
          </w:p>
          <w:p w14:paraId="5AC8C3DD">
            <w:pPr>
              <w:ind w:firstLine="480" w:firstLineChars="200"/>
              <w:rPr>
                <w:rFonts w:hint="eastAsia" w:ascii="仿宋" w:hAnsi="仿宋" w:eastAsia="仿宋"/>
                <w:snapToGrid w:val="0"/>
                <w:color w:val="auto"/>
                <w:sz w:val="24"/>
                <w:szCs w:val="22"/>
                <w:lang w:val="en-US" w:eastAsia="zh-CN"/>
              </w:rPr>
            </w:pPr>
            <w:r>
              <w:rPr>
                <w:rFonts w:hint="eastAsia" w:ascii="仿宋" w:hAnsi="仿宋" w:eastAsia="仿宋"/>
                <w:snapToGrid w:val="0"/>
                <w:color w:val="auto"/>
                <w:sz w:val="24"/>
                <w:szCs w:val="22"/>
                <w:lang w:val="en-US" w:eastAsia="zh-CN"/>
              </w:rPr>
              <w:t>2.技术支持与专家队伍：拥有一支高素质的"双师型"教师团队，多名教师参与过《河北省托育机构质量评价标准》、《婴幼儿发展引导员行业从业规范》等省级标准的制定与修订，具备丰富的行业经验和省级以上职业技能竞赛裁判资质。同时，与河北省托育职业教育集团内多家优质托育机构建立了紧密的合作关系，可提供行业一线的技术专家支持。</w:t>
            </w:r>
          </w:p>
          <w:p w14:paraId="3C1F4026">
            <w:pPr>
              <w:ind w:firstLine="480" w:firstLineChars="200"/>
              <w:rPr>
                <w:rFonts w:hint="eastAsia" w:ascii="仿宋" w:hAnsi="仿宋" w:eastAsia="仿宋"/>
                <w:snapToGrid w:val="0"/>
                <w:color w:val="auto"/>
                <w:sz w:val="24"/>
                <w:szCs w:val="22"/>
                <w:lang w:val="en-US" w:eastAsia="zh-CN"/>
              </w:rPr>
            </w:pPr>
            <w:r>
              <w:rPr>
                <w:rFonts w:hint="eastAsia" w:ascii="仿宋" w:hAnsi="仿宋" w:eastAsia="仿宋"/>
                <w:snapToGrid w:val="0"/>
                <w:color w:val="auto"/>
                <w:sz w:val="24"/>
                <w:szCs w:val="22"/>
                <w:lang w:val="en-US" w:eastAsia="zh-CN"/>
              </w:rPr>
              <w:t>3.经费保障：我校将为本次比赛投入充足的资金，确保赛事组织、场地布置、设备维护、专家评审、后勤保障等环节顺利进行。</w:t>
            </w:r>
          </w:p>
          <w:p w14:paraId="0ABBD895">
            <w:pPr>
              <w:ind w:firstLine="480" w:firstLineChars="200"/>
              <w:rPr>
                <w:rFonts w:hint="eastAsia" w:ascii="仿宋" w:hAnsi="仿宋" w:eastAsia="仿宋"/>
                <w:snapToGrid w:val="0"/>
                <w:color w:val="auto"/>
                <w:sz w:val="24"/>
                <w:szCs w:val="22"/>
                <w:lang w:val="en-US" w:eastAsia="zh-CN"/>
              </w:rPr>
            </w:pPr>
            <w:r>
              <w:rPr>
                <w:rFonts w:hint="eastAsia" w:ascii="仿宋" w:hAnsi="仿宋" w:eastAsia="仿宋"/>
                <w:snapToGrid w:val="0"/>
                <w:color w:val="auto"/>
                <w:sz w:val="24"/>
                <w:szCs w:val="22"/>
                <w:lang w:val="en-US" w:eastAsia="zh-CN"/>
              </w:rPr>
              <w:t>4.成熟的办赛经验：近年来，学校成功承办了2023年全国托育职业技能大赛（中职组）、2025年河北省职工托育职业技能大赛等多项省级及以上赛事，在赛事流程管理、后勤保障、安全应急等方面积累了丰富经验。</w:t>
            </w:r>
          </w:p>
          <w:p w14:paraId="1DD389B7">
            <w:pPr>
              <w:ind w:firstLine="480" w:firstLineChars="200"/>
              <w:rPr>
                <w:rFonts w:hint="eastAsia" w:ascii="仿宋" w:hAnsi="仿宋" w:eastAsia="仿宋"/>
                <w:snapToGrid w:val="0"/>
                <w:color w:val="auto"/>
                <w:sz w:val="24"/>
                <w:szCs w:val="22"/>
                <w:lang w:eastAsia="zh-CN"/>
              </w:rPr>
            </w:pPr>
            <w:r>
              <w:rPr>
                <w:rFonts w:hint="eastAsia" w:ascii="仿宋" w:hAnsi="仿宋" w:eastAsia="仿宋"/>
                <w:snapToGrid w:val="0"/>
                <w:color w:val="auto"/>
                <w:sz w:val="24"/>
                <w:szCs w:val="22"/>
                <w:lang w:val="en-US" w:eastAsia="zh-CN"/>
              </w:rPr>
              <w:t>5.完善的安保体系：制定了详细的大赛安全应急预案，赛场区域可设置警戒线，并配备医疗医护工作站，能有效保障大赛期间所有参赛选手、裁判及工作人员的安全与健康。</w:t>
            </w:r>
          </w:p>
          <w:p w14:paraId="099FA6F9">
            <w:pPr>
              <w:rPr>
                <w:rFonts w:ascii="仿宋" w:hAnsi="仿宋" w:eastAsia="仿宋"/>
                <w:snapToGrid w:val="0"/>
                <w:color w:val="auto"/>
                <w:szCs w:val="21"/>
              </w:rPr>
            </w:pPr>
          </w:p>
          <w:p w14:paraId="3E50204B">
            <w:pPr>
              <w:rPr>
                <w:rFonts w:ascii="仿宋" w:hAnsi="仿宋" w:eastAsia="仿宋"/>
                <w:snapToGrid w:val="0"/>
                <w:color w:val="auto"/>
                <w:szCs w:val="21"/>
              </w:rPr>
            </w:pPr>
          </w:p>
          <w:p w14:paraId="1EA991EB">
            <w:pPr>
              <w:rPr>
                <w:rFonts w:ascii="仿宋" w:hAnsi="仿宋" w:eastAsia="仿宋"/>
                <w:snapToGrid w:val="0"/>
                <w:color w:val="auto"/>
                <w:szCs w:val="21"/>
              </w:rPr>
            </w:pPr>
          </w:p>
          <w:p w14:paraId="71742116">
            <w:pPr>
              <w:pStyle w:val="2"/>
              <w:rPr>
                <w:rFonts w:ascii="仿宋" w:hAnsi="仿宋" w:eastAsia="仿宋"/>
                <w:snapToGrid w:val="0"/>
                <w:color w:val="auto"/>
                <w:szCs w:val="21"/>
              </w:rPr>
            </w:pPr>
          </w:p>
          <w:p w14:paraId="564D9B40">
            <w:pPr>
              <w:pStyle w:val="2"/>
              <w:rPr>
                <w:rFonts w:ascii="仿宋" w:hAnsi="仿宋" w:eastAsia="仿宋"/>
                <w:snapToGrid w:val="0"/>
                <w:color w:val="auto"/>
                <w:szCs w:val="21"/>
              </w:rPr>
            </w:pPr>
          </w:p>
          <w:p w14:paraId="095AC66C">
            <w:pPr>
              <w:pStyle w:val="2"/>
              <w:rPr>
                <w:rFonts w:ascii="仿宋" w:hAnsi="仿宋" w:eastAsia="仿宋"/>
                <w:snapToGrid w:val="0"/>
                <w:color w:val="auto"/>
                <w:szCs w:val="21"/>
              </w:rPr>
            </w:pPr>
          </w:p>
          <w:p w14:paraId="37F2441B">
            <w:pPr>
              <w:pStyle w:val="2"/>
              <w:rPr>
                <w:rFonts w:ascii="仿宋" w:hAnsi="仿宋" w:eastAsia="仿宋"/>
                <w:snapToGrid w:val="0"/>
                <w:color w:val="auto"/>
                <w:szCs w:val="21"/>
              </w:rPr>
            </w:pPr>
          </w:p>
          <w:p w14:paraId="796C8080">
            <w:pPr>
              <w:pStyle w:val="2"/>
              <w:rPr>
                <w:rFonts w:ascii="仿宋" w:hAnsi="仿宋" w:eastAsia="仿宋"/>
                <w:snapToGrid w:val="0"/>
                <w:color w:val="auto"/>
                <w:szCs w:val="21"/>
              </w:rPr>
            </w:pPr>
          </w:p>
          <w:p w14:paraId="2FB60F24">
            <w:pPr>
              <w:pStyle w:val="2"/>
              <w:rPr>
                <w:rFonts w:ascii="仿宋" w:hAnsi="仿宋" w:eastAsia="仿宋"/>
                <w:snapToGrid w:val="0"/>
                <w:color w:val="auto"/>
                <w:szCs w:val="21"/>
              </w:rPr>
            </w:pPr>
            <w:bookmarkStart w:id="6" w:name="_GoBack"/>
            <w:bookmarkEnd w:id="6"/>
          </w:p>
          <w:p w14:paraId="1EAE5E9E">
            <w:pPr>
              <w:rPr>
                <w:rFonts w:ascii="仿宋" w:hAnsi="仿宋" w:eastAsia="仿宋"/>
                <w:snapToGrid w:val="0"/>
                <w:color w:val="auto"/>
                <w:szCs w:val="21"/>
              </w:rPr>
            </w:pPr>
          </w:p>
        </w:tc>
      </w:tr>
      <w:tr w14:paraId="3A89B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9082EB7">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5F22E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75F7AEB8">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本赛项为团体赛，每支参赛队由2</w:t>
            </w:r>
            <w:r>
              <w:rPr>
                <w:rFonts w:hint="eastAsia" w:ascii="仿宋" w:hAnsi="仿宋" w:eastAsia="仿宋"/>
                <w:snapToGrid w:val="0"/>
                <w:color w:val="auto"/>
                <w:szCs w:val="21"/>
                <w:lang w:val="en-US" w:eastAsia="zh-CN"/>
              </w:rPr>
              <w:t>-4</w:t>
            </w:r>
            <w:r>
              <w:rPr>
                <w:rFonts w:hint="eastAsia" w:ascii="仿宋" w:hAnsi="仿宋" w:eastAsia="仿宋"/>
                <w:snapToGrid w:val="0"/>
                <w:color w:val="auto"/>
                <w:szCs w:val="21"/>
              </w:rPr>
              <w:t>名选手组成。婴儿（0-1岁）回应性照护赛项主要面向高职院校的早期教育、婴幼儿托育服务与管理等专业，以及中职院校的婴幼儿保育、婴幼儿托育等专业，紧密对接《婴幼儿发展引导员国家职业技能标准（2021年版）》、《保育员国家职业技能标准（2021年版）》技能要求为基础，结合当前托育服务行业发展需求，融入医育结合新理念，适当增加新知识、新技术、新技能及职业道德等相关内容。</w:t>
            </w:r>
          </w:p>
          <w:p w14:paraId="1D3FFF10">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理论遵循《婴幼儿早期发展服务指南（试行）》的理念，内容涵盖回应性照护理念、婴幼儿身心成长发育规律，以及0-3岁婴幼儿在营养与喂养、健康保健、安全防护、生长发育评测、早期教育学习机会、政策法规与职业道德等方面的知识，突出对婴幼儿生理需求、心理需求和社会性发展需求的科学识别与回应能力。</w:t>
            </w:r>
          </w:p>
          <w:p w14:paraId="2407FC99">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实操则围绕《托育机构保育指导大纲（试行）》，重点考核学生识别婴儿哭声信号、精准判断需求并实施相应照护操作的能力，涵盖喂养、拍嗝、更换尿布、安抚、肠绞痛处理、新生儿抚触等关键技能，突出观察力、判断力、沟通力、情感回应力与操作规范性的综合应用能力，以及对于家长进行科学育儿指导的家托共育能力。</w:t>
            </w:r>
          </w:p>
          <w:p w14:paraId="6CDDE065">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赛项对接当前托育机构一线岗位对“高敏感性、高回应性”照护人才的迫切需求，引入人工智能仿真婴儿系统，模拟真实照护情境，体现行业先进技术技能趋势，强化学生在数字化智慧托育环境下的岗位适应力与专业胜任力。</w:t>
            </w:r>
          </w:p>
          <w:p w14:paraId="6F56BFBC">
            <w:pPr>
              <w:pStyle w:val="2"/>
              <w:rPr>
                <w:rFonts w:hint="eastAsia"/>
              </w:rPr>
            </w:pPr>
          </w:p>
          <w:p w14:paraId="090B6D3D">
            <w:pPr>
              <w:pStyle w:val="2"/>
              <w:rPr>
                <w:rFonts w:hint="eastAsia"/>
              </w:rPr>
            </w:pPr>
          </w:p>
        </w:tc>
      </w:tr>
      <w:tr w14:paraId="61FAC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CF04A8A">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6A49F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FBF5FF">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04721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84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5175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7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5B1BE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A3BAE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A38141">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6A2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9AB559">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274458">
            <w:pPr>
              <w:autoSpaceDE w:val="0"/>
              <w:autoSpaceDN w:val="0"/>
              <w:spacing w:after="0" w:line="360" w:lineRule="auto"/>
              <w:jc w:val="center"/>
              <w:rPr>
                <w:rFonts w:ascii="宋体" w:hAnsi="宋体" w:cs="宋体"/>
                <w:b/>
                <w:color w:val="auto"/>
                <w:sz w:val="24"/>
                <w:lang w:val="zh-CN"/>
              </w:rPr>
            </w:pPr>
            <w:r>
              <w:rPr>
                <w:rFonts w:hint="eastAsia" w:ascii="宋体" w:hAnsi="宋体" w:cs="宋体"/>
                <w:b/>
                <w:color w:val="auto"/>
                <w:sz w:val="24"/>
                <w:lang w:val="zh-CN"/>
              </w:rPr>
              <w:t>2023</w:t>
            </w:r>
          </w:p>
        </w:tc>
        <w:tc>
          <w:tcPr>
            <w:tcW w:w="284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D93119">
            <w:pPr>
              <w:autoSpaceDE w:val="0"/>
              <w:autoSpaceDN w:val="0"/>
              <w:spacing w:after="0" w:line="360" w:lineRule="auto"/>
              <w:jc w:val="center"/>
              <w:rPr>
                <w:rFonts w:ascii="宋体" w:hAnsi="宋体" w:cs="宋体"/>
                <w:b/>
                <w:color w:val="auto"/>
                <w:sz w:val="24"/>
                <w:lang w:val="zh-CN"/>
              </w:rPr>
            </w:pPr>
            <w:r>
              <w:rPr>
                <w:rFonts w:hint="eastAsia" w:ascii="宋体" w:hAnsi="宋体" w:eastAsia="宋体" w:cs="宋体"/>
                <w:b/>
                <w:color w:val="auto"/>
                <w:sz w:val="24"/>
                <w:lang w:val="en-US" w:eastAsia="zh-CN"/>
              </w:rPr>
              <w:t>承办</w:t>
            </w:r>
            <w:r>
              <w:rPr>
                <w:rFonts w:hint="eastAsia" w:ascii="宋体" w:hAnsi="宋体" w:cs="宋体"/>
                <w:b/>
                <w:color w:val="auto"/>
                <w:sz w:val="24"/>
                <w:lang w:val="zh-CN"/>
              </w:rPr>
              <w:t>2023年全国托育职业技能大赛（中职组）</w:t>
            </w:r>
          </w:p>
        </w:tc>
        <w:tc>
          <w:tcPr>
            <w:tcW w:w="7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FEF1D8">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国赛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7BA1D4">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123</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CAA1CA">
            <w:pPr>
              <w:autoSpaceDE w:val="0"/>
              <w:autoSpaceDN w:val="0"/>
              <w:spacing w:after="0" w:line="360" w:lineRule="auto"/>
              <w:jc w:val="center"/>
              <w:rPr>
                <w:rFonts w:ascii="宋体" w:hAnsi="宋体" w:cs="宋体"/>
                <w:b/>
                <w:color w:val="auto"/>
                <w:sz w:val="24"/>
                <w:lang w:val="zh-CN"/>
              </w:rPr>
            </w:pPr>
          </w:p>
        </w:tc>
      </w:tr>
      <w:tr w14:paraId="7983F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577E0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E29992">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2025</w:t>
            </w:r>
          </w:p>
        </w:tc>
        <w:tc>
          <w:tcPr>
            <w:tcW w:w="284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E14F5E">
            <w:pPr>
              <w:autoSpaceDE w:val="0"/>
              <w:autoSpaceDN w:val="0"/>
              <w:spacing w:after="0" w:line="360" w:lineRule="auto"/>
              <w:jc w:val="center"/>
              <w:rPr>
                <w:rFonts w:ascii="宋体" w:hAnsi="宋体" w:cs="宋体"/>
                <w:b/>
                <w:color w:val="auto"/>
                <w:sz w:val="24"/>
                <w:lang w:val="zh-CN"/>
              </w:rPr>
            </w:pPr>
            <w:r>
              <w:rPr>
                <w:rFonts w:hint="eastAsia" w:ascii="宋体" w:hAnsi="宋体" w:eastAsia="宋体" w:cs="宋体"/>
                <w:b/>
                <w:color w:val="auto"/>
                <w:sz w:val="24"/>
                <w:lang w:val="en-US" w:eastAsia="zh-CN"/>
              </w:rPr>
              <w:t>承办</w:t>
            </w:r>
            <w:r>
              <w:rPr>
                <w:rFonts w:hint="eastAsia" w:ascii="宋体" w:hAnsi="宋体" w:cs="宋体"/>
                <w:b/>
                <w:color w:val="auto"/>
                <w:sz w:val="24"/>
                <w:lang w:val="zh-CN"/>
              </w:rPr>
              <w:t>2025年河北省职工托育职业技能大赛</w:t>
            </w:r>
          </w:p>
        </w:tc>
        <w:tc>
          <w:tcPr>
            <w:tcW w:w="7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C8DC5C">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B1E5B">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84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7C9773">
            <w:pPr>
              <w:autoSpaceDE w:val="0"/>
              <w:autoSpaceDN w:val="0"/>
              <w:spacing w:after="0" w:line="360" w:lineRule="auto"/>
              <w:jc w:val="center"/>
              <w:rPr>
                <w:rFonts w:ascii="宋体" w:hAnsi="宋体" w:cs="宋体"/>
                <w:b/>
                <w:color w:val="auto"/>
                <w:sz w:val="24"/>
                <w:lang w:val="zh-CN"/>
              </w:rPr>
            </w:pPr>
          </w:p>
        </w:tc>
      </w:tr>
      <w:tr w14:paraId="63ADF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FF4C8D">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177087">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2024</w:t>
            </w:r>
          </w:p>
        </w:tc>
        <w:tc>
          <w:tcPr>
            <w:tcW w:w="284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69E2C">
            <w:pPr>
              <w:autoSpaceDE w:val="0"/>
              <w:autoSpaceDN w:val="0"/>
              <w:spacing w:after="0" w:line="360" w:lineRule="auto"/>
              <w:jc w:val="center"/>
              <w:rPr>
                <w:rFonts w:ascii="宋体" w:hAnsi="宋体" w:cs="宋体"/>
                <w:b/>
                <w:color w:val="auto"/>
                <w:sz w:val="24"/>
                <w:lang w:val="zh-CN"/>
              </w:rPr>
            </w:pPr>
            <w:r>
              <w:rPr>
                <w:rFonts w:hint="eastAsia" w:ascii="宋体" w:hAnsi="宋体" w:cs="宋体"/>
                <w:b/>
                <w:color w:val="auto"/>
                <w:sz w:val="24"/>
                <w:lang w:val="zh-CN"/>
              </w:rPr>
              <w:t>河北省职业院校技能大赛高职组婴幼儿照护（教师赛）</w:t>
            </w:r>
          </w:p>
        </w:tc>
        <w:tc>
          <w:tcPr>
            <w:tcW w:w="7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CB86EC">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83167E">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DD15B4">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二等奖</w:t>
            </w:r>
          </w:p>
        </w:tc>
      </w:tr>
      <w:tr w14:paraId="38A15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6FBBA2">
            <w:pPr>
              <w:autoSpaceDE w:val="0"/>
              <w:autoSpaceDN w:val="0"/>
              <w:spacing w:after="0" w:line="360" w:lineRule="auto"/>
              <w:jc w:val="center"/>
              <w:rPr>
                <w:rFonts w:hint="eastAsia" w:ascii="宋体" w:hAnsi="宋体" w:cs="宋体"/>
                <w:b/>
                <w:color w:val="auto"/>
                <w:sz w:val="24"/>
                <w:lang w:val="zh-CN"/>
              </w:rPr>
            </w:pP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3F38DA">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2025</w:t>
            </w:r>
          </w:p>
        </w:tc>
        <w:tc>
          <w:tcPr>
            <w:tcW w:w="284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657991">
            <w:pPr>
              <w:autoSpaceDE w:val="0"/>
              <w:autoSpaceDN w:val="0"/>
              <w:spacing w:after="0" w:line="360" w:lineRule="auto"/>
              <w:jc w:val="center"/>
              <w:rPr>
                <w:rFonts w:ascii="宋体" w:hAnsi="宋体" w:cs="宋体"/>
                <w:b/>
                <w:color w:val="auto"/>
                <w:sz w:val="24"/>
                <w:lang w:val="zh-CN"/>
              </w:rPr>
            </w:pPr>
            <w:r>
              <w:rPr>
                <w:rFonts w:hint="eastAsia" w:ascii="宋体" w:hAnsi="宋体" w:cs="宋体"/>
                <w:b/>
                <w:color w:val="auto"/>
                <w:sz w:val="24"/>
                <w:lang w:val="zh-CN"/>
              </w:rPr>
              <w:t>河北省职业院校技能大赛高职组婴幼儿照护（教师赛）</w:t>
            </w:r>
          </w:p>
        </w:tc>
        <w:tc>
          <w:tcPr>
            <w:tcW w:w="7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482557">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07D0D">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6E65B7">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二等奖</w:t>
            </w:r>
          </w:p>
        </w:tc>
      </w:tr>
      <w:tr w14:paraId="7E890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1429DB">
            <w:pPr>
              <w:autoSpaceDE w:val="0"/>
              <w:autoSpaceDN w:val="0"/>
              <w:spacing w:after="0" w:line="360" w:lineRule="auto"/>
              <w:jc w:val="center"/>
              <w:rPr>
                <w:rFonts w:hint="eastAsia" w:ascii="宋体" w:hAnsi="宋体" w:cs="宋体"/>
                <w:b/>
                <w:color w:val="auto"/>
                <w:sz w:val="24"/>
                <w:lang w:val="zh-CN"/>
              </w:rPr>
            </w:pP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71AB82">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2024</w:t>
            </w:r>
          </w:p>
        </w:tc>
        <w:tc>
          <w:tcPr>
            <w:tcW w:w="284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AA1D36">
            <w:pPr>
              <w:autoSpaceDE w:val="0"/>
              <w:autoSpaceDN w:val="0"/>
              <w:spacing w:after="0" w:line="360" w:lineRule="auto"/>
              <w:jc w:val="center"/>
              <w:rPr>
                <w:rFonts w:ascii="宋体" w:hAnsi="宋体" w:cs="宋体"/>
                <w:b/>
                <w:color w:val="auto"/>
                <w:sz w:val="24"/>
                <w:lang w:val="zh-CN"/>
              </w:rPr>
            </w:pPr>
            <w:r>
              <w:rPr>
                <w:rFonts w:hint="eastAsia" w:ascii="宋体" w:hAnsi="宋体" w:cs="宋体"/>
                <w:b/>
                <w:color w:val="auto"/>
                <w:sz w:val="24"/>
                <w:lang w:val="zh-CN"/>
              </w:rPr>
              <w:t>河北省高校青年教师教学竞赛医科组</w:t>
            </w:r>
          </w:p>
        </w:tc>
        <w:tc>
          <w:tcPr>
            <w:tcW w:w="7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5552FA">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D3D8B0">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B82A51">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三等奖</w:t>
            </w:r>
          </w:p>
        </w:tc>
      </w:tr>
      <w:tr w14:paraId="64CF3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7ABA9F">
            <w:pPr>
              <w:autoSpaceDE w:val="0"/>
              <w:autoSpaceDN w:val="0"/>
              <w:spacing w:after="0" w:line="360" w:lineRule="auto"/>
              <w:jc w:val="center"/>
              <w:rPr>
                <w:rFonts w:hint="eastAsia" w:ascii="宋体" w:hAnsi="宋体" w:cs="宋体"/>
                <w:b/>
                <w:color w:val="auto"/>
                <w:sz w:val="24"/>
                <w:lang w:val="zh-CN"/>
              </w:rPr>
            </w:pP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68E0ED">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2025</w:t>
            </w:r>
          </w:p>
        </w:tc>
        <w:tc>
          <w:tcPr>
            <w:tcW w:w="284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F0F1D0">
            <w:pPr>
              <w:autoSpaceDE w:val="0"/>
              <w:autoSpaceDN w:val="0"/>
              <w:spacing w:after="0" w:line="360" w:lineRule="auto"/>
              <w:jc w:val="center"/>
              <w:rPr>
                <w:rFonts w:hint="eastAsia" w:ascii="宋体" w:hAnsi="宋体" w:cs="宋体"/>
                <w:b/>
                <w:color w:val="auto"/>
                <w:sz w:val="24"/>
                <w:lang w:val="zh-CN"/>
              </w:rPr>
            </w:pPr>
            <w:r>
              <w:rPr>
                <w:rFonts w:hint="eastAsia" w:ascii="宋体" w:hAnsi="宋体" w:cs="宋体"/>
                <w:b/>
                <w:color w:val="auto"/>
                <w:sz w:val="24"/>
                <w:lang w:val="zh-CN"/>
              </w:rPr>
              <w:t>河北省高校青年教师教学竞赛医科组</w:t>
            </w:r>
          </w:p>
        </w:tc>
        <w:tc>
          <w:tcPr>
            <w:tcW w:w="7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50DA27">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4A5420">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DBD884">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三等奖</w:t>
            </w:r>
          </w:p>
        </w:tc>
      </w:tr>
    </w:tbl>
    <w:p w14:paraId="2D96F7E1">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3FB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972" w:type="dxa"/>
            <w:vAlign w:val="center"/>
          </w:tcPr>
          <w:p w14:paraId="0DE3518D">
            <w:pPr>
              <w:spacing w:before="48" w:after="48"/>
              <w:jc w:val="center"/>
              <w:rPr>
                <w:color w:val="auto"/>
                <w:sz w:val="24"/>
              </w:rPr>
            </w:pPr>
            <w:r>
              <w:rPr>
                <w:color w:val="auto"/>
                <w:sz w:val="24"/>
              </w:rPr>
              <w:t>申请</w:t>
            </w:r>
          </w:p>
          <w:p w14:paraId="3CCE6527">
            <w:pPr>
              <w:spacing w:before="48" w:after="48"/>
              <w:jc w:val="center"/>
              <w:rPr>
                <w:color w:val="auto"/>
                <w:sz w:val="24"/>
              </w:rPr>
            </w:pPr>
            <w:r>
              <w:rPr>
                <w:color w:val="auto"/>
                <w:sz w:val="24"/>
              </w:rPr>
              <w:t>单位</w:t>
            </w:r>
          </w:p>
          <w:p w14:paraId="538C4366">
            <w:pPr>
              <w:spacing w:before="48" w:after="48"/>
              <w:jc w:val="center"/>
              <w:rPr>
                <w:rFonts w:eastAsia="黑体"/>
                <w:color w:val="auto"/>
                <w:sz w:val="30"/>
                <w:szCs w:val="30"/>
              </w:rPr>
            </w:pPr>
            <w:r>
              <w:rPr>
                <w:color w:val="auto"/>
                <w:sz w:val="24"/>
              </w:rPr>
              <w:t>意见</w:t>
            </w:r>
          </w:p>
        </w:tc>
        <w:tc>
          <w:tcPr>
            <w:tcW w:w="8031" w:type="dxa"/>
          </w:tcPr>
          <w:p w14:paraId="61FCFC82">
            <w:pPr>
              <w:spacing w:line="520" w:lineRule="exact"/>
              <w:ind w:firstLine="560" w:firstLineChars="200"/>
              <w:rPr>
                <w:rFonts w:ascii="仿宋" w:hAnsi="仿宋" w:eastAsia="仿宋"/>
                <w:color w:val="auto"/>
                <w:kern w:val="0"/>
                <w:sz w:val="28"/>
                <w:szCs w:val="28"/>
              </w:rPr>
            </w:pPr>
          </w:p>
          <w:p w14:paraId="1E7504BB">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0613A3D4">
            <w:pPr>
              <w:spacing w:line="520" w:lineRule="exact"/>
              <w:ind w:firstLine="560" w:firstLineChars="200"/>
              <w:rPr>
                <w:rFonts w:ascii="仿宋" w:hAnsi="仿宋" w:eastAsia="仿宋"/>
                <w:color w:val="auto"/>
                <w:kern w:val="0"/>
                <w:sz w:val="28"/>
                <w:szCs w:val="28"/>
              </w:rPr>
            </w:pPr>
          </w:p>
          <w:p w14:paraId="687CFFB0">
            <w:pPr>
              <w:spacing w:line="520" w:lineRule="exact"/>
              <w:ind w:firstLine="560" w:firstLineChars="200"/>
              <w:rPr>
                <w:rFonts w:ascii="仿宋" w:hAnsi="仿宋" w:eastAsia="仿宋"/>
                <w:color w:val="auto"/>
                <w:kern w:val="0"/>
                <w:sz w:val="28"/>
                <w:szCs w:val="28"/>
              </w:rPr>
            </w:pPr>
          </w:p>
          <w:p w14:paraId="5D0C7FFA">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297EDE31">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2C542DB5">
            <w:pPr>
              <w:spacing w:line="520" w:lineRule="exact"/>
              <w:ind w:firstLine="3360" w:firstLineChars="1200"/>
              <w:jc w:val="right"/>
              <w:rPr>
                <w:rFonts w:ascii="仿宋" w:hAnsi="仿宋" w:eastAsia="仿宋"/>
                <w:color w:val="auto"/>
                <w:kern w:val="0"/>
                <w:sz w:val="28"/>
                <w:szCs w:val="28"/>
              </w:rPr>
            </w:pPr>
            <w:r>
              <w:rPr>
                <w:rFonts w:hint="eastAsia" w:ascii="仿宋" w:hAnsi="仿宋" w:eastAsia="仿宋"/>
                <w:color w:val="auto"/>
                <w:kern w:val="0"/>
                <w:sz w:val="28"/>
                <w:szCs w:val="28"/>
              </w:rPr>
              <w:t>年   月   日</w:t>
            </w:r>
          </w:p>
        </w:tc>
      </w:tr>
    </w:tbl>
    <w:p w14:paraId="3DA7E4FE">
      <w:pPr>
        <w:rPr>
          <w:rFonts w:hint="eastAsia" w:ascii="宋体" w:hAnsi="宋体" w:eastAsia="宋体"/>
          <w:b/>
          <w:color w:val="auto"/>
        </w:rPr>
      </w:pPr>
    </w:p>
    <w:p w14:paraId="2FC1C0F5">
      <w:pPr>
        <w:rPr>
          <w:rFonts w:hint="eastAsia"/>
          <w:color w:val="auto"/>
        </w:rPr>
      </w:pPr>
      <w:r>
        <w:rPr>
          <w:rFonts w:hint="eastAsia" w:ascii="宋体" w:hAnsi="宋体" w:eastAsia="宋体"/>
          <w:b/>
          <w:color w:val="auto"/>
        </w:rPr>
        <w:t>备注：</w:t>
      </w:r>
      <w:r>
        <w:rPr>
          <w:rFonts w:hint="eastAsia" w:ascii="宋体" w:hAnsi="宋体" w:eastAsia="宋体"/>
          <w:color w:val="auto"/>
        </w:rPr>
        <w:t>申报学校在大赛管理平台填写此表，然后一键导出完整表格，再将学校盖章确认后的PDF版本上传至大赛管理平台，以备集团遴选。</w:t>
      </w:r>
    </w:p>
    <w:p w14:paraId="0EC87C5F">
      <w:pPr>
        <w:rPr>
          <w:color w:val="auto"/>
        </w:rPr>
      </w:pPr>
    </w:p>
    <w:sectPr>
      <w:headerReference r:id="rId5" w:type="default"/>
      <w:footerReference r:id="rId6" w:type="default"/>
      <w:footerReference r:id="rId7" w:type="even"/>
      <w:pgSz w:w="11906" w:h="16838"/>
      <w:pgMar w:top="1814" w:right="1531" w:bottom="1418" w:left="1531"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0498">
    <w:pPr>
      <w:pStyle w:val="11"/>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1A94110D">
    <w:pPr>
      <w:pStyle w:val="11"/>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FFBF">
    <w:pPr>
      <w:pStyle w:val="11"/>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425D7D52">
    <w:pPr>
      <w:pStyle w:val="11"/>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6CE8">
    <w:pPr>
      <w:pStyle w:val="12"/>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B3CD7"/>
    <w:rsid w:val="129771EC"/>
    <w:rsid w:val="1E334EC9"/>
    <w:rsid w:val="20316E61"/>
    <w:rsid w:val="25DD6957"/>
    <w:rsid w:val="2E8F6802"/>
    <w:rsid w:val="3B962DE5"/>
    <w:rsid w:val="53E421E6"/>
    <w:rsid w:val="56D6695C"/>
    <w:rsid w:val="587A0AC5"/>
    <w:rsid w:val="58F862DB"/>
    <w:rsid w:val="611A7247"/>
    <w:rsid w:val="688558EE"/>
    <w:rsid w:val="726C4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3"/>
    <w:basedOn w:val="1"/>
    <w:next w:val="1"/>
    <w:link w:val="21"/>
    <w:qFormat/>
    <w:uiPriority w:val="9"/>
    <w:pPr>
      <w:keepNext/>
      <w:keepLines/>
      <w:spacing w:before="260" w:after="260" w:line="416" w:lineRule="auto"/>
      <w:outlineLvl w:val="2"/>
    </w:pPr>
    <w:rPr>
      <w:b/>
      <w:bCs/>
      <w:sz w:val="32"/>
      <w:szCs w:val="32"/>
    </w:rPr>
  </w:style>
  <w:style w:type="paragraph" w:styleId="4">
    <w:name w:val="heading 4"/>
    <w:basedOn w:val="1"/>
    <w:next w:val="1"/>
    <w:link w:val="22"/>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5">
    <w:name w:val="Normal Indent"/>
    <w:basedOn w:val="1"/>
    <w:qFormat/>
    <w:uiPriority w:val="99"/>
    <w:pPr>
      <w:widowControl w:val="0"/>
      <w:spacing w:line="360" w:lineRule="auto"/>
      <w:ind w:firstLine="0" w:firstLineChars="0"/>
      <w:jc w:val="center"/>
    </w:pPr>
    <w:rPr>
      <w:rFonts w:ascii="Times New Roman" w:hAnsi="Times New Roman" w:cs="Times New Roman"/>
      <w:kern w:val="0"/>
      <w:szCs w:val="20"/>
    </w:rPr>
  </w:style>
  <w:style w:type="paragraph" w:styleId="6">
    <w:name w:val="Document Map"/>
    <w:basedOn w:val="1"/>
    <w:link w:val="23"/>
    <w:qFormat/>
    <w:uiPriority w:val="99"/>
    <w:rPr>
      <w:rFonts w:ascii="宋体" w:eastAsia="宋体"/>
      <w:sz w:val="18"/>
      <w:szCs w:val="18"/>
    </w:rPr>
  </w:style>
  <w:style w:type="paragraph" w:styleId="7">
    <w:name w:val="annotation text"/>
    <w:basedOn w:val="1"/>
    <w:link w:val="24"/>
    <w:qFormat/>
    <w:uiPriority w:val="99"/>
  </w:style>
  <w:style w:type="paragraph" w:styleId="8">
    <w:name w:val="Body Text"/>
    <w:basedOn w:val="1"/>
    <w:link w:val="25"/>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9">
    <w:name w:val="Date"/>
    <w:basedOn w:val="1"/>
    <w:next w:val="1"/>
    <w:link w:val="26"/>
    <w:qFormat/>
    <w:uiPriority w:val="99"/>
    <w:pPr>
      <w:ind w:left="100" w:leftChars="2500"/>
    </w:pPr>
  </w:style>
  <w:style w:type="paragraph" w:styleId="10">
    <w:name w:val="Balloon Text"/>
    <w:basedOn w:val="1"/>
    <w:link w:val="27"/>
    <w:qFormat/>
    <w:uiPriority w:val="99"/>
    <w:pPr>
      <w:spacing w:after="0" w:line="240" w:lineRule="auto"/>
    </w:pPr>
    <w:rPr>
      <w:sz w:val="18"/>
      <w:szCs w:val="18"/>
    </w:rPr>
  </w:style>
  <w:style w:type="paragraph" w:styleId="11">
    <w:name w:val="footer"/>
    <w:basedOn w:val="1"/>
    <w:link w:val="28"/>
    <w:qFormat/>
    <w:uiPriority w:val="99"/>
    <w:pPr>
      <w:tabs>
        <w:tab w:val="center" w:pos="4153"/>
        <w:tab w:val="right" w:pos="8306"/>
      </w:tabs>
      <w:snapToGrid w:val="0"/>
      <w:spacing w:line="240" w:lineRule="auto"/>
    </w:pPr>
    <w:rPr>
      <w:sz w:val="18"/>
      <w:szCs w:val="18"/>
    </w:rPr>
  </w:style>
  <w:style w:type="paragraph" w:styleId="12">
    <w:name w:val="header"/>
    <w:basedOn w:val="1"/>
    <w:link w:val="2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4">
    <w:name w:val="Normal (Web)"/>
    <w:basedOn w:val="1"/>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5">
    <w:name w:val="annotation subject"/>
    <w:basedOn w:val="7"/>
    <w:next w:val="7"/>
    <w:link w:val="30"/>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563C1"/>
      <w:u w:val="single"/>
    </w:rPr>
  </w:style>
  <w:style w:type="character" w:styleId="20">
    <w:name w:val="annotation reference"/>
    <w:basedOn w:val="18"/>
    <w:qFormat/>
    <w:uiPriority w:val="99"/>
    <w:rPr>
      <w:sz w:val="21"/>
      <w:szCs w:val="21"/>
    </w:rPr>
  </w:style>
  <w:style w:type="character" w:customStyle="1" w:styleId="21">
    <w:name w:val="标题 3 Char"/>
    <w:basedOn w:val="18"/>
    <w:link w:val="3"/>
    <w:qFormat/>
    <w:uiPriority w:val="9"/>
    <w:rPr>
      <w:rFonts w:ascii="Calibri" w:hAnsi="Calibri" w:eastAsia="Calibri" w:cs="Calibri"/>
      <w:b/>
      <w:bCs/>
      <w:color w:val="000000"/>
      <w:sz w:val="32"/>
      <w:szCs w:val="32"/>
    </w:rPr>
  </w:style>
  <w:style w:type="character" w:customStyle="1" w:styleId="22">
    <w:name w:val="标题 4 Char"/>
    <w:basedOn w:val="18"/>
    <w:link w:val="4"/>
    <w:qFormat/>
    <w:uiPriority w:val="1"/>
    <w:rPr>
      <w:rFonts w:ascii="微软雅黑" w:hAnsi="微软雅黑" w:eastAsia="微软雅黑" w:cs="微软雅黑"/>
      <w:b/>
      <w:bCs/>
      <w:kern w:val="0"/>
      <w:sz w:val="30"/>
      <w:szCs w:val="30"/>
      <w:lang w:val="zh-CN" w:bidi="zh-CN"/>
    </w:rPr>
  </w:style>
  <w:style w:type="character" w:customStyle="1" w:styleId="23">
    <w:name w:val="文档结构图 Char"/>
    <w:basedOn w:val="18"/>
    <w:link w:val="6"/>
    <w:qFormat/>
    <w:uiPriority w:val="99"/>
    <w:rPr>
      <w:rFonts w:ascii="宋体" w:hAnsi="Calibri" w:eastAsia="宋体" w:cs="Calibri"/>
      <w:color w:val="000000"/>
      <w:sz w:val="18"/>
      <w:szCs w:val="18"/>
    </w:rPr>
  </w:style>
  <w:style w:type="character" w:customStyle="1" w:styleId="24">
    <w:name w:val="批注文字 Char"/>
    <w:basedOn w:val="18"/>
    <w:link w:val="7"/>
    <w:qFormat/>
    <w:uiPriority w:val="99"/>
    <w:rPr>
      <w:rFonts w:ascii="Calibri" w:hAnsi="Calibri" w:eastAsia="Calibri" w:cs="Calibri"/>
      <w:color w:val="000000"/>
      <w:sz w:val="22"/>
    </w:rPr>
  </w:style>
  <w:style w:type="character" w:customStyle="1" w:styleId="25">
    <w:name w:val="正文文本 Char"/>
    <w:basedOn w:val="18"/>
    <w:link w:val="8"/>
    <w:qFormat/>
    <w:uiPriority w:val="1"/>
    <w:rPr>
      <w:rFonts w:ascii="宋体" w:hAnsi="宋体" w:eastAsia="宋体" w:cs="宋体"/>
      <w:kern w:val="0"/>
      <w:sz w:val="30"/>
      <w:szCs w:val="30"/>
      <w:lang w:val="zh-CN" w:bidi="zh-CN"/>
    </w:rPr>
  </w:style>
  <w:style w:type="character" w:customStyle="1" w:styleId="26">
    <w:name w:val="日期 Char"/>
    <w:basedOn w:val="18"/>
    <w:link w:val="9"/>
    <w:qFormat/>
    <w:uiPriority w:val="99"/>
    <w:rPr>
      <w:rFonts w:ascii="Calibri" w:hAnsi="Calibri" w:eastAsia="Calibri" w:cs="Calibri"/>
      <w:color w:val="000000"/>
      <w:kern w:val="2"/>
      <w:sz w:val="22"/>
      <w:szCs w:val="22"/>
    </w:rPr>
  </w:style>
  <w:style w:type="character" w:customStyle="1" w:styleId="27">
    <w:name w:val="批注框文本 Char"/>
    <w:basedOn w:val="18"/>
    <w:link w:val="10"/>
    <w:qFormat/>
    <w:uiPriority w:val="99"/>
    <w:rPr>
      <w:rFonts w:ascii="Calibri" w:hAnsi="Calibri" w:eastAsia="Calibri" w:cs="Calibri"/>
      <w:color w:val="000000"/>
      <w:sz w:val="18"/>
      <w:szCs w:val="18"/>
    </w:rPr>
  </w:style>
  <w:style w:type="character" w:customStyle="1" w:styleId="28">
    <w:name w:val="页脚 Char"/>
    <w:basedOn w:val="18"/>
    <w:link w:val="11"/>
    <w:qFormat/>
    <w:uiPriority w:val="99"/>
    <w:rPr>
      <w:rFonts w:ascii="Calibri" w:hAnsi="Calibri" w:eastAsia="Calibri" w:cs="Calibri"/>
      <w:color w:val="000000"/>
      <w:sz w:val="18"/>
      <w:szCs w:val="18"/>
    </w:rPr>
  </w:style>
  <w:style w:type="character" w:customStyle="1" w:styleId="29">
    <w:name w:val="页眉 Char"/>
    <w:basedOn w:val="18"/>
    <w:link w:val="12"/>
    <w:qFormat/>
    <w:uiPriority w:val="99"/>
    <w:rPr>
      <w:rFonts w:ascii="Calibri" w:hAnsi="Calibri" w:eastAsia="Calibri" w:cs="Calibri"/>
      <w:color w:val="000000"/>
      <w:sz w:val="18"/>
      <w:szCs w:val="18"/>
    </w:rPr>
  </w:style>
  <w:style w:type="character" w:customStyle="1" w:styleId="30">
    <w:name w:val="批注主题 Char"/>
    <w:basedOn w:val="24"/>
    <w:link w:val="15"/>
    <w:qFormat/>
    <w:uiPriority w:val="99"/>
    <w:rPr>
      <w:rFonts w:ascii="Calibri" w:hAnsi="Calibri" w:eastAsia="Calibri" w:cs="Calibri"/>
      <w:b/>
      <w:bCs/>
      <w:color w:val="000000"/>
      <w:sz w:val="22"/>
    </w:rPr>
  </w:style>
  <w:style w:type="paragraph" w:customStyle="1" w:styleId="31">
    <w:name w:val="列出段落1"/>
    <w:basedOn w:val="1"/>
    <w:qFormat/>
    <w:uiPriority w:val="1"/>
    <w:pPr>
      <w:ind w:firstLine="420" w:firstLineChars="200"/>
    </w:pPr>
  </w:style>
  <w:style w:type="paragraph" w:customStyle="1" w:styleId="32">
    <w:name w:val="修订1"/>
    <w:qFormat/>
    <w:uiPriority w:val="99"/>
    <w:rPr>
      <w:rFonts w:ascii="Calibri" w:hAnsi="Calibri" w:eastAsia="Calibri" w:cs="Calibri"/>
      <w:color w:val="000000"/>
      <w:kern w:val="2"/>
      <w:sz w:val="22"/>
      <w:szCs w:val="22"/>
      <w:lang w:val="en-US" w:eastAsia="zh-CN" w:bidi="ar-SA"/>
    </w:rPr>
  </w:style>
  <w:style w:type="character" w:customStyle="1" w:styleId="33">
    <w:name w:val="未处理的提及1"/>
    <w:basedOn w:val="18"/>
    <w:qFormat/>
    <w:uiPriority w:val="99"/>
    <w:rPr>
      <w:color w:val="605E5C"/>
      <w:shd w:val="clear" w:color="auto" w:fill="E1DFDD"/>
    </w:rPr>
  </w:style>
  <w:style w:type="paragraph" w:customStyle="1" w:styleId="34">
    <w:name w:val="列表段落1"/>
    <w:basedOn w:val="1"/>
    <w:qFormat/>
    <w:uiPriority w:val="99"/>
    <w:pPr>
      <w:ind w:firstLine="420" w:firstLineChars="200"/>
    </w:pPr>
  </w:style>
  <w:style w:type="character" w:customStyle="1" w:styleId="35">
    <w:name w:val="未处理的提及2"/>
    <w:basedOn w:val="18"/>
    <w:qFormat/>
    <w:uiPriority w:val="99"/>
    <w:rPr>
      <w:color w:val="605E5C"/>
      <w:shd w:val="clear" w:color="auto" w:fill="E1DFDD"/>
    </w:rPr>
  </w:style>
  <w:style w:type="character" w:customStyle="1" w:styleId="36">
    <w:name w:val="未处理的提及3"/>
    <w:basedOn w:val="18"/>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5</Pages>
  <Words>626</Words>
  <Characters>656</Characters>
  <Paragraphs>157</Paragraphs>
  <TotalTime>0</TotalTime>
  <ScaleCrop>false</ScaleCrop>
  <LinksUpToDate>false</LinksUpToDate>
  <CharactersWithSpaces>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2022-10-12T07:10:00Z</dcterms:created>
  <dc:creator>Administrator</dc:creator>
  <cp:lastModifiedBy>Y.</cp:lastModifiedBy>
  <cp:lastPrinted>2025-11-12T07:25:00Z</cp:lastPrinted>
  <dcterms:modified xsi:type="dcterms:W3CDTF">2025-11-15T07:25:14Z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f40facc6e3ca4432b640947bd9a56828_23</vt:lpwstr>
  </property>
  <property fmtid="{D5CDD505-2E9C-101B-9397-08002B2CF9AE}" pid="4" name="KSOTemplateDocerSaveRecord">
    <vt:lpwstr>eyJoZGlkIjoiZjVjNGQyMzllMGUyYmMwMjBiZGI1ZDQxOTcyNWQ4NmQiLCJ1c2VySWQiOiI0MTM3NDMxNzgifQ==</vt:lpwstr>
  </property>
</Properties>
</file>